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86D9A" w:rsidRDefault="00186D9A">
      <w:pPr>
        <w:pBdr>
          <w:top w:val="nil"/>
          <w:left w:val="nil"/>
          <w:bottom w:val="nil"/>
          <w:right w:val="nil"/>
          <w:between w:val="nil"/>
        </w:pBdr>
        <w:spacing w:after="0" w:line="240" w:lineRule="auto"/>
        <w:rPr>
          <w:rFonts w:ascii="Arial" w:eastAsia="Arial" w:hAnsi="Arial" w:cs="Arial"/>
          <w:color w:val="000000"/>
          <w:sz w:val="24"/>
          <w:szCs w:val="24"/>
        </w:rPr>
      </w:pPr>
    </w:p>
    <w:p w14:paraId="00000002" w14:textId="77777777" w:rsidR="00186D9A" w:rsidRDefault="00186D9A">
      <w:pPr>
        <w:pBdr>
          <w:top w:val="nil"/>
          <w:left w:val="nil"/>
          <w:bottom w:val="nil"/>
          <w:right w:val="nil"/>
          <w:between w:val="nil"/>
        </w:pBdr>
        <w:spacing w:after="0" w:line="240" w:lineRule="auto"/>
        <w:jc w:val="center"/>
        <w:rPr>
          <w:rFonts w:ascii="Arial" w:eastAsia="Arial" w:hAnsi="Arial" w:cs="Arial"/>
          <w:color w:val="000000"/>
          <w:sz w:val="32"/>
          <w:szCs w:val="32"/>
        </w:rPr>
      </w:pPr>
    </w:p>
    <w:p w14:paraId="00000003" w14:textId="77777777" w:rsidR="00186D9A" w:rsidRDefault="00186D9A">
      <w:pPr>
        <w:pBdr>
          <w:top w:val="nil"/>
          <w:left w:val="nil"/>
          <w:bottom w:val="nil"/>
          <w:right w:val="nil"/>
          <w:between w:val="nil"/>
        </w:pBdr>
        <w:spacing w:after="0" w:line="240" w:lineRule="auto"/>
        <w:jc w:val="center"/>
        <w:rPr>
          <w:rFonts w:ascii="Arial" w:eastAsia="Arial" w:hAnsi="Arial" w:cs="Arial"/>
          <w:color w:val="000000"/>
          <w:sz w:val="32"/>
          <w:szCs w:val="32"/>
        </w:rPr>
      </w:pPr>
    </w:p>
    <w:p w14:paraId="00000004" w14:textId="77777777" w:rsidR="00186D9A" w:rsidRDefault="00186D9A">
      <w:pPr>
        <w:pBdr>
          <w:top w:val="nil"/>
          <w:left w:val="nil"/>
          <w:bottom w:val="nil"/>
          <w:right w:val="nil"/>
          <w:between w:val="nil"/>
        </w:pBdr>
        <w:spacing w:after="0" w:line="240" w:lineRule="auto"/>
        <w:jc w:val="center"/>
        <w:rPr>
          <w:rFonts w:ascii="Arial" w:eastAsia="Arial" w:hAnsi="Arial" w:cs="Arial"/>
          <w:color w:val="000000"/>
          <w:sz w:val="32"/>
          <w:szCs w:val="32"/>
        </w:rPr>
      </w:pPr>
    </w:p>
    <w:p w14:paraId="00000005" w14:textId="77777777" w:rsidR="00186D9A" w:rsidRPr="00576F1A"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sidRPr="00576F1A">
        <w:rPr>
          <w:rFonts w:ascii="Times New Roman" w:eastAsia="Times New Roman" w:hAnsi="Times New Roman" w:cs="Times New Roman"/>
          <w:b/>
          <w:color w:val="000000"/>
          <w:sz w:val="32"/>
          <w:szCs w:val="32"/>
        </w:rPr>
        <w:t>Shaneille Sash-Nicole Samuels</w:t>
      </w:r>
    </w:p>
    <w:p w14:paraId="00000006" w14:textId="466837AC" w:rsidR="00186D9A" w:rsidRPr="00576F1A"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sidRPr="00576F1A">
        <w:rPr>
          <w:rFonts w:ascii="Times New Roman" w:eastAsia="Times New Roman" w:hAnsi="Times New Roman" w:cs="Times New Roman"/>
          <w:b/>
          <w:color w:val="000000"/>
          <w:sz w:val="32"/>
          <w:szCs w:val="32"/>
        </w:rPr>
        <w:t>U</w:t>
      </w:r>
      <w:r w:rsidR="0034090F" w:rsidRPr="0034090F">
        <w:rPr>
          <w:rFonts w:ascii="Times New Roman" w:eastAsia="Times New Roman" w:hAnsi="Times New Roman" w:cs="Times New Roman"/>
          <w:b/>
          <w:color w:val="000000"/>
          <w:sz w:val="32"/>
          <w:szCs w:val="32"/>
        </w:rPr>
        <w:t>P</w:t>
      </w:r>
      <w:r w:rsidRPr="0034090F">
        <w:rPr>
          <w:rFonts w:ascii="Times New Roman" w:eastAsia="Times New Roman" w:hAnsi="Times New Roman" w:cs="Times New Roman"/>
          <w:b/>
          <w:color w:val="000000"/>
          <w:sz w:val="32"/>
          <w:szCs w:val="32"/>
        </w:rPr>
        <w:t>D</w:t>
      </w:r>
      <w:r w:rsidR="0034090F" w:rsidRPr="0034090F">
        <w:rPr>
          <w:rFonts w:ascii="Times New Roman" w:hAnsi="Times New Roman" w:cs="Times New Roman"/>
          <w:b/>
          <w:sz w:val="32"/>
          <w:szCs w:val="32"/>
        </w:rPr>
        <w:t>82442QU91660</w:t>
      </w:r>
    </w:p>
    <w:p w14:paraId="00000007" w14:textId="39504823" w:rsidR="00186D9A" w:rsidRPr="00576F1A" w:rsidRDefault="00F76A43">
      <w:pPr>
        <w:tabs>
          <w:tab w:val="left" w:pos="720"/>
          <w:tab w:val="left" w:pos="1260"/>
        </w:tabs>
        <w:jc w:val="center"/>
        <w:rPr>
          <w:rFonts w:ascii="Times New Roman" w:eastAsia="Times New Roman" w:hAnsi="Times New Roman" w:cs="Times New Roman"/>
          <w:b/>
          <w:sz w:val="32"/>
          <w:szCs w:val="32"/>
        </w:rPr>
      </w:pPr>
      <w:r w:rsidRPr="00576F1A">
        <w:rPr>
          <w:rFonts w:ascii="Times New Roman" w:eastAsia="Times New Roman" w:hAnsi="Times New Roman" w:cs="Times New Roman"/>
          <w:b/>
          <w:sz w:val="32"/>
          <w:szCs w:val="32"/>
        </w:rPr>
        <w:t>Post Doctorate in Quantitative Finance</w:t>
      </w:r>
    </w:p>
    <w:p w14:paraId="00000008" w14:textId="77777777" w:rsidR="00186D9A" w:rsidRPr="00576F1A" w:rsidRDefault="00186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14:paraId="00000009" w14:textId="77777777" w:rsidR="00186D9A" w:rsidRPr="00576F1A" w:rsidRDefault="00186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14:paraId="0000000A" w14:textId="77777777" w:rsidR="00186D9A" w:rsidRPr="00576F1A" w:rsidRDefault="00186D9A">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14:paraId="0000000B" w14:textId="77777777" w:rsidR="00186D9A" w:rsidRPr="00576F1A" w:rsidRDefault="00186D9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000000C" w14:textId="77777777" w:rsidR="00186D9A" w:rsidRPr="00576F1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sidRPr="00576F1A">
        <w:rPr>
          <w:rFonts w:ascii="Times New Roman" w:eastAsia="Times New Roman" w:hAnsi="Times New Roman" w:cs="Times New Roman"/>
          <w:color w:val="000000"/>
          <w:sz w:val="32"/>
          <w:szCs w:val="32"/>
        </w:rPr>
        <w:t>COURSE NAME:</w:t>
      </w:r>
    </w:p>
    <w:p w14:paraId="0000000D" w14:textId="60A028B0" w:rsidR="00186D9A" w:rsidRPr="009C76C4" w:rsidRDefault="00000000" w:rsidP="0072559C">
      <w:pPr>
        <w:jc w:val="center"/>
        <w:rPr>
          <w:rFonts w:ascii="Times New Roman" w:hAnsi="Times New Roman" w:cs="Times New Roman"/>
          <w:b/>
          <w:bCs/>
          <w:sz w:val="32"/>
          <w:szCs w:val="32"/>
        </w:rPr>
      </w:pPr>
      <w:r w:rsidRPr="009C76C4">
        <w:rPr>
          <w:rFonts w:ascii="Times New Roman" w:eastAsia="Times New Roman" w:hAnsi="Times New Roman" w:cs="Times New Roman"/>
          <w:b/>
          <w:bCs/>
          <w:sz w:val="32"/>
          <w:szCs w:val="32"/>
        </w:rPr>
        <w:t>(</w:t>
      </w:r>
      <w:r w:rsidR="009C76C4" w:rsidRPr="009C76C4">
        <w:rPr>
          <w:rFonts w:ascii="Times New Roman" w:hAnsi="Times New Roman" w:cs="Times New Roman"/>
          <w:b/>
          <w:bCs/>
          <w:color w:val="212529"/>
          <w:sz w:val="32"/>
          <w:szCs w:val="32"/>
        </w:rPr>
        <w:t>Risk Financing and Treasury Management</w:t>
      </w:r>
      <w:r w:rsidR="009C76C4" w:rsidRPr="009C76C4">
        <w:rPr>
          <w:rFonts w:ascii="Times New Roman" w:eastAsia="Times New Roman" w:hAnsi="Times New Roman" w:cs="Times New Roman"/>
          <w:b/>
          <w:bCs/>
          <w:sz w:val="32"/>
          <w:szCs w:val="32"/>
        </w:rPr>
        <w:t xml:space="preserve"> </w:t>
      </w:r>
      <w:r w:rsidRPr="009C76C4">
        <w:rPr>
          <w:rFonts w:ascii="Times New Roman" w:eastAsia="Times New Roman" w:hAnsi="Times New Roman" w:cs="Times New Roman"/>
          <w:b/>
          <w:bCs/>
          <w:sz w:val="32"/>
          <w:szCs w:val="32"/>
        </w:rPr>
        <w:t>(</w:t>
      </w:r>
      <w:r w:rsidR="009C76C4" w:rsidRPr="009C76C4">
        <w:rPr>
          <w:rFonts w:ascii="Times New Roman" w:hAnsi="Times New Roman" w:cs="Times New Roman"/>
          <w:b/>
          <w:bCs/>
          <w:color w:val="212529"/>
          <w:sz w:val="32"/>
          <w:szCs w:val="32"/>
          <w:shd w:val="clear" w:color="auto" w:fill="FFFFFF"/>
        </w:rPr>
        <w:t>RFI 772</w:t>
      </w:r>
      <w:r w:rsidRPr="009C76C4">
        <w:rPr>
          <w:rFonts w:ascii="Times New Roman" w:eastAsia="Times New Roman" w:hAnsi="Times New Roman" w:cs="Times New Roman"/>
          <w:b/>
          <w:bCs/>
          <w:sz w:val="32"/>
          <w:szCs w:val="32"/>
        </w:rPr>
        <w:t>))</w:t>
      </w:r>
    </w:p>
    <w:p w14:paraId="0000000E" w14:textId="77777777" w:rsidR="00186D9A" w:rsidRPr="00576F1A" w:rsidRDefault="00186D9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18D3595B" w14:textId="77777777" w:rsidR="00576F1A" w:rsidRDefault="00576F1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4DF66C15" w14:textId="77777777" w:rsidR="00576F1A" w:rsidRDefault="00576F1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000000F" w14:textId="7F17C53B" w:rsidR="00186D9A" w:rsidRPr="00576F1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sidRPr="00576F1A">
        <w:rPr>
          <w:rFonts w:ascii="Times New Roman" w:eastAsia="Times New Roman" w:hAnsi="Times New Roman" w:cs="Times New Roman"/>
          <w:color w:val="000000"/>
          <w:sz w:val="32"/>
          <w:szCs w:val="32"/>
        </w:rPr>
        <w:t>Assignment Title:</w:t>
      </w:r>
    </w:p>
    <w:p w14:paraId="00000010" w14:textId="47778E7C" w:rsidR="00186D9A" w:rsidRPr="00576F1A"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sidRPr="00576F1A">
        <w:rPr>
          <w:rFonts w:ascii="Times New Roman" w:eastAsia="Times New Roman" w:hAnsi="Times New Roman" w:cs="Times New Roman"/>
          <w:b/>
          <w:color w:val="000000"/>
          <w:sz w:val="32"/>
          <w:szCs w:val="32"/>
        </w:rPr>
        <w:t>(</w:t>
      </w:r>
      <w:r w:rsidR="00F76A43" w:rsidRPr="00576F1A">
        <w:rPr>
          <w:rFonts w:ascii="Times New Roman" w:eastAsia="Times New Roman" w:hAnsi="Times New Roman" w:cs="Times New Roman"/>
          <w:b/>
          <w:color w:val="000000"/>
          <w:sz w:val="32"/>
          <w:szCs w:val="32"/>
        </w:rPr>
        <w:t xml:space="preserve">Chapter </w:t>
      </w:r>
      <w:r w:rsidR="009C76C4">
        <w:rPr>
          <w:rFonts w:ascii="Times New Roman" w:eastAsia="Times New Roman" w:hAnsi="Times New Roman" w:cs="Times New Roman"/>
          <w:b/>
          <w:color w:val="000000"/>
          <w:sz w:val="32"/>
          <w:szCs w:val="32"/>
        </w:rPr>
        <w:t>2</w:t>
      </w:r>
      <w:r w:rsidR="00F76A43" w:rsidRPr="00576F1A">
        <w:rPr>
          <w:rFonts w:ascii="Times New Roman" w:eastAsia="Times New Roman" w:hAnsi="Times New Roman" w:cs="Times New Roman"/>
          <w:b/>
          <w:color w:val="000000"/>
          <w:sz w:val="32"/>
          <w:szCs w:val="32"/>
        </w:rPr>
        <w:t xml:space="preserve">: </w:t>
      </w:r>
      <w:r w:rsidR="009C76C4">
        <w:rPr>
          <w:rFonts w:ascii="Times New Roman" w:hAnsi="Times New Roman" w:cs="Times New Roman"/>
          <w:b/>
          <w:bCs/>
          <w:sz w:val="32"/>
          <w:szCs w:val="32"/>
        </w:rPr>
        <w:t xml:space="preserve">Risk Financing and Treasury </w:t>
      </w:r>
      <w:r w:rsidR="00960007">
        <w:rPr>
          <w:rFonts w:ascii="Times New Roman" w:hAnsi="Times New Roman" w:cs="Times New Roman"/>
          <w:b/>
          <w:bCs/>
          <w:sz w:val="32"/>
          <w:szCs w:val="32"/>
        </w:rPr>
        <w:t>Management</w:t>
      </w:r>
      <w:r w:rsidRPr="00576F1A">
        <w:rPr>
          <w:rFonts w:ascii="Times New Roman" w:eastAsia="Times New Roman" w:hAnsi="Times New Roman" w:cs="Times New Roman"/>
          <w:b/>
          <w:color w:val="000000"/>
          <w:sz w:val="32"/>
          <w:szCs w:val="32"/>
        </w:rPr>
        <w:t>)</w:t>
      </w:r>
    </w:p>
    <w:p w14:paraId="00000011" w14:textId="77777777" w:rsidR="00186D9A" w:rsidRDefault="00186D9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8D3F2B3" w14:textId="77777777" w:rsidR="00576F1A" w:rsidRPr="00576F1A" w:rsidRDefault="00576F1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0000012" w14:textId="77777777" w:rsidR="00186D9A" w:rsidRPr="00576F1A" w:rsidRDefault="00186D9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1071EE32" w14:textId="77777777" w:rsidR="00576F1A" w:rsidRPr="00576F1A" w:rsidRDefault="00F62A55">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sidRPr="00576F1A">
        <w:rPr>
          <w:rFonts w:ascii="Times New Roman" w:eastAsia="Times New Roman" w:hAnsi="Times New Roman" w:cs="Times New Roman"/>
          <w:color w:val="000000"/>
          <w:sz w:val="32"/>
          <w:szCs w:val="32"/>
        </w:rPr>
        <w:t xml:space="preserve">Name of Book: </w:t>
      </w:r>
    </w:p>
    <w:p w14:paraId="7AA306A0" w14:textId="0C63484B" w:rsidR="00F62A55" w:rsidRPr="00576F1A" w:rsidRDefault="00576F1A">
      <w:pPr>
        <w:pBdr>
          <w:top w:val="nil"/>
          <w:left w:val="nil"/>
          <w:bottom w:val="nil"/>
          <w:right w:val="nil"/>
          <w:between w:val="nil"/>
        </w:pBdr>
        <w:spacing w:after="0" w:line="240" w:lineRule="auto"/>
        <w:jc w:val="center"/>
        <w:rPr>
          <w:rFonts w:ascii="Times New Roman" w:eastAsia="Times New Roman" w:hAnsi="Times New Roman" w:cs="Times New Roman"/>
          <w:b/>
          <w:bCs/>
          <w:sz w:val="32"/>
          <w:szCs w:val="32"/>
        </w:rPr>
      </w:pPr>
      <w:r w:rsidRPr="00576F1A">
        <w:rPr>
          <w:rFonts w:ascii="Times New Roman" w:eastAsia="Times New Roman" w:hAnsi="Times New Roman" w:cs="Times New Roman"/>
          <w:b/>
          <w:bCs/>
          <w:sz w:val="32"/>
          <w:szCs w:val="32"/>
        </w:rPr>
        <w:t>(</w:t>
      </w:r>
      <w:r w:rsidRPr="00576F1A">
        <w:rPr>
          <w:rFonts w:ascii="Times New Roman" w:hAnsi="Times New Roman" w:cs="Times New Roman"/>
          <w:b/>
          <w:bCs/>
          <w:sz w:val="32"/>
          <w:szCs w:val="32"/>
        </w:rPr>
        <w:t>Maximizing Economic Growth: A Holistic Approach to Financial and Risk Management)</w:t>
      </w:r>
    </w:p>
    <w:p w14:paraId="00000013" w14:textId="77777777" w:rsidR="00186D9A" w:rsidRPr="00576F1A" w:rsidRDefault="00186D9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0000014" w14:textId="77777777" w:rsidR="00186D9A" w:rsidRDefault="00186D9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4CAC5F73" w14:textId="77777777" w:rsidR="00576F1A" w:rsidRDefault="00576F1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43EE8875" w14:textId="77777777" w:rsidR="00576F1A" w:rsidRPr="00576F1A" w:rsidRDefault="00576F1A">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14:paraId="00000016" w14:textId="77777777" w:rsidR="00186D9A" w:rsidRPr="00576F1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sidRPr="00576F1A">
        <w:rPr>
          <w:rFonts w:ascii="Times New Roman" w:eastAsia="Times New Roman" w:hAnsi="Times New Roman" w:cs="Times New Roman"/>
          <w:color w:val="000000"/>
          <w:sz w:val="32"/>
          <w:szCs w:val="32"/>
        </w:rPr>
        <w:t>ATLANTIC INTERNATIONAL UNIVERSITY</w:t>
      </w:r>
    </w:p>
    <w:p w14:paraId="00000017" w14:textId="6E9E34E9" w:rsidR="00186D9A" w:rsidRDefault="0017223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Octo</w:t>
      </w:r>
      <w:r w:rsidR="00576F1A">
        <w:rPr>
          <w:rFonts w:ascii="Times New Roman" w:eastAsia="Times New Roman" w:hAnsi="Times New Roman" w:cs="Times New Roman"/>
          <w:b/>
          <w:sz w:val="32"/>
          <w:szCs w:val="32"/>
        </w:rPr>
        <w:t>ber</w:t>
      </w:r>
      <w:r w:rsidR="00576F1A" w:rsidRPr="00576F1A">
        <w:rPr>
          <w:rFonts w:ascii="Times New Roman" w:eastAsia="Times New Roman" w:hAnsi="Times New Roman" w:cs="Times New Roman"/>
          <w:b/>
          <w:sz w:val="32"/>
          <w:szCs w:val="32"/>
        </w:rPr>
        <w:t>/2023</w:t>
      </w:r>
    </w:p>
    <w:p w14:paraId="00000018" w14:textId="77777777" w:rsidR="00186D9A" w:rsidRPr="001F0D9C" w:rsidRDefault="00000000" w:rsidP="001F0D9C">
      <w:pPr>
        <w:keepNext/>
        <w:keepLines/>
        <w:pBdr>
          <w:top w:val="nil"/>
          <w:left w:val="nil"/>
          <w:bottom w:val="nil"/>
          <w:right w:val="nil"/>
          <w:between w:val="nil"/>
        </w:pBdr>
        <w:spacing w:before="240" w:after="0" w:line="276" w:lineRule="auto"/>
        <w:jc w:val="both"/>
        <w:rPr>
          <w:rFonts w:ascii="Times New Roman" w:eastAsia="Times New Roman" w:hAnsi="Times New Roman" w:cs="Times New Roman"/>
          <w:b/>
          <w:sz w:val="32"/>
          <w:szCs w:val="32"/>
        </w:rPr>
      </w:pPr>
      <w:r w:rsidRPr="001F0D9C">
        <w:rPr>
          <w:rFonts w:ascii="Times New Roman" w:eastAsia="Times New Roman" w:hAnsi="Times New Roman" w:cs="Times New Roman"/>
          <w:b/>
          <w:sz w:val="32"/>
          <w:szCs w:val="32"/>
        </w:rPr>
        <w:lastRenderedPageBreak/>
        <w:t>Table of Contents</w:t>
      </w:r>
    </w:p>
    <w:p w14:paraId="00000019" w14:textId="77777777" w:rsidR="00186D9A" w:rsidRPr="001F0D9C" w:rsidRDefault="00186D9A" w:rsidP="001F0D9C">
      <w:pPr>
        <w:keepNext/>
        <w:keepLines/>
        <w:pBdr>
          <w:top w:val="nil"/>
          <w:left w:val="nil"/>
          <w:bottom w:val="nil"/>
          <w:right w:val="nil"/>
          <w:between w:val="nil"/>
        </w:pBdr>
        <w:spacing w:before="240" w:after="0" w:line="276" w:lineRule="auto"/>
        <w:jc w:val="both"/>
        <w:rPr>
          <w:rFonts w:ascii="Times New Roman" w:eastAsia="Times New Roman" w:hAnsi="Times New Roman" w:cs="Times New Roman"/>
          <w:color w:val="2F5496"/>
          <w:sz w:val="32"/>
          <w:szCs w:val="32"/>
        </w:rPr>
      </w:pPr>
    </w:p>
    <w:sdt>
      <w:sdtPr>
        <w:rPr>
          <w:rFonts w:ascii="Times New Roman" w:hAnsi="Times New Roman" w:cs="Times New Roman"/>
        </w:rPr>
        <w:id w:val="546103584"/>
        <w:docPartObj>
          <w:docPartGallery w:val="Table of Contents"/>
          <w:docPartUnique/>
        </w:docPartObj>
      </w:sdtPr>
      <w:sdtContent>
        <w:p w14:paraId="5C791F2D" w14:textId="388D2B04" w:rsidR="00A02539" w:rsidRPr="001F0D9C" w:rsidRDefault="00000000" w:rsidP="001F0D9C">
          <w:pPr>
            <w:pStyle w:val="TOC1"/>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r w:rsidRPr="001F0D9C">
            <w:rPr>
              <w:rFonts w:ascii="Times New Roman" w:hAnsi="Times New Roman" w:cs="Times New Roman"/>
            </w:rPr>
            <w:fldChar w:fldCharType="begin"/>
          </w:r>
          <w:r w:rsidRPr="001F0D9C">
            <w:rPr>
              <w:rFonts w:ascii="Times New Roman" w:hAnsi="Times New Roman" w:cs="Times New Roman"/>
            </w:rPr>
            <w:instrText xml:space="preserve"> TOC \h \u \z \t "Heading 1,1,Heading 2,2,Heading 3,3,"</w:instrText>
          </w:r>
          <w:r w:rsidRPr="001F0D9C">
            <w:rPr>
              <w:rFonts w:ascii="Times New Roman" w:hAnsi="Times New Roman" w:cs="Times New Roman"/>
            </w:rPr>
            <w:fldChar w:fldCharType="separate"/>
          </w:r>
          <w:hyperlink w:anchor="_Toc146481274" w:history="1">
            <w:r w:rsidR="00A02539" w:rsidRPr="001F0D9C">
              <w:rPr>
                <w:rStyle w:val="Hyperlink"/>
                <w:rFonts w:ascii="Times New Roman" w:eastAsia="Times New Roman" w:hAnsi="Times New Roman" w:cs="Times New Roman"/>
                <w:b/>
                <w:noProof/>
              </w:rPr>
              <w:t>Introduction</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_Toc146481274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4</w:t>
            </w:r>
            <w:r w:rsidR="00A02539" w:rsidRPr="001F0D9C">
              <w:rPr>
                <w:rFonts w:ascii="Times New Roman" w:hAnsi="Times New Roman" w:cs="Times New Roman"/>
                <w:noProof/>
                <w:webHidden/>
              </w:rPr>
              <w:fldChar w:fldCharType="end"/>
            </w:r>
          </w:hyperlink>
        </w:p>
        <w:p w14:paraId="2DADE6CD" w14:textId="081D2833" w:rsidR="00A02539" w:rsidRPr="001F0D9C" w:rsidRDefault="00000000" w:rsidP="001F0D9C">
          <w:pPr>
            <w:pStyle w:val="TOC1"/>
            <w:tabs>
              <w:tab w:val="left" w:pos="44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75" w:history="1">
            <w:r w:rsidR="00A02539" w:rsidRPr="001F0D9C">
              <w:rPr>
                <w:rStyle w:val="Hyperlink"/>
                <w:rFonts w:ascii="Times New Roman" w:eastAsia="Times New Roman" w:hAnsi="Times New Roman" w:cs="Times New Roman"/>
                <w:b/>
                <w:noProof/>
              </w:rPr>
              <w:t>1.</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Importance of Risk Financing and Treasury Management in Economic Stability</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_Toc146481275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5</w:t>
            </w:r>
            <w:r w:rsidR="00A02539" w:rsidRPr="001F0D9C">
              <w:rPr>
                <w:rFonts w:ascii="Times New Roman" w:hAnsi="Times New Roman" w:cs="Times New Roman"/>
                <w:noProof/>
                <w:webHidden/>
              </w:rPr>
              <w:fldChar w:fldCharType="end"/>
            </w:r>
          </w:hyperlink>
        </w:p>
        <w:p w14:paraId="037C1E11" w14:textId="060432CE" w:rsidR="00A02539" w:rsidRPr="001F0D9C" w:rsidRDefault="00000000" w:rsidP="001F0D9C">
          <w:pPr>
            <w:pStyle w:val="TOC2"/>
            <w:tabs>
              <w:tab w:val="left" w:pos="88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76" w:history="1">
            <w:r w:rsidR="00A02539" w:rsidRPr="001F0D9C">
              <w:rPr>
                <w:rStyle w:val="Hyperlink"/>
                <w:rFonts w:ascii="Times New Roman" w:eastAsia="Times New Roman" w:hAnsi="Times New Roman" w:cs="Times New Roman"/>
                <w:b/>
                <w:bCs/>
                <w:noProof/>
              </w:rPr>
              <w:t>1.4.</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bCs/>
                <w:noProof/>
              </w:rPr>
              <w:t>Sovereign Wealth Funds (SWFs)</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_Toc146481276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14</w:t>
            </w:r>
            <w:r w:rsidR="00A02539" w:rsidRPr="001F0D9C">
              <w:rPr>
                <w:rFonts w:ascii="Times New Roman" w:hAnsi="Times New Roman" w:cs="Times New Roman"/>
                <w:noProof/>
                <w:webHidden/>
              </w:rPr>
              <w:fldChar w:fldCharType="end"/>
            </w:r>
          </w:hyperlink>
        </w:p>
        <w:p w14:paraId="4B9A329D" w14:textId="03A38358" w:rsidR="00A02539" w:rsidRPr="001F0D9C" w:rsidRDefault="00000000" w:rsidP="001F0D9C">
          <w:pPr>
            <w:pStyle w:val="TOC1"/>
            <w:tabs>
              <w:tab w:val="left" w:pos="44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77" w:history="1">
            <w:r w:rsidR="00A02539" w:rsidRPr="001F0D9C">
              <w:rPr>
                <w:rStyle w:val="Hyperlink"/>
                <w:rFonts w:ascii="Times New Roman" w:eastAsia="Times New Roman" w:hAnsi="Times New Roman" w:cs="Times New Roman"/>
                <w:b/>
                <w:bCs/>
                <w:noProof/>
              </w:rPr>
              <w:t>2.</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bCs/>
                <w:noProof/>
              </w:rPr>
              <w:t>Risk Identification, Assessment and Mitigation</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_Toc146481277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17</w:t>
            </w:r>
            <w:r w:rsidR="00A02539" w:rsidRPr="001F0D9C">
              <w:rPr>
                <w:rFonts w:ascii="Times New Roman" w:hAnsi="Times New Roman" w:cs="Times New Roman"/>
                <w:noProof/>
                <w:webHidden/>
              </w:rPr>
              <w:fldChar w:fldCharType="end"/>
            </w:r>
          </w:hyperlink>
        </w:p>
        <w:p w14:paraId="759492F7" w14:textId="7397BF9D" w:rsidR="00A02539" w:rsidRPr="001F0D9C" w:rsidRDefault="00000000" w:rsidP="001F0D9C">
          <w:pPr>
            <w:pStyle w:val="TOC2"/>
            <w:tabs>
              <w:tab w:val="left" w:pos="88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78" w:history="1">
            <w:r w:rsidR="00A02539" w:rsidRPr="001F0D9C">
              <w:rPr>
                <w:rStyle w:val="Hyperlink"/>
                <w:rFonts w:ascii="Times New Roman" w:eastAsia="Times New Roman" w:hAnsi="Times New Roman" w:cs="Times New Roman"/>
                <w:b/>
                <w:bCs/>
                <w:noProof/>
              </w:rPr>
              <w:t>2.1.</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bCs/>
                <w:noProof/>
              </w:rPr>
              <w:t>Risk Identification</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_Toc146481278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18</w:t>
            </w:r>
            <w:r w:rsidR="00A02539" w:rsidRPr="001F0D9C">
              <w:rPr>
                <w:rFonts w:ascii="Times New Roman" w:hAnsi="Times New Roman" w:cs="Times New Roman"/>
                <w:noProof/>
                <w:webHidden/>
              </w:rPr>
              <w:fldChar w:fldCharType="end"/>
            </w:r>
          </w:hyperlink>
        </w:p>
        <w:p w14:paraId="5FD6F714" w14:textId="400DBCC3" w:rsidR="00A02539" w:rsidRPr="001F0D9C" w:rsidRDefault="00000000" w:rsidP="001F0D9C">
          <w:pPr>
            <w:pStyle w:val="TOC3"/>
            <w:tabs>
              <w:tab w:val="left" w:pos="110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79" w:history="1">
            <w:r w:rsidR="00A02539" w:rsidRPr="001F0D9C">
              <w:rPr>
                <w:rStyle w:val="Hyperlink"/>
                <w:rFonts w:ascii="Times New Roman" w:hAnsi="Times New Roman" w:cs="Times New Roman"/>
                <w:noProof/>
              </w:rPr>
              <w:t>2.2.</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hAnsi="Times New Roman" w:cs="Times New Roman"/>
                <w:noProof/>
              </w:rPr>
              <w:t>Risk Assessment</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_Toc146481279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19</w:t>
            </w:r>
            <w:r w:rsidR="00A02539" w:rsidRPr="001F0D9C">
              <w:rPr>
                <w:rFonts w:ascii="Times New Roman" w:hAnsi="Times New Roman" w:cs="Times New Roman"/>
                <w:noProof/>
                <w:webHidden/>
              </w:rPr>
              <w:fldChar w:fldCharType="end"/>
            </w:r>
          </w:hyperlink>
        </w:p>
        <w:p w14:paraId="54D1A317" w14:textId="20A71613" w:rsidR="00A02539" w:rsidRPr="001F0D9C" w:rsidRDefault="00000000" w:rsidP="001F0D9C">
          <w:pPr>
            <w:pStyle w:val="TOC3"/>
            <w:tabs>
              <w:tab w:val="left" w:pos="110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80" w:history="1">
            <w:r w:rsidR="00A02539" w:rsidRPr="001F0D9C">
              <w:rPr>
                <w:rStyle w:val="Hyperlink"/>
                <w:rFonts w:ascii="Times New Roman" w:hAnsi="Times New Roman" w:cs="Times New Roman"/>
                <w:noProof/>
              </w:rPr>
              <w:t>2.3.</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hAnsi="Times New Roman" w:cs="Times New Roman"/>
                <w:noProof/>
              </w:rPr>
              <w:t>Risk Mitigation</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_Toc146481280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21</w:t>
            </w:r>
            <w:r w:rsidR="00A02539" w:rsidRPr="001F0D9C">
              <w:rPr>
                <w:rFonts w:ascii="Times New Roman" w:hAnsi="Times New Roman" w:cs="Times New Roman"/>
                <w:noProof/>
                <w:webHidden/>
              </w:rPr>
              <w:fldChar w:fldCharType="end"/>
            </w:r>
          </w:hyperlink>
        </w:p>
        <w:p w14:paraId="096A879E" w14:textId="185881F9" w:rsidR="00A02539" w:rsidRPr="001F0D9C" w:rsidRDefault="00000000" w:rsidP="001F0D9C">
          <w:pPr>
            <w:pStyle w:val="TOC1"/>
            <w:tabs>
              <w:tab w:val="left" w:pos="44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81" w:history="1">
            <w:r w:rsidR="00A02539" w:rsidRPr="001F0D9C">
              <w:rPr>
                <w:rStyle w:val="Hyperlink"/>
                <w:rFonts w:ascii="Times New Roman" w:eastAsia="Times New Roman" w:hAnsi="Times New Roman" w:cs="Times New Roman"/>
                <w:b/>
                <w:noProof/>
              </w:rPr>
              <w:t>3.</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Managing Risks Through Treasury Operations</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_Toc146481281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28</w:t>
            </w:r>
            <w:r w:rsidR="00A02539" w:rsidRPr="001F0D9C">
              <w:rPr>
                <w:rFonts w:ascii="Times New Roman" w:hAnsi="Times New Roman" w:cs="Times New Roman"/>
                <w:noProof/>
                <w:webHidden/>
              </w:rPr>
              <w:fldChar w:fldCharType="end"/>
            </w:r>
          </w:hyperlink>
        </w:p>
        <w:p w14:paraId="56E17F34" w14:textId="39F2A01A" w:rsidR="00A02539" w:rsidRPr="001F0D9C" w:rsidRDefault="00000000" w:rsidP="001F0D9C">
          <w:pPr>
            <w:pStyle w:val="TOC2"/>
            <w:tabs>
              <w:tab w:val="left" w:pos="88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82" w:history="1">
            <w:r w:rsidR="00A02539" w:rsidRPr="001F0D9C">
              <w:rPr>
                <w:rStyle w:val="Hyperlink"/>
                <w:rFonts w:ascii="Times New Roman" w:eastAsia="Times New Roman" w:hAnsi="Times New Roman" w:cs="Times New Roman"/>
                <w:b/>
                <w:noProof/>
              </w:rPr>
              <w:t>3.1.</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Treasury Management</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_Toc146481282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28</w:t>
            </w:r>
            <w:r w:rsidR="00A02539" w:rsidRPr="001F0D9C">
              <w:rPr>
                <w:rFonts w:ascii="Times New Roman" w:hAnsi="Times New Roman" w:cs="Times New Roman"/>
                <w:noProof/>
                <w:webHidden/>
              </w:rPr>
              <w:fldChar w:fldCharType="end"/>
            </w:r>
          </w:hyperlink>
        </w:p>
        <w:p w14:paraId="23D9E0AF" w14:textId="10E063F5" w:rsidR="00A02539" w:rsidRPr="001F0D9C" w:rsidRDefault="00000000" w:rsidP="001F0D9C">
          <w:pPr>
            <w:pStyle w:val="TOC2"/>
            <w:tabs>
              <w:tab w:val="left" w:pos="88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83" w:history="1">
            <w:r w:rsidR="00A02539" w:rsidRPr="001F0D9C">
              <w:rPr>
                <w:rStyle w:val="Hyperlink"/>
                <w:rFonts w:ascii="Times New Roman" w:eastAsia="Times New Roman" w:hAnsi="Times New Roman" w:cs="Times New Roman"/>
                <w:b/>
                <w:noProof/>
              </w:rPr>
              <w:t>3.2.</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Cash Management and Liquidity Risk</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_Toc146481283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29</w:t>
            </w:r>
            <w:r w:rsidR="00A02539" w:rsidRPr="001F0D9C">
              <w:rPr>
                <w:rFonts w:ascii="Times New Roman" w:hAnsi="Times New Roman" w:cs="Times New Roman"/>
                <w:noProof/>
                <w:webHidden/>
              </w:rPr>
              <w:fldChar w:fldCharType="end"/>
            </w:r>
          </w:hyperlink>
        </w:p>
        <w:p w14:paraId="788D5789" w14:textId="77D68D02" w:rsidR="00A02539" w:rsidRPr="001F0D9C" w:rsidRDefault="00000000" w:rsidP="001F0D9C">
          <w:pPr>
            <w:pStyle w:val="TOC1"/>
            <w:tabs>
              <w:tab w:val="left" w:pos="44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84" w:history="1">
            <w:r w:rsidR="00A02539" w:rsidRPr="001F0D9C">
              <w:rPr>
                <w:rStyle w:val="Hyperlink"/>
                <w:rFonts w:ascii="Times New Roman" w:hAnsi="Times New Roman" w:cs="Times New Roman"/>
                <w:b/>
                <w:bCs/>
                <w:noProof/>
              </w:rPr>
              <w:t>4.</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hAnsi="Times New Roman" w:cs="Times New Roman"/>
                <w:b/>
                <w:bCs/>
                <w:noProof/>
              </w:rPr>
              <w:t>Implications of Risk Financing Decisions</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_Toc146481284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30</w:t>
            </w:r>
            <w:r w:rsidR="00A02539" w:rsidRPr="001F0D9C">
              <w:rPr>
                <w:rFonts w:ascii="Times New Roman" w:hAnsi="Times New Roman" w:cs="Times New Roman"/>
                <w:noProof/>
                <w:webHidden/>
              </w:rPr>
              <w:fldChar w:fldCharType="end"/>
            </w:r>
          </w:hyperlink>
        </w:p>
        <w:p w14:paraId="61642B4A" w14:textId="75DA9393" w:rsidR="00A02539" w:rsidRPr="001F0D9C" w:rsidRDefault="00000000" w:rsidP="001F0D9C">
          <w:pPr>
            <w:pStyle w:val="TOC2"/>
            <w:tabs>
              <w:tab w:val="left" w:pos="88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85" w:history="1">
            <w:r w:rsidR="00A02539" w:rsidRPr="001F0D9C">
              <w:rPr>
                <w:rStyle w:val="Hyperlink"/>
                <w:rFonts w:ascii="Times New Roman" w:eastAsia="Times New Roman" w:hAnsi="Times New Roman" w:cs="Times New Roman"/>
                <w:b/>
                <w:noProof/>
              </w:rPr>
              <w:t>4.1.</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Cost Management</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_Toc146481285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30</w:t>
            </w:r>
            <w:r w:rsidR="00A02539" w:rsidRPr="001F0D9C">
              <w:rPr>
                <w:rFonts w:ascii="Times New Roman" w:hAnsi="Times New Roman" w:cs="Times New Roman"/>
                <w:noProof/>
                <w:webHidden/>
              </w:rPr>
              <w:fldChar w:fldCharType="end"/>
            </w:r>
          </w:hyperlink>
        </w:p>
        <w:p w14:paraId="5ADD8DEC" w14:textId="01D781EB" w:rsidR="00A02539" w:rsidRPr="001F0D9C" w:rsidRDefault="00000000" w:rsidP="001F0D9C">
          <w:pPr>
            <w:pStyle w:val="TOC2"/>
            <w:tabs>
              <w:tab w:val="left" w:pos="88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86" w:history="1">
            <w:r w:rsidR="00A02539" w:rsidRPr="001F0D9C">
              <w:rPr>
                <w:rStyle w:val="Hyperlink"/>
                <w:rFonts w:ascii="Times New Roman" w:eastAsia="Times New Roman" w:hAnsi="Times New Roman" w:cs="Times New Roman"/>
                <w:b/>
                <w:noProof/>
              </w:rPr>
              <w:t>4.2.</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Liquidity and Cash Flow</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_Toc146481286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30</w:t>
            </w:r>
            <w:r w:rsidR="00A02539" w:rsidRPr="001F0D9C">
              <w:rPr>
                <w:rFonts w:ascii="Times New Roman" w:hAnsi="Times New Roman" w:cs="Times New Roman"/>
                <w:noProof/>
                <w:webHidden/>
              </w:rPr>
              <w:fldChar w:fldCharType="end"/>
            </w:r>
          </w:hyperlink>
        </w:p>
        <w:p w14:paraId="009A80FD" w14:textId="20E3264B" w:rsidR="00A02539" w:rsidRPr="001F0D9C" w:rsidRDefault="00000000" w:rsidP="001F0D9C">
          <w:pPr>
            <w:pStyle w:val="TOC2"/>
            <w:tabs>
              <w:tab w:val="left" w:pos="88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87" w:history="1">
            <w:r w:rsidR="00A02539" w:rsidRPr="001F0D9C">
              <w:rPr>
                <w:rStyle w:val="Hyperlink"/>
                <w:rFonts w:ascii="Times New Roman" w:eastAsia="Times New Roman" w:hAnsi="Times New Roman" w:cs="Times New Roman"/>
                <w:b/>
                <w:noProof/>
              </w:rPr>
              <w:t>4.3.</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Capital Allocation</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_Toc146481287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31</w:t>
            </w:r>
            <w:r w:rsidR="00A02539" w:rsidRPr="001F0D9C">
              <w:rPr>
                <w:rFonts w:ascii="Times New Roman" w:hAnsi="Times New Roman" w:cs="Times New Roman"/>
                <w:noProof/>
                <w:webHidden/>
              </w:rPr>
              <w:fldChar w:fldCharType="end"/>
            </w:r>
          </w:hyperlink>
        </w:p>
        <w:p w14:paraId="42530CC1" w14:textId="7C5FAB7C" w:rsidR="00A02539" w:rsidRPr="001F0D9C" w:rsidRDefault="00000000" w:rsidP="001F0D9C">
          <w:pPr>
            <w:pStyle w:val="TOC2"/>
            <w:tabs>
              <w:tab w:val="left" w:pos="88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88" w:history="1">
            <w:r w:rsidR="00A02539" w:rsidRPr="001F0D9C">
              <w:rPr>
                <w:rStyle w:val="Hyperlink"/>
                <w:rFonts w:ascii="Times New Roman" w:eastAsia="Times New Roman" w:hAnsi="Times New Roman" w:cs="Times New Roman"/>
                <w:b/>
                <w:noProof/>
              </w:rPr>
              <w:t>4.4.</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Creditworthiness</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_Toc146481288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31</w:t>
            </w:r>
            <w:r w:rsidR="00A02539" w:rsidRPr="001F0D9C">
              <w:rPr>
                <w:rFonts w:ascii="Times New Roman" w:hAnsi="Times New Roman" w:cs="Times New Roman"/>
                <w:noProof/>
                <w:webHidden/>
              </w:rPr>
              <w:fldChar w:fldCharType="end"/>
            </w:r>
          </w:hyperlink>
        </w:p>
        <w:p w14:paraId="071D0D5A" w14:textId="067AC99E" w:rsidR="00A02539" w:rsidRPr="001F0D9C" w:rsidRDefault="00000000" w:rsidP="001F0D9C">
          <w:pPr>
            <w:pStyle w:val="TOC2"/>
            <w:tabs>
              <w:tab w:val="left" w:pos="88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89" w:history="1">
            <w:r w:rsidR="00A02539" w:rsidRPr="001F0D9C">
              <w:rPr>
                <w:rStyle w:val="Hyperlink"/>
                <w:rFonts w:ascii="Times New Roman" w:eastAsia="Times New Roman" w:hAnsi="Times New Roman" w:cs="Times New Roman"/>
                <w:b/>
                <w:noProof/>
              </w:rPr>
              <w:t>4.5.</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Resilience and Sustainability</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_Toc146481289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31</w:t>
            </w:r>
            <w:r w:rsidR="00A02539" w:rsidRPr="001F0D9C">
              <w:rPr>
                <w:rFonts w:ascii="Times New Roman" w:hAnsi="Times New Roman" w:cs="Times New Roman"/>
                <w:noProof/>
                <w:webHidden/>
              </w:rPr>
              <w:fldChar w:fldCharType="end"/>
            </w:r>
          </w:hyperlink>
        </w:p>
        <w:p w14:paraId="0095EE58" w14:textId="174D55EE" w:rsidR="00A02539" w:rsidRPr="001F0D9C" w:rsidRDefault="00000000" w:rsidP="001F0D9C">
          <w:pPr>
            <w:pStyle w:val="TOC1"/>
            <w:tabs>
              <w:tab w:val="left" w:pos="44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90" w:history="1">
            <w:r w:rsidR="00A02539" w:rsidRPr="001F0D9C">
              <w:rPr>
                <w:rStyle w:val="Hyperlink"/>
                <w:rFonts w:ascii="Times New Roman" w:eastAsia="Times New Roman" w:hAnsi="Times New Roman" w:cs="Times New Roman"/>
                <w:b/>
                <w:noProof/>
              </w:rPr>
              <w:t>5.</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Summary</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_Toc146481290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32</w:t>
            </w:r>
            <w:r w:rsidR="00A02539" w:rsidRPr="001F0D9C">
              <w:rPr>
                <w:rFonts w:ascii="Times New Roman" w:hAnsi="Times New Roman" w:cs="Times New Roman"/>
                <w:noProof/>
                <w:webHidden/>
              </w:rPr>
              <w:fldChar w:fldCharType="end"/>
            </w:r>
          </w:hyperlink>
        </w:p>
        <w:p w14:paraId="12E565BC" w14:textId="58D85F21" w:rsidR="00A02539" w:rsidRPr="001F0D9C" w:rsidRDefault="00000000" w:rsidP="001F0D9C">
          <w:pPr>
            <w:pStyle w:val="TOC1"/>
            <w:tabs>
              <w:tab w:val="left" w:pos="440"/>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91" w:history="1">
            <w:r w:rsidR="00A02539" w:rsidRPr="001F0D9C">
              <w:rPr>
                <w:rStyle w:val="Hyperlink"/>
                <w:rFonts w:ascii="Times New Roman" w:eastAsia="Times New Roman" w:hAnsi="Times New Roman" w:cs="Times New Roman"/>
                <w:b/>
                <w:noProof/>
              </w:rPr>
              <w:t>6.</w:t>
            </w:r>
            <w:r w:rsidR="00A02539" w:rsidRPr="001F0D9C">
              <w:rPr>
                <w:rFonts w:ascii="Times New Roman" w:eastAsiaTheme="minorEastAsia" w:hAnsi="Times New Roman" w:cs="Times New Roman"/>
                <w:noProof/>
                <w:kern w:val="2"/>
                <w:lang w:eastAsia="en-US"/>
                <w14:ligatures w14:val="standardContextual"/>
              </w:rPr>
              <w:tab/>
            </w:r>
            <w:r w:rsidR="00A02539" w:rsidRPr="001F0D9C">
              <w:rPr>
                <w:rStyle w:val="Hyperlink"/>
                <w:rFonts w:ascii="Times New Roman" w:eastAsia="Times New Roman" w:hAnsi="Times New Roman" w:cs="Times New Roman"/>
                <w:b/>
                <w:noProof/>
              </w:rPr>
              <w:t>End of Chapter Questions</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_Toc146481291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32</w:t>
            </w:r>
            <w:r w:rsidR="00A02539" w:rsidRPr="001F0D9C">
              <w:rPr>
                <w:rFonts w:ascii="Times New Roman" w:hAnsi="Times New Roman" w:cs="Times New Roman"/>
                <w:noProof/>
                <w:webHidden/>
              </w:rPr>
              <w:fldChar w:fldCharType="end"/>
            </w:r>
          </w:hyperlink>
        </w:p>
        <w:p w14:paraId="057CA6E2" w14:textId="6541913C" w:rsidR="00A02539" w:rsidRPr="001F0D9C" w:rsidRDefault="00000000" w:rsidP="001F0D9C">
          <w:pPr>
            <w:pStyle w:val="TOC1"/>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92" w:history="1">
            <w:r w:rsidR="00A02539" w:rsidRPr="001F0D9C">
              <w:rPr>
                <w:rStyle w:val="Hyperlink"/>
                <w:rFonts w:ascii="Times New Roman" w:eastAsia="Times New Roman" w:hAnsi="Times New Roman" w:cs="Times New Roman"/>
                <w:b/>
                <w:noProof/>
              </w:rPr>
              <w:t>Bibliography</w:t>
            </w:r>
            <w:r w:rsidR="00A02539" w:rsidRPr="001F0D9C">
              <w:rPr>
                <w:rFonts w:ascii="Times New Roman" w:hAnsi="Times New Roman" w:cs="Times New Roman"/>
                <w:noProof/>
                <w:webHidden/>
              </w:rPr>
              <w:tab/>
            </w:r>
            <w:r w:rsidR="00A02539" w:rsidRPr="001F0D9C">
              <w:rPr>
                <w:rFonts w:ascii="Times New Roman" w:hAnsi="Times New Roman" w:cs="Times New Roman"/>
                <w:noProof/>
                <w:webHidden/>
              </w:rPr>
              <w:fldChar w:fldCharType="begin"/>
            </w:r>
            <w:r w:rsidR="00A02539" w:rsidRPr="001F0D9C">
              <w:rPr>
                <w:rFonts w:ascii="Times New Roman" w:hAnsi="Times New Roman" w:cs="Times New Roman"/>
                <w:noProof/>
                <w:webHidden/>
              </w:rPr>
              <w:instrText xml:space="preserve"> PAGEREF _Toc146481292 \h </w:instrText>
            </w:r>
            <w:r w:rsidR="00A02539" w:rsidRPr="001F0D9C">
              <w:rPr>
                <w:rFonts w:ascii="Times New Roman" w:hAnsi="Times New Roman" w:cs="Times New Roman"/>
                <w:noProof/>
                <w:webHidden/>
              </w:rPr>
            </w:r>
            <w:r w:rsidR="00A02539" w:rsidRPr="001F0D9C">
              <w:rPr>
                <w:rFonts w:ascii="Times New Roman" w:hAnsi="Times New Roman" w:cs="Times New Roman"/>
                <w:noProof/>
                <w:webHidden/>
              </w:rPr>
              <w:fldChar w:fldCharType="separate"/>
            </w:r>
            <w:r w:rsidR="00A02539" w:rsidRPr="001F0D9C">
              <w:rPr>
                <w:rFonts w:ascii="Times New Roman" w:hAnsi="Times New Roman" w:cs="Times New Roman"/>
                <w:noProof/>
                <w:webHidden/>
              </w:rPr>
              <w:t>34</w:t>
            </w:r>
            <w:r w:rsidR="00A02539" w:rsidRPr="001F0D9C">
              <w:rPr>
                <w:rFonts w:ascii="Times New Roman" w:hAnsi="Times New Roman" w:cs="Times New Roman"/>
                <w:noProof/>
                <w:webHidden/>
              </w:rPr>
              <w:fldChar w:fldCharType="end"/>
            </w:r>
          </w:hyperlink>
        </w:p>
        <w:p w14:paraId="00000036" w14:textId="1A1AD2F4" w:rsidR="00186D9A" w:rsidRPr="001F0D9C" w:rsidRDefault="00000000" w:rsidP="001F0D9C">
          <w:pPr>
            <w:widowControl w:val="0"/>
            <w:tabs>
              <w:tab w:val="right" w:leader="dot" w:pos="12000"/>
            </w:tabs>
            <w:spacing w:before="60" w:after="0" w:line="276" w:lineRule="auto"/>
            <w:jc w:val="both"/>
            <w:rPr>
              <w:rFonts w:ascii="Times New Roman" w:eastAsia="Arial" w:hAnsi="Times New Roman" w:cs="Times New Roman"/>
              <w:b/>
              <w:color w:val="000000"/>
            </w:rPr>
          </w:pPr>
          <w:r w:rsidRPr="001F0D9C">
            <w:rPr>
              <w:rFonts w:ascii="Times New Roman" w:hAnsi="Times New Roman" w:cs="Times New Roman"/>
            </w:rPr>
            <w:fldChar w:fldCharType="end"/>
          </w:r>
        </w:p>
      </w:sdtContent>
    </w:sdt>
    <w:p w14:paraId="00000038" w14:textId="39321FA8" w:rsidR="00186D9A" w:rsidRPr="001F0D9C" w:rsidRDefault="00186D9A" w:rsidP="001F0D9C">
      <w:pPr>
        <w:spacing w:line="276" w:lineRule="auto"/>
        <w:jc w:val="both"/>
        <w:rPr>
          <w:rFonts w:ascii="Times New Roman" w:eastAsia="Times New Roman" w:hAnsi="Times New Roman" w:cs="Times New Roman"/>
          <w:b/>
          <w:sz w:val="24"/>
          <w:szCs w:val="24"/>
        </w:rPr>
      </w:pPr>
    </w:p>
    <w:p w14:paraId="30B3DF7D" w14:textId="77777777" w:rsidR="00DC24AA" w:rsidRPr="001F0D9C" w:rsidRDefault="00000000" w:rsidP="001F0D9C">
      <w:pPr>
        <w:spacing w:line="276" w:lineRule="auto"/>
        <w:jc w:val="both"/>
        <w:rPr>
          <w:rFonts w:ascii="Times New Roman" w:eastAsia="Times New Roman" w:hAnsi="Times New Roman" w:cs="Times New Roman"/>
          <w:b/>
          <w:sz w:val="24"/>
          <w:szCs w:val="24"/>
        </w:rPr>
      </w:pPr>
      <w:r w:rsidRPr="001F0D9C">
        <w:rPr>
          <w:rFonts w:ascii="Times New Roman" w:eastAsia="Times New Roman" w:hAnsi="Times New Roman" w:cs="Times New Roman"/>
          <w:b/>
          <w:sz w:val="24"/>
          <w:szCs w:val="24"/>
        </w:rPr>
        <w:t>List of Figures</w:t>
      </w:r>
    </w:p>
    <w:p w14:paraId="5B8118CD" w14:textId="02716ADA" w:rsidR="00B65206" w:rsidRPr="001F0D9C" w:rsidRDefault="00DC24AA"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r w:rsidRPr="001F0D9C">
        <w:rPr>
          <w:rFonts w:ascii="Times New Roman" w:eastAsia="Times New Roman" w:hAnsi="Times New Roman" w:cs="Times New Roman"/>
          <w:b/>
          <w:sz w:val="24"/>
          <w:szCs w:val="24"/>
        </w:rPr>
        <w:fldChar w:fldCharType="begin"/>
      </w:r>
      <w:r w:rsidRPr="001F0D9C">
        <w:rPr>
          <w:rFonts w:ascii="Times New Roman" w:eastAsia="Times New Roman" w:hAnsi="Times New Roman" w:cs="Times New Roman"/>
          <w:b/>
          <w:sz w:val="24"/>
          <w:szCs w:val="24"/>
        </w:rPr>
        <w:instrText xml:space="preserve"> TOC \h \z \c "Figure" </w:instrText>
      </w:r>
      <w:r w:rsidRPr="001F0D9C">
        <w:rPr>
          <w:rFonts w:ascii="Times New Roman" w:eastAsia="Times New Roman" w:hAnsi="Times New Roman" w:cs="Times New Roman"/>
          <w:b/>
          <w:sz w:val="24"/>
          <w:szCs w:val="24"/>
        </w:rPr>
        <w:fldChar w:fldCharType="separate"/>
      </w:r>
      <w:hyperlink w:anchor="_Toc146481293" w:history="1">
        <w:r w:rsidR="00B65206" w:rsidRPr="001F0D9C">
          <w:rPr>
            <w:rStyle w:val="Hyperlink"/>
            <w:rFonts w:ascii="Times New Roman" w:hAnsi="Times New Roman" w:cs="Times New Roman"/>
            <w:b/>
            <w:bCs/>
            <w:noProof/>
          </w:rPr>
          <w:t>Figure 1</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_Toc146481293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6</w:t>
        </w:r>
        <w:r w:rsidR="00B65206" w:rsidRPr="001F0D9C">
          <w:rPr>
            <w:rFonts w:ascii="Times New Roman" w:hAnsi="Times New Roman" w:cs="Times New Roman"/>
            <w:noProof/>
            <w:webHidden/>
          </w:rPr>
          <w:fldChar w:fldCharType="end"/>
        </w:r>
      </w:hyperlink>
    </w:p>
    <w:p w14:paraId="02A1515C" w14:textId="3E695E58" w:rsidR="00B65206" w:rsidRPr="001F0D9C" w:rsidRDefault="00000000"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94" w:history="1">
        <w:r w:rsidR="00B65206" w:rsidRPr="001F0D9C">
          <w:rPr>
            <w:rStyle w:val="Hyperlink"/>
            <w:rFonts w:ascii="Times New Roman" w:hAnsi="Times New Roman" w:cs="Times New Roman"/>
            <w:b/>
            <w:bCs/>
            <w:noProof/>
          </w:rPr>
          <w:t>Figure 2</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_Toc146481294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7</w:t>
        </w:r>
        <w:r w:rsidR="00B65206" w:rsidRPr="001F0D9C">
          <w:rPr>
            <w:rFonts w:ascii="Times New Roman" w:hAnsi="Times New Roman" w:cs="Times New Roman"/>
            <w:noProof/>
            <w:webHidden/>
          </w:rPr>
          <w:fldChar w:fldCharType="end"/>
        </w:r>
      </w:hyperlink>
    </w:p>
    <w:p w14:paraId="01BAE495" w14:textId="32A6216D" w:rsidR="00B65206" w:rsidRPr="001F0D9C" w:rsidRDefault="00000000"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95" w:history="1">
        <w:r w:rsidR="00B65206" w:rsidRPr="001F0D9C">
          <w:rPr>
            <w:rStyle w:val="Hyperlink"/>
            <w:rFonts w:ascii="Times New Roman" w:hAnsi="Times New Roman" w:cs="Times New Roman"/>
            <w:b/>
            <w:bCs/>
            <w:noProof/>
          </w:rPr>
          <w:t>Figure 3</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_Toc146481295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9</w:t>
        </w:r>
        <w:r w:rsidR="00B65206" w:rsidRPr="001F0D9C">
          <w:rPr>
            <w:rFonts w:ascii="Times New Roman" w:hAnsi="Times New Roman" w:cs="Times New Roman"/>
            <w:noProof/>
            <w:webHidden/>
          </w:rPr>
          <w:fldChar w:fldCharType="end"/>
        </w:r>
      </w:hyperlink>
    </w:p>
    <w:p w14:paraId="79DFD768" w14:textId="01DD0ACA" w:rsidR="00B65206" w:rsidRPr="001F0D9C" w:rsidRDefault="00000000"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96" w:history="1">
        <w:r w:rsidR="00B65206" w:rsidRPr="001F0D9C">
          <w:rPr>
            <w:rStyle w:val="Hyperlink"/>
            <w:rFonts w:ascii="Times New Roman" w:hAnsi="Times New Roman" w:cs="Times New Roman"/>
            <w:b/>
            <w:bCs/>
            <w:noProof/>
          </w:rPr>
          <w:t>Figure 4</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_Toc146481296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9</w:t>
        </w:r>
        <w:r w:rsidR="00B65206" w:rsidRPr="001F0D9C">
          <w:rPr>
            <w:rFonts w:ascii="Times New Roman" w:hAnsi="Times New Roman" w:cs="Times New Roman"/>
            <w:noProof/>
            <w:webHidden/>
          </w:rPr>
          <w:fldChar w:fldCharType="end"/>
        </w:r>
      </w:hyperlink>
    </w:p>
    <w:p w14:paraId="1B57B939" w14:textId="1AF4737B" w:rsidR="00B65206" w:rsidRPr="001F0D9C" w:rsidRDefault="00000000"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97" w:history="1">
        <w:r w:rsidR="00B65206" w:rsidRPr="001F0D9C">
          <w:rPr>
            <w:rStyle w:val="Hyperlink"/>
            <w:rFonts w:ascii="Times New Roman" w:hAnsi="Times New Roman" w:cs="Times New Roman"/>
            <w:b/>
            <w:bCs/>
            <w:noProof/>
          </w:rPr>
          <w:t>Figure 5</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_Toc146481297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10</w:t>
        </w:r>
        <w:r w:rsidR="00B65206" w:rsidRPr="001F0D9C">
          <w:rPr>
            <w:rFonts w:ascii="Times New Roman" w:hAnsi="Times New Roman" w:cs="Times New Roman"/>
            <w:noProof/>
            <w:webHidden/>
          </w:rPr>
          <w:fldChar w:fldCharType="end"/>
        </w:r>
      </w:hyperlink>
    </w:p>
    <w:p w14:paraId="0F698911" w14:textId="583311A0" w:rsidR="00B65206" w:rsidRPr="001F0D9C" w:rsidRDefault="00000000"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98" w:history="1">
        <w:r w:rsidR="00B65206" w:rsidRPr="001F0D9C">
          <w:rPr>
            <w:rStyle w:val="Hyperlink"/>
            <w:rFonts w:ascii="Times New Roman" w:hAnsi="Times New Roman" w:cs="Times New Roman"/>
            <w:b/>
            <w:bCs/>
            <w:noProof/>
          </w:rPr>
          <w:t>Figure 6</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_Toc146481298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12</w:t>
        </w:r>
        <w:r w:rsidR="00B65206" w:rsidRPr="001F0D9C">
          <w:rPr>
            <w:rFonts w:ascii="Times New Roman" w:hAnsi="Times New Roman" w:cs="Times New Roman"/>
            <w:noProof/>
            <w:webHidden/>
          </w:rPr>
          <w:fldChar w:fldCharType="end"/>
        </w:r>
      </w:hyperlink>
    </w:p>
    <w:p w14:paraId="5EBBFDFB" w14:textId="7D7A3D92" w:rsidR="00B65206" w:rsidRPr="001F0D9C" w:rsidRDefault="00000000"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299" w:history="1">
        <w:r w:rsidR="00B65206" w:rsidRPr="001F0D9C">
          <w:rPr>
            <w:rStyle w:val="Hyperlink"/>
            <w:rFonts w:ascii="Times New Roman" w:hAnsi="Times New Roman" w:cs="Times New Roman"/>
            <w:b/>
            <w:bCs/>
            <w:noProof/>
          </w:rPr>
          <w:t>Figure 7</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_Toc146481299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15</w:t>
        </w:r>
        <w:r w:rsidR="00B65206" w:rsidRPr="001F0D9C">
          <w:rPr>
            <w:rFonts w:ascii="Times New Roman" w:hAnsi="Times New Roman" w:cs="Times New Roman"/>
            <w:noProof/>
            <w:webHidden/>
          </w:rPr>
          <w:fldChar w:fldCharType="end"/>
        </w:r>
      </w:hyperlink>
    </w:p>
    <w:p w14:paraId="6D0B77D9" w14:textId="61940335" w:rsidR="00B65206" w:rsidRPr="001F0D9C" w:rsidRDefault="00000000"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300" w:history="1">
        <w:r w:rsidR="00B65206" w:rsidRPr="001F0D9C">
          <w:rPr>
            <w:rStyle w:val="Hyperlink"/>
            <w:rFonts w:ascii="Times New Roman" w:hAnsi="Times New Roman" w:cs="Times New Roman"/>
            <w:b/>
            <w:bCs/>
            <w:noProof/>
          </w:rPr>
          <w:t>Figure 8</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_Toc146481300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16</w:t>
        </w:r>
        <w:r w:rsidR="00B65206" w:rsidRPr="001F0D9C">
          <w:rPr>
            <w:rFonts w:ascii="Times New Roman" w:hAnsi="Times New Roman" w:cs="Times New Roman"/>
            <w:noProof/>
            <w:webHidden/>
          </w:rPr>
          <w:fldChar w:fldCharType="end"/>
        </w:r>
      </w:hyperlink>
    </w:p>
    <w:p w14:paraId="6C01AEB9" w14:textId="7E42C99B" w:rsidR="00B65206" w:rsidRPr="001F0D9C" w:rsidRDefault="00000000"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301" w:history="1">
        <w:r w:rsidR="00B65206" w:rsidRPr="001F0D9C">
          <w:rPr>
            <w:rStyle w:val="Hyperlink"/>
            <w:rFonts w:ascii="Times New Roman" w:hAnsi="Times New Roman" w:cs="Times New Roman"/>
            <w:b/>
            <w:bCs/>
            <w:noProof/>
          </w:rPr>
          <w:t>Figure 9</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_Toc146481301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24</w:t>
        </w:r>
        <w:r w:rsidR="00B65206" w:rsidRPr="001F0D9C">
          <w:rPr>
            <w:rFonts w:ascii="Times New Roman" w:hAnsi="Times New Roman" w:cs="Times New Roman"/>
            <w:noProof/>
            <w:webHidden/>
          </w:rPr>
          <w:fldChar w:fldCharType="end"/>
        </w:r>
      </w:hyperlink>
    </w:p>
    <w:p w14:paraId="1798E8D2" w14:textId="1FB8E40F" w:rsidR="00B65206" w:rsidRPr="001F0D9C" w:rsidRDefault="00000000"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302" w:history="1">
        <w:r w:rsidR="00B65206" w:rsidRPr="001F0D9C">
          <w:rPr>
            <w:rStyle w:val="Hyperlink"/>
            <w:rFonts w:ascii="Times New Roman" w:hAnsi="Times New Roman" w:cs="Times New Roman"/>
            <w:b/>
            <w:bCs/>
            <w:noProof/>
          </w:rPr>
          <w:t>Figure 10</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_Toc146481302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29</w:t>
        </w:r>
        <w:r w:rsidR="00B65206" w:rsidRPr="001F0D9C">
          <w:rPr>
            <w:rFonts w:ascii="Times New Roman" w:hAnsi="Times New Roman" w:cs="Times New Roman"/>
            <w:noProof/>
            <w:webHidden/>
          </w:rPr>
          <w:fldChar w:fldCharType="end"/>
        </w:r>
      </w:hyperlink>
    </w:p>
    <w:p w14:paraId="60286C45" w14:textId="4C8B2C90" w:rsidR="00B65206" w:rsidRPr="001F0D9C" w:rsidRDefault="00000000" w:rsidP="001F0D9C">
      <w:pPr>
        <w:pStyle w:val="TableofFigures"/>
        <w:tabs>
          <w:tab w:val="right" w:leader="dot" w:pos="9350"/>
        </w:tabs>
        <w:spacing w:line="276" w:lineRule="auto"/>
        <w:jc w:val="both"/>
        <w:rPr>
          <w:rFonts w:ascii="Times New Roman" w:eastAsiaTheme="minorEastAsia" w:hAnsi="Times New Roman" w:cs="Times New Roman"/>
          <w:noProof/>
          <w:kern w:val="2"/>
          <w:lang w:eastAsia="en-US"/>
          <w14:ligatures w14:val="standardContextual"/>
        </w:rPr>
      </w:pPr>
      <w:hyperlink w:anchor="_Toc146481303" w:history="1">
        <w:r w:rsidR="00B65206" w:rsidRPr="001F0D9C">
          <w:rPr>
            <w:rStyle w:val="Hyperlink"/>
            <w:rFonts w:ascii="Times New Roman" w:hAnsi="Times New Roman" w:cs="Times New Roman"/>
            <w:b/>
            <w:bCs/>
            <w:noProof/>
          </w:rPr>
          <w:t>Figure 11</w:t>
        </w:r>
        <w:r w:rsidR="00B65206" w:rsidRPr="001F0D9C">
          <w:rPr>
            <w:rFonts w:ascii="Times New Roman" w:hAnsi="Times New Roman" w:cs="Times New Roman"/>
            <w:noProof/>
            <w:webHidden/>
          </w:rPr>
          <w:tab/>
        </w:r>
        <w:r w:rsidR="00B65206" w:rsidRPr="001F0D9C">
          <w:rPr>
            <w:rFonts w:ascii="Times New Roman" w:hAnsi="Times New Roman" w:cs="Times New Roman"/>
            <w:noProof/>
            <w:webHidden/>
          </w:rPr>
          <w:fldChar w:fldCharType="begin"/>
        </w:r>
        <w:r w:rsidR="00B65206" w:rsidRPr="001F0D9C">
          <w:rPr>
            <w:rFonts w:ascii="Times New Roman" w:hAnsi="Times New Roman" w:cs="Times New Roman"/>
            <w:noProof/>
            <w:webHidden/>
          </w:rPr>
          <w:instrText xml:space="preserve"> PAGEREF _Toc146481303 \h </w:instrText>
        </w:r>
        <w:r w:rsidR="00B65206" w:rsidRPr="001F0D9C">
          <w:rPr>
            <w:rFonts w:ascii="Times New Roman" w:hAnsi="Times New Roman" w:cs="Times New Roman"/>
            <w:noProof/>
            <w:webHidden/>
          </w:rPr>
        </w:r>
        <w:r w:rsidR="00B65206" w:rsidRPr="001F0D9C">
          <w:rPr>
            <w:rFonts w:ascii="Times New Roman" w:hAnsi="Times New Roman" w:cs="Times New Roman"/>
            <w:noProof/>
            <w:webHidden/>
          </w:rPr>
          <w:fldChar w:fldCharType="separate"/>
        </w:r>
        <w:r w:rsidR="00B65206" w:rsidRPr="001F0D9C">
          <w:rPr>
            <w:rFonts w:ascii="Times New Roman" w:hAnsi="Times New Roman" w:cs="Times New Roman"/>
            <w:noProof/>
            <w:webHidden/>
          </w:rPr>
          <w:t>29</w:t>
        </w:r>
        <w:r w:rsidR="00B65206" w:rsidRPr="001F0D9C">
          <w:rPr>
            <w:rFonts w:ascii="Times New Roman" w:hAnsi="Times New Roman" w:cs="Times New Roman"/>
            <w:noProof/>
            <w:webHidden/>
          </w:rPr>
          <w:fldChar w:fldCharType="end"/>
        </w:r>
      </w:hyperlink>
    </w:p>
    <w:p w14:paraId="0E2630F6" w14:textId="09CE84D0" w:rsidR="00DC24AA" w:rsidRPr="001F0D9C" w:rsidRDefault="00DC24AA" w:rsidP="001F0D9C">
      <w:pPr>
        <w:spacing w:line="276" w:lineRule="auto"/>
        <w:jc w:val="both"/>
        <w:rPr>
          <w:rFonts w:ascii="Times New Roman" w:eastAsia="Times New Roman" w:hAnsi="Times New Roman" w:cs="Times New Roman"/>
          <w:b/>
          <w:sz w:val="24"/>
          <w:szCs w:val="24"/>
        </w:rPr>
      </w:pPr>
      <w:r w:rsidRPr="001F0D9C">
        <w:rPr>
          <w:rFonts w:ascii="Times New Roman" w:eastAsia="Times New Roman" w:hAnsi="Times New Roman" w:cs="Times New Roman"/>
          <w:b/>
          <w:sz w:val="24"/>
          <w:szCs w:val="24"/>
        </w:rPr>
        <w:fldChar w:fldCharType="end"/>
      </w:r>
    </w:p>
    <w:p w14:paraId="76C61B72" w14:textId="77777777" w:rsidR="00DC24AA" w:rsidRPr="001F0D9C" w:rsidRDefault="00DC24AA" w:rsidP="001F0D9C">
      <w:pPr>
        <w:spacing w:line="276" w:lineRule="auto"/>
        <w:jc w:val="both"/>
        <w:rPr>
          <w:rFonts w:ascii="Times New Roman" w:eastAsia="Times New Roman" w:hAnsi="Times New Roman" w:cs="Times New Roman"/>
          <w:b/>
          <w:sz w:val="24"/>
          <w:szCs w:val="24"/>
        </w:rPr>
      </w:pPr>
    </w:p>
    <w:p w14:paraId="0000003B" w14:textId="100DF444" w:rsidR="00186D9A" w:rsidRPr="001F0D9C" w:rsidRDefault="00CF11DA" w:rsidP="001F0D9C">
      <w:pPr>
        <w:spacing w:line="276" w:lineRule="auto"/>
        <w:jc w:val="both"/>
        <w:rPr>
          <w:rFonts w:ascii="Times New Roman" w:eastAsia="Times New Roman" w:hAnsi="Times New Roman" w:cs="Times New Roman"/>
          <w:b/>
          <w:sz w:val="24"/>
          <w:szCs w:val="24"/>
        </w:rPr>
      </w:pPr>
      <w:r w:rsidRPr="001F0D9C">
        <w:rPr>
          <w:rFonts w:ascii="Times New Roman" w:hAnsi="Times New Roman" w:cs="Times New Roman"/>
        </w:rPr>
        <w:br w:type="page"/>
      </w:r>
    </w:p>
    <w:p w14:paraId="0000003C" w14:textId="77777777" w:rsidR="00186D9A" w:rsidRPr="001F0D9C" w:rsidRDefault="00000000" w:rsidP="001F0D9C">
      <w:pPr>
        <w:pStyle w:val="Heading1"/>
        <w:spacing w:line="276" w:lineRule="auto"/>
        <w:jc w:val="both"/>
        <w:rPr>
          <w:rFonts w:ascii="Times New Roman" w:eastAsia="Times New Roman" w:hAnsi="Times New Roman" w:cs="Times New Roman"/>
          <w:b/>
          <w:color w:val="000000"/>
        </w:rPr>
      </w:pPr>
      <w:bookmarkStart w:id="0" w:name="_Toc146481274"/>
      <w:r w:rsidRPr="001F0D9C">
        <w:rPr>
          <w:rFonts w:ascii="Times New Roman" w:eastAsia="Times New Roman" w:hAnsi="Times New Roman" w:cs="Times New Roman"/>
          <w:b/>
          <w:color w:val="000000"/>
        </w:rPr>
        <w:lastRenderedPageBreak/>
        <w:t>Introduction</w:t>
      </w:r>
      <w:bookmarkEnd w:id="0"/>
    </w:p>
    <w:p w14:paraId="0000003D" w14:textId="77777777" w:rsidR="00186D9A" w:rsidRPr="001F0D9C" w:rsidRDefault="00186D9A" w:rsidP="001F0D9C">
      <w:pPr>
        <w:spacing w:line="276" w:lineRule="auto"/>
        <w:jc w:val="both"/>
        <w:rPr>
          <w:rFonts w:ascii="Times New Roman" w:eastAsia="Times New Roman" w:hAnsi="Times New Roman" w:cs="Times New Roman"/>
          <w:sz w:val="24"/>
          <w:szCs w:val="24"/>
        </w:rPr>
      </w:pPr>
    </w:p>
    <w:p w14:paraId="2355A4FC" w14:textId="31E5D910" w:rsidR="00ED1F18" w:rsidRPr="001F0D9C" w:rsidRDefault="0050226B" w:rsidP="001F0D9C">
      <w:pPr>
        <w:spacing w:line="276" w:lineRule="auto"/>
        <w:ind w:firstLine="72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As we delve into the intricate world of risk financing and treasury management, it is essential to recall the firm foundation laid in Chapter</w:t>
      </w:r>
      <w:r w:rsidR="009011CE" w:rsidRPr="001F0D9C">
        <w:rPr>
          <w:rFonts w:ascii="Times New Roman" w:eastAsia="Times New Roman" w:hAnsi="Times New Roman" w:cs="Times New Roman"/>
          <w:sz w:val="24"/>
          <w:szCs w:val="24"/>
        </w:rPr>
        <w:t xml:space="preserve"> </w:t>
      </w:r>
      <w:r w:rsidRPr="001F0D9C">
        <w:rPr>
          <w:rFonts w:ascii="Times New Roman" w:eastAsia="Times New Roman" w:hAnsi="Times New Roman" w:cs="Times New Roman"/>
          <w:sz w:val="24"/>
          <w:szCs w:val="24"/>
        </w:rPr>
        <w:t xml:space="preserve">1. In our earliest </w:t>
      </w:r>
      <w:r w:rsidR="00947EFD" w:rsidRPr="001F0D9C">
        <w:rPr>
          <w:rFonts w:ascii="Times New Roman" w:eastAsia="Times New Roman" w:hAnsi="Times New Roman" w:cs="Times New Roman"/>
          <w:sz w:val="24"/>
          <w:szCs w:val="24"/>
        </w:rPr>
        <w:t>discussion, we</w:t>
      </w:r>
      <w:r w:rsidRPr="001F0D9C">
        <w:rPr>
          <w:rFonts w:ascii="Times New Roman" w:eastAsia="Times New Roman" w:hAnsi="Times New Roman" w:cs="Times New Roman"/>
          <w:sz w:val="24"/>
          <w:szCs w:val="24"/>
        </w:rPr>
        <w:t xml:space="preserve"> explored</w:t>
      </w:r>
      <w:r w:rsidR="00947EFD" w:rsidRPr="001F0D9C">
        <w:rPr>
          <w:rFonts w:ascii="Times New Roman" w:eastAsia="Times New Roman" w:hAnsi="Times New Roman" w:cs="Times New Roman"/>
          <w:sz w:val="24"/>
          <w:szCs w:val="24"/>
        </w:rPr>
        <w:t xml:space="preserve"> the profound interplay between human capital development and growth. We </w:t>
      </w:r>
      <w:r w:rsidR="001F313C" w:rsidRPr="001F0D9C">
        <w:rPr>
          <w:rFonts w:ascii="Times New Roman" w:eastAsia="Times New Roman" w:hAnsi="Times New Roman" w:cs="Times New Roman"/>
          <w:sz w:val="24"/>
          <w:szCs w:val="24"/>
        </w:rPr>
        <w:t>unveiled how investments in education, health, and workforce developments are instrumental in fostering economic growth.</w:t>
      </w:r>
    </w:p>
    <w:p w14:paraId="0C578C36" w14:textId="1652137B" w:rsidR="001F313C" w:rsidRPr="001F0D9C" w:rsidRDefault="001F313C" w:rsidP="001F0D9C">
      <w:pPr>
        <w:spacing w:line="276" w:lineRule="auto"/>
        <w:ind w:firstLine="72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 xml:space="preserve">This chapter will build on that knowledge and take it a step further. We will navigate into the realm of risk financing and treasury management, recognizing that these </w:t>
      </w:r>
      <w:r w:rsidR="004164B0" w:rsidRPr="001F0D9C">
        <w:rPr>
          <w:rFonts w:ascii="Times New Roman" w:eastAsia="Times New Roman" w:hAnsi="Times New Roman" w:cs="Times New Roman"/>
          <w:sz w:val="24"/>
          <w:szCs w:val="24"/>
        </w:rPr>
        <w:t xml:space="preserve">financial strategies are not isolated concepts but integral components in the journey toward economic resilience and stability. Prudent risk management and sound treasury practices are crucial just as skilled and healthy workforce propels a nation forward in ensuring that </w:t>
      </w:r>
      <w:r w:rsidR="00FD03F7" w:rsidRPr="001F0D9C">
        <w:rPr>
          <w:rFonts w:ascii="Times New Roman" w:eastAsia="Times New Roman" w:hAnsi="Times New Roman" w:cs="Times New Roman"/>
          <w:sz w:val="24"/>
          <w:szCs w:val="24"/>
        </w:rPr>
        <w:t>the progress remains steadfast, even in the face of uncertainties.</w:t>
      </w:r>
    </w:p>
    <w:p w14:paraId="3FB1EB63" w14:textId="70A50C8C" w:rsidR="00385390" w:rsidRPr="001F0D9C" w:rsidRDefault="00385390" w:rsidP="001F0D9C">
      <w:pPr>
        <w:spacing w:line="276" w:lineRule="auto"/>
        <w:ind w:firstLine="72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In this exploration, we will draw upon the principles of risk financing and treasury management to fortify our understanding of their role in sustaining the symbiotic relationship between human capital and economic growth. The examples and insights you will encounter here will illuminate the intricate connections that underpin a thriving, resilient economy.</w:t>
      </w:r>
    </w:p>
    <w:p w14:paraId="00000041" w14:textId="77777777" w:rsidR="00186D9A" w:rsidRPr="001F0D9C" w:rsidRDefault="00186D9A" w:rsidP="001F0D9C">
      <w:pPr>
        <w:spacing w:line="276" w:lineRule="auto"/>
        <w:jc w:val="both"/>
        <w:rPr>
          <w:rFonts w:ascii="Times New Roman" w:eastAsia="Times New Roman" w:hAnsi="Times New Roman" w:cs="Times New Roman"/>
          <w:sz w:val="24"/>
          <w:szCs w:val="24"/>
        </w:rPr>
      </w:pPr>
    </w:p>
    <w:p w14:paraId="00000042" w14:textId="42ED967B" w:rsidR="00210099" w:rsidRPr="001F0D9C" w:rsidRDefault="00210099" w:rsidP="001F0D9C">
      <w:pPr>
        <w:spacing w:line="276" w:lineRule="auto"/>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br w:type="page"/>
      </w:r>
    </w:p>
    <w:p w14:paraId="6968B976" w14:textId="70153D95" w:rsidR="006B1B41" w:rsidRPr="001F0D9C" w:rsidRDefault="00210099" w:rsidP="001F0D9C">
      <w:pPr>
        <w:pStyle w:val="Heading1"/>
        <w:numPr>
          <w:ilvl w:val="0"/>
          <w:numId w:val="3"/>
        </w:numPr>
        <w:spacing w:line="276" w:lineRule="auto"/>
        <w:jc w:val="both"/>
        <w:rPr>
          <w:rFonts w:ascii="Times New Roman" w:eastAsia="Times New Roman" w:hAnsi="Times New Roman" w:cs="Times New Roman"/>
          <w:b/>
          <w:color w:val="000000"/>
        </w:rPr>
      </w:pPr>
      <w:bookmarkStart w:id="1" w:name="_Toc146481275"/>
      <w:r w:rsidRPr="001F0D9C">
        <w:rPr>
          <w:rFonts w:ascii="Times New Roman" w:eastAsia="Times New Roman" w:hAnsi="Times New Roman" w:cs="Times New Roman"/>
          <w:b/>
          <w:color w:val="000000"/>
        </w:rPr>
        <w:lastRenderedPageBreak/>
        <w:t xml:space="preserve">Importance of Risk </w:t>
      </w:r>
      <w:r w:rsidR="008D1546" w:rsidRPr="001F0D9C">
        <w:rPr>
          <w:rFonts w:ascii="Times New Roman" w:eastAsia="Times New Roman" w:hAnsi="Times New Roman" w:cs="Times New Roman"/>
          <w:b/>
          <w:color w:val="000000"/>
        </w:rPr>
        <w:t xml:space="preserve">Financing </w:t>
      </w:r>
      <w:r w:rsidRPr="001F0D9C">
        <w:rPr>
          <w:rFonts w:ascii="Times New Roman" w:eastAsia="Times New Roman" w:hAnsi="Times New Roman" w:cs="Times New Roman"/>
          <w:b/>
          <w:color w:val="000000"/>
        </w:rPr>
        <w:t>and Treasury Management in Economic Stability</w:t>
      </w:r>
      <w:bookmarkEnd w:id="1"/>
    </w:p>
    <w:p w14:paraId="776E9C22" w14:textId="77777777" w:rsidR="006B1B41" w:rsidRPr="001F0D9C" w:rsidRDefault="006B1B41" w:rsidP="001F0D9C">
      <w:pPr>
        <w:spacing w:line="276" w:lineRule="auto"/>
        <w:jc w:val="both"/>
        <w:rPr>
          <w:rFonts w:ascii="Times New Roman" w:eastAsia="Times New Roman" w:hAnsi="Times New Roman" w:cs="Times New Roman"/>
          <w:b/>
          <w:sz w:val="24"/>
          <w:szCs w:val="24"/>
        </w:rPr>
      </w:pPr>
    </w:p>
    <w:p w14:paraId="7C6319DB" w14:textId="1658AEF9" w:rsidR="00C82D6F" w:rsidRPr="001F0D9C" w:rsidRDefault="002700A9" w:rsidP="001F0D9C">
      <w:pPr>
        <w:spacing w:line="276" w:lineRule="auto"/>
        <w:ind w:left="408" w:firstLine="42"/>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   </w:t>
      </w:r>
      <w:r w:rsidR="009E6480" w:rsidRPr="001F0D9C">
        <w:rPr>
          <w:rFonts w:ascii="Times New Roman" w:eastAsia="Times New Roman" w:hAnsi="Times New Roman" w:cs="Times New Roman"/>
          <w:bCs/>
          <w:sz w:val="24"/>
          <w:szCs w:val="24"/>
        </w:rPr>
        <w:t xml:space="preserve">Risk financing and treasury management play pivotal roles in maintaining economic stability in countries across the world, along with shielding </w:t>
      </w:r>
      <w:r w:rsidR="00FA6446" w:rsidRPr="001F0D9C">
        <w:rPr>
          <w:rFonts w:ascii="Times New Roman" w:eastAsia="Times New Roman" w:hAnsi="Times New Roman" w:cs="Times New Roman"/>
          <w:bCs/>
          <w:sz w:val="24"/>
          <w:szCs w:val="24"/>
        </w:rPr>
        <w:t>these countries and organizations within from</w:t>
      </w:r>
      <w:r w:rsidR="009E6480" w:rsidRPr="001F0D9C">
        <w:rPr>
          <w:rFonts w:ascii="Times New Roman" w:eastAsia="Times New Roman" w:hAnsi="Times New Roman" w:cs="Times New Roman"/>
          <w:bCs/>
          <w:sz w:val="24"/>
          <w:szCs w:val="24"/>
        </w:rPr>
        <w:t xml:space="preserve"> </w:t>
      </w:r>
      <w:r w:rsidR="00FA6446" w:rsidRPr="001F0D9C">
        <w:rPr>
          <w:rFonts w:ascii="Times New Roman" w:eastAsia="Times New Roman" w:hAnsi="Times New Roman" w:cs="Times New Roman"/>
          <w:bCs/>
          <w:sz w:val="24"/>
          <w:szCs w:val="24"/>
        </w:rPr>
        <w:t xml:space="preserve">financial </w:t>
      </w:r>
      <w:r w:rsidR="00ED5EB0" w:rsidRPr="001F0D9C">
        <w:rPr>
          <w:rFonts w:ascii="Times New Roman" w:eastAsia="Times New Roman" w:hAnsi="Times New Roman" w:cs="Times New Roman"/>
          <w:bCs/>
          <w:sz w:val="24"/>
          <w:szCs w:val="24"/>
        </w:rPr>
        <w:t>shocks and</w:t>
      </w:r>
      <w:r w:rsidR="00FA6446" w:rsidRPr="001F0D9C">
        <w:rPr>
          <w:rFonts w:ascii="Times New Roman" w:eastAsia="Times New Roman" w:hAnsi="Times New Roman" w:cs="Times New Roman"/>
          <w:bCs/>
          <w:sz w:val="24"/>
          <w:szCs w:val="24"/>
        </w:rPr>
        <w:t xml:space="preserve"> ensuring the efficient allocation of resources. These functions are dispensable, as they help to safeguard against unforeseen events, such as natural </w:t>
      </w:r>
      <w:r w:rsidR="00881ED1" w:rsidRPr="001F0D9C">
        <w:rPr>
          <w:rFonts w:ascii="Times New Roman" w:eastAsia="Times New Roman" w:hAnsi="Times New Roman" w:cs="Times New Roman"/>
          <w:bCs/>
          <w:sz w:val="24"/>
          <w:szCs w:val="24"/>
        </w:rPr>
        <w:t>disasters</w:t>
      </w:r>
      <w:r w:rsidR="00FA6446" w:rsidRPr="001F0D9C">
        <w:rPr>
          <w:rFonts w:ascii="Times New Roman" w:eastAsia="Times New Roman" w:hAnsi="Times New Roman" w:cs="Times New Roman"/>
          <w:bCs/>
          <w:sz w:val="24"/>
          <w:szCs w:val="24"/>
        </w:rPr>
        <w:t xml:space="preserve"> or economic crises</w:t>
      </w:r>
      <w:r w:rsidR="00ED5EB0" w:rsidRPr="001F0D9C">
        <w:rPr>
          <w:rFonts w:ascii="Times New Roman" w:eastAsia="Times New Roman" w:hAnsi="Times New Roman" w:cs="Times New Roman"/>
          <w:bCs/>
          <w:sz w:val="24"/>
          <w:szCs w:val="24"/>
        </w:rPr>
        <w:t>.</w:t>
      </w:r>
      <w:r w:rsidR="00881ED1" w:rsidRPr="001F0D9C">
        <w:rPr>
          <w:rFonts w:ascii="Times New Roman" w:eastAsia="Times New Roman" w:hAnsi="Times New Roman" w:cs="Times New Roman"/>
          <w:bCs/>
          <w:sz w:val="24"/>
          <w:szCs w:val="24"/>
        </w:rPr>
        <w:t xml:space="preserve"> This chapter will provide insight into the importance of risk financing and treasury management in economic stability.</w:t>
      </w:r>
    </w:p>
    <w:p w14:paraId="434F0A9F" w14:textId="77777777" w:rsidR="00C82D6F" w:rsidRPr="001F0D9C" w:rsidRDefault="00C82D6F" w:rsidP="001F0D9C">
      <w:pPr>
        <w:spacing w:line="276" w:lineRule="auto"/>
        <w:jc w:val="both"/>
        <w:rPr>
          <w:rFonts w:ascii="Times New Roman" w:eastAsia="Times New Roman" w:hAnsi="Times New Roman" w:cs="Times New Roman"/>
          <w:b/>
          <w:sz w:val="24"/>
          <w:szCs w:val="24"/>
        </w:rPr>
      </w:pPr>
    </w:p>
    <w:p w14:paraId="5745E8C7" w14:textId="785EC23A" w:rsidR="00B01220" w:rsidRPr="001F0D9C" w:rsidRDefault="00CC20AD" w:rsidP="001F0D9C">
      <w:pPr>
        <w:pStyle w:val="ListParagraph"/>
        <w:numPr>
          <w:ilvl w:val="1"/>
          <w:numId w:val="3"/>
        </w:numPr>
        <w:spacing w:line="276" w:lineRule="auto"/>
        <w:jc w:val="both"/>
        <w:rPr>
          <w:rFonts w:ascii="Times New Roman" w:eastAsia="Times New Roman" w:hAnsi="Times New Roman" w:cs="Times New Roman"/>
          <w:b/>
          <w:sz w:val="24"/>
          <w:szCs w:val="24"/>
          <w:u w:val="single"/>
        </w:rPr>
      </w:pPr>
      <w:r w:rsidRPr="001F0D9C">
        <w:rPr>
          <w:rFonts w:ascii="Times New Roman" w:eastAsia="Times New Roman" w:hAnsi="Times New Roman" w:cs="Times New Roman"/>
          <w:b/>
          <w:sz w:val="24"/>
          <w:szCs w:val="24"/>
          <w:u w:val="single"/>
        </w:rPr>
        <w:t>Financial Crisis Resilience</w:t>
      </w:r>
    </w:p>
    <w:p w14:paraId="006F3134" w14:textId="33CABF26" w:rsidR="003515DE" w:rsidRPr="001F0D9C" w:rsidRDefault="00A51FBD"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The need for financial crisis resilience is paramount in maintaining economic stability, as history has shown that economic downturns and crises can have </w:t>
      </w:r>
      <w:r w:rsidR="006C43F7" w:rsidRPr="001F0D9C">
        <w:rPr>
          <w:rFonts w:ascii="Times New Roman" w:eastAsia="Times New Roman" w:hAnsi="Times New Roman" w:cs="Times New Roman"/>
          <w:bCs/>
          <w:sz w:val="24"/>
          <w:szCs w:val="24"/>
        </w:rPr>
        <w:t>far</w:t>
      </w:r>
      <w:r w:rsidRPr="001F0D9C">
        <w:rPr>
          <w:rFonts w:ascii="Times New Roman" w:eastAsia="Times New Roman" w:hAnsi="Times New Roman" w:cs="Times New Roman"/>
          <w:bCs/>
          <w:sz w:val="24"/>
          <w:szCs w:val="24"/>
        </w:rPr>
        <w:t>-reaching and devastating effects on nations and their citizens</w:t>
      </w:r>
      <w:r w:rsidR="009F37E0" w:rsidRPr="001F0D9C">
        <w:rPr>
          <w:rFonts w:ascii="Times New Roman" w:eastAsia="Times New Roman" w:hAnsi="Times New Roman" w:cs="Times New Roman"/>
          <w:bCs/>
          <w:sz w:val="24"/>
          <w:szCs w:val="24"/>
        </w:rPr>
        <w:t>.</w:t>
      </w:r>
      <w:r w:rsidR="00813817" w:rsidRPr="001F0D9C">
        <w:rPr>
          <w:rFonts w:ascii="Times New Roman" w:eastAsia="Times New Roman" w:hAnsi="Times New Roman" w:cs="Times New Roman"/>
          <w:bCs/>
          <w:sz w:val="24"/>
          <w:szCs w:val="24"/>
        </w:rPr>
        <w:t xml:space="preserve"> Ensuring financial crisis resilience is essential to safeguarding economic shocks and promoting sustained growth. This section will use real life examples and empirical evidence that underscore the significance of this need. </w:t>
      </w:r>
    </w:p>
    <w:p w14:paraId="010C84C6" w14:textId="77777777" w:rsidR="004F7358" w:rsidRPr="001F0D9C" w:rsidRDefault="00813817"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Financial crises, such as the Global Financial Crisis [or Great Depression] in 2008, can lead to severe economic recessions, financial instability, and unemployment. The need for financial crisis resilience is exemplified by the experience of Iceland during the global financial crisis. During that year</w:t>
      </w:r>
      <w:r w:rsidR="00632D7B" w:rsidRPr="001F0D9C">
        <w:rPr>
          <w:rFonts w:ascii="Times New Roman" w:eastAsia="Times New Roman" w:hAnsi="Times New Roman" w:cs="Times New Roman"/>
          <w:bCs/>
          <w:sz w:val="24"/>
          <w:szCs w:val="24"/>
        </w:rPr>
        <w:t>, in October 2008 specifically</w:t>
      </w:r>
      <w:r w:rsidRPr="001F0D9C">
        <w:rPr>
          <w:rFonts w:ascii="Times New Roman" w:eastAsia="Times New Roman" w:hAnsi="Times New Roman" w:cs="Times New Roman"/>
          <w:bCs/>
          <w:sz w:val="24"/>
          <w:szCs w:val="24"/>
        </w:rPr>
        <w:t>, Iceland’s banking collapsed which resulted in a severe</w:t>
      </w:r>
      <w:r w:rsidR="00D478C7" w:rsidRPr="001F0D9C">
        <w:rPr>
          <w:rFonts w:ascii="Times New Roman" w:eastAsia="Times New Roman" w:hAnsi="Times New Roman" w:cs="Times New Roman"/>
          <w:bCs/>
          <w:sz w:val="24"/>
          <w:szCs w:val="24"/>
        </w:rPr>
        <w:t xml:space="preserve"> economic recession and a steep decline in living standards. It was uncovered that three banks that accounted for at least 80% of Iceland’s financial landscape collapsed few days apart from each other. Baudino et al (2020)</w:t>
      </w:r>
      <w:r w:rsidR="006679EF" w:rsidRPr="001F0D9C">
        <w:rPr>
          <w:rFonts w:ascii="Times New Roman" w:eastAsia="Times New Roman" w:hAnsi="Times New Roman" w:cs="Times New Roman"/>
          <w:bCs/>
          <w:sz w:val="24"/>
          <w:szCs w:val="24"/>
        </w:rPr>
        <w:t xml:space="preserve"> shared that these banks had structural weaknesses such as the growth of their balance sheet was found to be excessive</w:t>
      </w:r>
      <w:r w:rsidR="00632D7B" w:rsidRPr="001F0D9C">
        <w:rPr>
          <w:rFonts w:ascii="Times New Roman" w:eastAsia="Times New Roman" w:hAnsi="Times New Roman" w:cs="Times New Roman"/>
          <w:bCs/>
          <w:sz w:val="24"/>
          <w:szCs w:val="24"/>
        </w:rPr>
        <w:t xml:space="preserve"> [asset growth within the banks kept exploding since 200</w:t>
      </w:r>
      <w:r w:rsidR="00CD3C0D" w:rsidRPr="001F0D9C">
        <w:rPr>
          <w:rFonts w:ascii="Times New Roman" w:eastAsia="Times New Roman" w:hAnsi="Times New Roman" w:cs="Times New Roman"/>
          <w:bCs/>
          <w:sz w:val="24"/>
          <w:szCs w:val="24"/>
        </w:rPr>
        <w:t>3]</w:t>
      </w:r>
      <w:r w:rsidR="006679EF" w:rsidRPr="001F0D9C">
        <w:rPr>
          <w:rFonts w:ascii="Times New Roman" w:eastAsia="Times New Roman" w:hAnsi="Times New Roman" w:cs="Times New Roman"/>
          <w:bCs/>
          <w:sz w:val="24"/>
          <w:szCs w:val="24"/>
        </w:rPr>
        <w:t xml:space="preserve"> which is about 10 times the country’s GDP at the time</w:t>
      </w:r>
      <w:r w:rsidR="0037183C" w:rsidRPr="001F0D9C">
        <w:rPr>
          <w:rFonts w:ascii="Times New Roman" w:eastAsia="Times New Roman" w:hAnsi="Times New Roman" w:cs="Times New Roman"/>
          <w:bCs/>
          <w:sz w:val="24"/>
          <w:szCs w:val="24"/>
        </w:rPr>
        <w:t xml:space="preserve"> (see Figure 1)</w:t>
      </w:r>
      <w:r w:rsidR="006679EF" w:rsidRPr="001F0D9C">
        <w:rPr>
          <w:rFonts w:ascii="Times New Roman" w:eastAsia="Times New Roman" w:hAnsi="Times New Roman" w:cs="Times New Roman"/>
          <w:bCs/>
          <w:sz w:val="24"/>
          <w:szCs w:val="24"/>
        </w:rPr>
        <w:t>.</w:t>
      </w:r>
      <w:r w:rsidR="004A78C9" w:rsidRPr="001F0D9C">
        <w:rPr>
          <w:rFonts w:ascii="Times New Roman" w:eastAsia="Times New Roman" w:hAnsi="Times New Roman" w:cs="Times New Roman"/>
          <w:bCs/>
          <w:sz w:val="24"/>
          <w:szCs w:val="24"/>
        </w:rPr>
        <w:t xml:space="preserve"> </w:t>
      </w:r>
      <w:r w:rsidR="00632D7B" w:rsidRPr="001F0D9C">
        <w:rPr>
          <w:rFonts w:ascii="Times New Roman" w:eastAsia="Times New Roman" w:hAnsi="Times New Roman" w:cs="Times New Roman"/>
          <w:bCs/>
          <w:sz w:val="24"/>
          <w:szCs w:val="24"/>
        </w:rPr>
        <w:t>Consequently</w:t>
      </w:r>
      <w:r w:rsidR="006679EF" w:rsidRPr="001F0D9C">
        <w:rPr>
          <w:rFonts w:ascii="Times New Roman" w:eastAsia="Times New Roman" w:hAnsi="Times New Roman" w:cs="Times New Roman"/>
          <w:bCs/>
          <w:sz w:val="24"/>
          <w:szCs w:val="24"/>
        </w:rPr>
        <w:t xml:space="preserve">, </w:t>
      </w:r>
      <w:r w:rsidR="00606DCD" w:rsidRPr="001F0D9C">
        <w:rPr>
          <w:rFonts w:ascii="Times New Roman" w:eastAsia="Times New Roman" w:hAnsi="Times New Roman" w:cs="Times New Roman"/>
          <w:bCs/>
          <w:sz w:val="24"/>
          <w:szCs w:val="24"/>
        </w:rPr>
        <w:t xml:space="preserve">when the crisis occurred </w:t>
      </w:r>
      <w:r w:rsidR="006679EF" w:rsidRPr="001F0D9C">
        <w:rPr>
          <w:rFonts w:ascii="Times New Roman" w:eastAsia="Times New Roman" w:hAnsi="Times New Roman" w:cs="Times New Roman"/>
          <w:bCs/>
          <w:sz w:val="24"/>
          <w:szCs w:val="24"/>
        </w:rPr>
        <w:t xml:space="preserve">the central bank was not able to lend them </w:t>
      </w:r>
      <w:r w:rsidR="00632D7B" w:rsidRPr="001F0D9C">
        <w:rPr>
          <w:rFonts w:ascii="Times New Roman" w:eastAsia="Times New Roman" w:hAnsi="Times New Roman" w:cs="Times New Roman"/>
          <w:bCs/>
          <w:sz w:val="24"/>
          <w:szCs w:val="24"/>
        </w:rPr>
        <w:t xml:space="preserve">any money because the banks’ financial needs were too </w:t>
      </w:r>
      <w:r w:rsidR="00CD3C0D" w:rsidRPr="001F0D9C">
        <w:rPr>
          <w:rFonts w:ascii="Times New Roman" w:eastAsia="Times New Roman" w:hAnsi="Times New Roman" w:cs="Times New Roman"/>
          <w:bCs/>
          <w:sz w:val="24"/>
          <w:szCs w:val="24"/>
        </w:rPr>
        <w:t>vast,</w:t>
      </w:r>
      <w:r w:rsidR="00632D7B" w:rsidRPr="001F0D9C">
        <w:rPr>
          <w:rFonts w:ascii="Times New Roman" w:eastAsia="Times New Roman" w:hAnsi="Times New Roman" w:cs="Times New Roman"/>
          <w:bCs/>
          <w:sz w:val="24"/>
          <w:szCs w:val="24"/>
        </w:rPr>
        <w:t xml:space="preserve"> and neither could the government.</w:t>
      </w:r>
      <w:r w:rsidR="00606DCD" w:rsidRPr="001F0D9C">
        <w:rPr>
          <w:rFonts w:ascii="Times New Roman" w:eastAsia="Times New Roman" w:hAnsi="Times New Roman" w:cs="Times New Roman"/>
          <w:bCs/>
          <w:sz w:val="24"/>
          <w:szCs w:val="24"/>
        </w:rPr>
        <w:t xml:space="preserve"> </w:t>
      </w:r>
      <w:r w:rsidR="008762C7" w:rsidRPr="001F0D9C">
        <w:rPr>
          <w:rFonts w:ascii="Times New Roman" w:eastAsia="Times New Roman" w:hAnsi="Times New Roman" w:cs="Times New Roman"/>
          <w:bCs/>
          <w:sz w:val="24"/>
          <w:szCs w:val="24"/>
        </w:rPr>
        <w:t xml:space="preserve">Moreover, </w:t>
      </w:r>
      <w:r w:rsidR="0080135C" w:rsidRPr="001F0D9C">
        <w:rPr>
          <w:rFonts w:ascii="Times New Roman" w:eastAsia="Times New Roman" w:hAnsi="Times New Roman" w:cs="Times New Roman"/>
          <w:bCs/>
          <w:sz w:val="24"/>
          <w:szCs w:val="24"/>
        </w:rPr>
        <w:t>these banks</w:t>
      </w:r>
      <w:r w:rsidR="008762C7" w:rsidRPr="001F0D9C">
        <w:rPr>
          <w:rFonts w:ascii="Times New Roman" w:eastAsia="Times New Roman" w:hAnsi="Times New Roman" w:cs="Times New Roman"/>
          <w:bCs/>
          <w:sz w:val="24"/>
          <w:szCs w:val="24"/>
        </w:rPr>
        <w:t xml:space="preserve"> constantly borrowed funds from overseas to support their rapid growth </w:t>
      </w:r>
      <w:r w:rsidR="0080135C" w:rsidRPr="001F0D9C">
        <w:rPr>
          <w:rFonts w:ascii="Times New Roman" w:eastAsia="Times New Roman" w:hAnsi="Times New Roman" w:cs="Times New Roman"/>
          <w:bCs/>
          <w:sz w:val="24"/>
          <w:szCs w:val="24"/>
        </w:rPr>
        <w:t>rate,</w:t>
      </w:r>
      <w:r w:rsidR="008762C7" w:rsidRPr="001F0D9C">
        <w:rPr>
          <w:rFonts w:ascii="Times New Roman" w:eastAsia="Times New Roman" w:hAnsi="Times New Roman" w:cs="Times New Roman"/>
          <w:bCs/>
          <w:sz w:val="24"/>
          <w:szCs w:val="24"/>
        </w:rPr>
        <w:t xml:space="preserve"> which over time signaled liquidity and funding worries.</w:t>
      </w:r>
      <w:r w:rsidR="0080135C" w:rsidRPr="001F0D9C">
        <w:rPr>
          <w:rFonts w:ascii="Times New Roman" w:eastAsia="Times New Roman" w:hAnsi="Times New Roman" w:cs="Times New Roman"/>
          <w:bCs/>
          <w:sz w:val="24"/>
          <w:szCs w:val="24"/>
        </w:rPr>
        <w:t xml:space="preserve"> </w:t>
      </w:r>
    </w:p>
    <w:p w14:paraId="5080A757" w14:textId="26B81B07" w:rsidR="004F7358" w:rsidRPr="001F0D9C" w:rsidRDefault="004F7358" w:rsidP="001F0D9C">
      <w:pPr>
        <w:spacing w:line="276" w:lineRule="auto"/>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lastRenderedPageBreak/>
        <w:tab/>
        <w:t xml:space="preserve">       </w:t>
      </w:r>
      <w:r w:rsidRPr="001F0D9C">
        <w:rPr>
          <w:rFonts w:ascii="Times New Roman" w:eastAsia="Times New Roman" w:hAnsi="Times New Roman" w:cs="Times New Roman"/>
          <w:bCs/>
          <w:noProof/>
          <w:sz w:val="24"/>
          <w:szCs w:val="24"/>
        </w:rPr>
        <w:drawing>
          <wp:inline distT="0" distB="0" distL="0" distR="0" wp14:anchorId="7FF1A86A" wp14:editId="26EF0613">
            <wp:extent cx="3873837" cy="2263775"/>
            <wp:effectExtent l="0" t="0" r="0" b="3175"/>
            <wp:docPr id="748406716" name="Picture 1" descr="A graph of a number of ass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06716" name="Picture 1" descr="A graph of a number of assets&#10;&#10;Description automatically generated with medium confidence"/>
                    <pic:cNvPicPr/>
                  </pic:nvPicPr>
                  <pic:blipFill rotWithShape="1">
                    <a:blip r:embed="rId9"/>
                    <a:srcRect l="4687" t="10731"/>
                    <a:stretch/>
                  </pic:blipFill>
                  <pic:spPr bwMode="auto">
                    <a:xfrm>
                      <a:off x="0" y="0"/>
                      <a:ext cx="3894745" cy="2275993"/>
                    </a:xfrm>
                    <a:prstGeom prst="rect">
                      <a:avLst/>
                    </a:prstGeom>
                    <a:ln>
                      <a:noFill/>
                    </a:ln>
                    <a:extLst>
                      <a:ext uri="{53640926-AAD7-44D8-BBD7-CCE9431645EC}">
                        <a14:shadowObscured xmlns:a14="http://schemas.microsoft.com/office/drawing/2010/main"/>
                      </a:ext>
                    </a:extLst>
                  </pic:spPr>
                </pic:pic>
              </a:graphicData>
            </a:graphic>
          </wp:inline>
        </w:drawing>
      </w:r>
    </w:p>
    <w:p w14:paraId="2AADD148" w14:textId="47927C3D" w:rsidR="0013479D" w:rsidRPr="001F0D9C" w:rsidRDefault="0013479D" w:rsidP="001F0D9C">
      <w:pPr>
        <w:pStyle w:val="Caption"/>
        <w:spacing w:line="276" w:lineRule="auto"/>
        <w:jc w:val="both"/>
        <w:rPr>
          <w:rFonts w:ascii="Times New Roman" w:hAnsi="Times New Roman" w:cs="Times New Roman"/>
          <w:b/>
          <w:bCs/>
          <w:i w:val="0"/>
          <w:iCs w:val="0"/>
          <w:color w:val="auto"/>
        </w:rPr>
      </w:pPr>
      <w:r w:rsidRPr="001F0D9C">
        <w:rPr>
          <w:rFonts w:ascii="Times New Roman" w:eastAsia="Times New Roman" w:hAnsi="Times New Roman" w:cs="Times New Roman"/>
          <w:bCs/>
          <w:sz w:val="24"/>
          <w:szCs w:val="24"/>
        </w:rPr>
        <w:tab/>
      </w:r>
      <w:r w:rsidRPr="001F0D9C">
        <w:rPr>
          <w:rFonts w:ascii="Times New Roman" w:eastAsia="Times New Roman" w:hAnsi="Times New Roman" w:cs="Times New Roman"/>
          <w:b/>
          <w:bCs/>
          <w:i w:val="0"/>
          <w:iCs w:val="0"/>
          <w:color w:val="auto"/>
          <w:sz w:val="24"/>
          <w:szCs w:val="24"/>
        </w:rPr>
        <w:t xml:space="preserve">        </w:t>
      </w:r>
      <w:bookmarkStart w:id="2" w:name="_Toc146481293"/>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00044724" w:rsidRPr="001F0D9C">
        <w:rPr>
          <w:rFonts w:ascii="Times New Roman" w:hAnsi="Times New Roman" w:cs="Times New Roman"/>
          <w:b/>
          <w:bCs/>
          <w:i w:val="0"/>
          <w:iCs w:val="0"/>
          <w:noProof/>
          <w:color w:val="auto"/>
        </w:rPr>
        <w:t>1</w:t>
      </w:r>
      <w:bookmarkEnd w:id="2"/>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278C1050" w14:textId="0D8F1B92" w:rsidR="0013479D" w:rsidRPr="001F0D9C" w:rsidRDefault="0013479D" w:rsidP="001F0D9C">
      <w:pPr>
        <w:pStyle w:val="Caption"/>
        <w:spacing w:line="276" w:lineRule="auto"/>
        <w:ind w:left="450" w:firstLine="720"/>
        <w:jc w:val="both"/>
        <w:rPr>
          <w:rFonts w:ascii="Times New Roman" w:hAnsi="Times New Roman" w:cs="Times New Roman"/>
          <w:color w:val="auto"/>
        </w:rPr>
      </w:pPr>
      <w:r w:rsidRPr="001F0D9C">
        <w:rPr>
          <w:rFonts w:ascii="Times New Roman" w:hAnsi="Times New Roman" w:cs="Times New Roman"/>
          <w:color w:val="auto"/>
        </w:rPr>
        <w:t>Assets that have grown for three Banks in Iceland (in EUR billions of dollars) (Baudino et al, 2020)</w:t>
      </w:r>
    </w:p>
    <w:p w14:paraId="39CCD7CB" w14:textId="77777777" w:rsidR="0013479D" w:rsidRPr="001F0D9C" w:rsidRDefault="0013479D" w:rsidP="001F0D9C">
      <w:pPr>
        <w:spacing w:line="276" w:lineRule="auto"/>
        <w:jc w:val="both"/>
        <w:rPr>
          <w:rFonts w:ascii="Times New Roman" w:hAnsi="Times New Roman" w:cs="Times New Roman"/>
        </w:rPr>
      </w:pPr>
    </w:p>
    <w:p w14:paraId="7C1A98FB" w14:textId="330E0341" w:rsidR="00611B7E" w:rsidRPr="001F0D9C" w:rsidRDefault="0080135C"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Countries like Canada, however, which </w:t>
      </w:r>
      <w:r w:rsidR="004A78C9" w:rsidRPr="001F0D9C">
        <w:rPr>
          <w:rFonts w:ascii="Times New Roman" w:eastAsia="Times New Roman" w:hAnsi="Times New Roman" w:cs="Times New Roman"/>
          <w:bCs/>
          <w:sz w:val="24"/>
          <w:szCs w:val="24"/>
        </w:rPr>
        <w:t>implemented strong regulatory measures and prudent banking practices, weathered the crisis with significantly less damage.</w:t>
      </w:r>
      <w:r w:rsidR="00727AFC" w:rsidRPr="001F0D9C">
        <w:rPr>
          <w:rFonts w:ascii="Times New Roman" w:eastAsia="Times New Roman" w:hAnsi="Times New Roman" w:cs="Times New Roman"/>
          <w:bCs/>
          <w:sz w:val="24"/>
          <w:szCs w:val="24"/>
        </w:rPr>
        <w:t xml:space="preserve"> Therefore, the Bank Act prevented the banks in Canada from engaging in risky financial transactions </w:t>
      </w:r>
      <w:r w:rsidR="004F7358" w:rsidRPr="001F0D9C">
        <w:rPr>
          <w:rFonts w:ascii="Times New Roman" w:eastAsia="Times New Roman" w:hAnsi="Times New Roman" w:cs="Times New Roman"/>
          <w:bCs/>
          <w:sz w:val="24"/>
          <w:szCs w:val="24"/>
        </w:rPr>
        <w:t>and</w:t>
      </w:r>
      <w:r w:rsidR="00727AFC" w:rsidRPr="001F0D9C">
        <w:rPr>
          <w:rFonts w:ascii="Times New Roman" w:eastAsia="Times New Roman" w:hAnsi="Times New Roman" w:cs="Times New Roman"/>
          <w:bCs/>
          <w:sz w:val="24"/>
          <w:szCs w:val="24"/>
        </w:rPr>
        <w:t xml:space="preserve"> obliged to have an extremely low debt-to-equity ratios that majority of the banks overseas</w:t>
      </w:r>
      <w:r w:rsidR="004F7358" w:rsidRPr="001F0D9C">
        <w:rPr>
          <w:rFonts w:ascii="Times New Roman" w:eastAsia="Times New Roman" w:hAnsi="Times New Roman" w:cs="Times New Roman"/>
          <w:bCs/>
          <w:sz w:val="24"/>
          <w:szCs w:val="24"/>
        </w:rPr>
        <w:t xml:space="preserve"> (Gordon, 2017</w:t>
      </w:r>
      <w:r w:rsidR="0084070A" w:rsidRPr="001F0D9C">
        <w:rPr>
          <w:rFonts w:ascii="Times New Roman" w:eastAsia="Times New Roman" w:hAnsi="Times New Roman" w:cs="Times New Roman"/>
          <w:bCs/>
          <w:sz w:val="24"/>
          <w:szCs w:val="24"/>
        </w:rPr>
        <w:t xml:space="preserve">). </w:t>
      </w:r>
      <w:r w:rsidR="00611B7E" w:rsidRPr="001F0D9C">
        <w:rPr>
          <w:rFonts w:ascii="Times New Roman" w:eastAsia="Times New Roman" w:hAnsi="Times New Roman" w:cs="Times New Roman"/>
          <w:bCs/>
          <w:sz w:val="24"/>
          <w:szCs w:val="24"/>
        </w:rPr>
        <w:t>This is mainly because Canada has a well-educated and healthy population [workforce], so during the 2008 financial crisis, which was more likely to find new opportunities</w:t>
      </w:r>
      <w:r w:rsidR="004B551A" w:rsidRPr="001F0D9C">
        <w:rPr>
          <w:rFonts w:ascii="Times New Roman" w:eastAsia="Times New Roman" w:hAnsi="Times New Roman" w:cs="Times New Roman"/>
          <w:bCs/>
          <w:sz w:val="24"/>
          <w:szCs w:val="24"/>
        </w:rPr>
        <w:t>, and experienced shorter and less severe recessions, demonstrating the resilience fostered by human capital investments</w:t>
      </w:r>
      <w:r w:rsidR="00611B7E" w:rsidRPr="001F0D9C">
        <w:rPr>
          <w:rFonts w:ascii="Times New Roman" w:eastAsia="Times New Roman" w:hAnsi="Times New Roman" w:cs="Times New Roman"/>
          <w:bCs/>
          <w:sz w:val="24"/>
          <w:szCs w:val="24"/>
        </w:rPr>
        <w:t>.</w:t>
      </w:r>
      <w:r w:rsidR="0084070A" w:rsidRPr="001F0D9C">
        <w:rPr>
          <w:rFonts w:ascii="Times New Roman" w:eastAsia="Times New Roman" w:hAnsi="Times New Roman" w:cs="Times New Roman"/>
          <w:bCs/>
          <w:sz w:val="24"/>
          <w:szCs w:val="24"/>
        </w:rPr>
        <w:t xml:space="preserve"> So, Canada did not suffer from insolvency but rather was able in no time regain financial stability and provide liquidity to the financial markets. </w:t>
      </w:r>
      <w:r w:rsidR="004A78C9" w:rsidRPr="001F0D9C">
        <w:rPr>
          <w:rFonts w:ascii="Times New Roman" w:eastAsia="Times New Roman" w:hAnsi="Times New Roman" w:cs="Times New Roman"/>
          <w:bCs/>
          <w:sz w:val="24"/>
          <w:szCs w:val="24"/>
        </w:rPr>
        <w:t xml:space="preserve"> </w:t>
      </w:r>
    </w:p>
    <w:p w14:paraId="0B4CA667" w14:textId="42C0DE3D" w:rsidR="00813817" w:rsidRPr="001F0D9C" w:rsidRDefault="00C91ABC"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In Chapter 1, we discussed how Singapore transformed into a knowledge-based economy through investments in education and health. </w:t>
      </w:r>
      <w:r w:rsidR="000471F9" w:rsidRPr="001F0D9C">
        <w:rPr>
          <w:rFonts w:ascii="Times New Roman" w:eastAsia="Times New Roman" w:hAnsi="Times New Roman" w:cs="Times New Roman"/>
          <w:bCs/>
          <w:sz w:val="24"/>
          <w:szCs w:val="24"/>
        </w:rPr>
        <w:t>Singapore, similarly, to Canada also had proactive risk financing strategies in place which included the Singapore Deposit Insurance Corporation, which provide stability during the 2008 Global Financial Crisis. Therefore, Singapore was able to bounce back from the 9% decline in GDP</w:t>
      </w:r>
      <w:r w:rsidR="00091E31" w:rsidRPr="001F0D9C">
        <w:rPr>
          <w:rFonts w:ascii="Times New Roman" w:eastAsia="Times New Roman" w:hAnsi="Times New Roman" w:cs="Times New Roman"/>
          <w:bCs/>
          <w:sz w:val="24"/>
          <w:szCs w:val="24"/>
        </w:rPr>
        <w:t xml:space="preserve"> [as the country experienced downside risks]</w:t>
      </w:r>
      <w:r w:rsidR="000471F9" w:rsidRPr="001F0D9C">
        <w:rPr>
          <w:rFonts w:ascii="Times New Roman" w:eastAsia="Times New Roman" w:hAnsi="Times New Roman" w:cs="Times New Roman"/>
          <w:bCs/>
          <w:sz w:val="24"/>
          <w:szCs w:val="24"/>
        </w:rPr>
        <w:t xml:space="preserve"> </w:t>
      </w:r>
      <w:r w:rsidR="0069444B" w:rsidRPr="001F0D9C">
        <w:rPr>
          <w:rFonts w:ascii="Times New Roman" w:eastAsia="Times New Roman" w:hAnsi="Times New Roman" w:cs="Times New Roman"/>
          <w:bCs/>
          <w:sz w:val="24"/>
          <w:szCs w:val="24"/>
        </w:rPr>
        <w:t>result</w:t>
      </w:r>
      <w:r w:rsidR="00091E31" w:rsidRPr="001F0D9C">
        <w:rPr>
          <w:rFonts w:ascii="Times New Roman" w:eastAsia="Times New Roman" w:hAnsi="Times New Roman" w:cs="Times New Roman"/>
          <w:bCs/>
          <w:sz w:val="24"/>
          <w:szCs w:val="24"/>
        </w:rPr>
        <w:t xml:space="preserve">ing </w:t>
      </w:r>
      <w:r w:rsidR="0069444B" w:rsidRPr="001F0D9C">
        <w:rPr>
          <w:rFonts w:ascii="Times New Roman" w:eastAsia="Times New Roman" w:hAnsi="Times New Roman" w:cs="Times New Roman"/>
          <w:bCs/>
          <w:sz w:val="24"/>
          <w:szCs w:val="24"/>
        </w:rPr>
        <w:t xml:space="preserve">in </w:t>
      </w:r>
      <w:r w:rsidR="000471F9" w:rsidRPr="001F0D9C">
        <w:rPr>
          <w:rFonts w:ascii="Times New Roman" w:eastAsia="Times New Roman" w:hAnsi="Times New Roman" w:cs="Times New Roman"/>
          <w:bCs/>
          <w:sz w:val="24"/>
          <w:szCs w:val="24"/>
        </w:rPr>
        <w:t>the central bank tighten</w:t>
      </w:r>
      <w:r w:rsidR="0069444B" w:rsidRPr="001F0D9C">
        <w:rPr>
          <w:rFonts w:ascii="Times New Roman" w:eastAsia="Times New Roman" w:hAnsi="Times New Roman" w:cs="Times New Roman"/>
          <w:bCs/>
          <w:sz w:val="24"/>
          <w:szCs w:val="24"/>
        </w:rPr>
        <w:t>ing</w:t>
      </w:r>
      <w:r w:rsidR="000471F9" w:rsidRPr="001F0D9C">
        <w:rPr>
          <w:rFonts w:ascii="Times New Roman" w:eastAsia="Times New Roman" w:hAnsi="Times New Roman" w:cs="Times New Roman"/>
          <w:bCs/>
          <w:sz w:val="24"/>
          <w:szCs w:val="24"/>
        </w:rPr>
        <w:t xml:space="preserve"> policies like the foreign worker policy (</w:t>
      </w:r>
      <w:r w:rsidR="0069444B" w:rsidRPr="001F0D9C">
        <w:rPr>
          <w:rFonts w:ascii="Times New Roman" w:eastAsia="Times New Roman" w:hAnsi="Times New Roman" w:cs="Times New Roman"/>
          <w:bCs/>
          <w:sz w:val="24"/>
          <w:szCs w:val="24"/>
        </w:rPr>
        <w:t>International Monetary Fund, 2013</w:t>
      </w:r>
      <w:r w:rsidR="000471F9" w:rsidRPr="001F0D9C">
        <w:rPr>
          <w:rFonts w:ascii="Times New Roman" w:eastAsia="Times New Roman" w:hAnsi="Times New Roman" w:cs="Times New Roman"/>
          <w:bCs/>
          <w:sz w:val="24"/>
          <w:szCs w:val="24"/>
        </w:rPr>
        <w:t>).</w:t>
      </w:r>
      <w:r w:rsidRPr="001F0D9C">
        <w:rPr>
          <w:rFonts w:ascii="Times New Roman" w:eastAsia="Times New Roman" w:hAnsi="Times New Roman" w:cs="Times New Roman"/>
          <w:bCs/>
          <w:sz w:val="24"/>
          <w:szCs w:val="24"/>
        </w:rPr>
        <w:t xml:space="preserve"> As part of Singapore’s Monetary Authority which established the Singapore Government Securities (SGS) market</w:t>
      </w:r>
      <w:r w:rsidR="00836987" w:rsidRPr="001F0D9C">
        <w:rPr>
          <w:rFonts w:ascii="Times New Roman" w:eastAsia="Times New Roman" w:hAnsi="Times New Roman" w:cs="Times New Roman"/>
          <w:bCs/>
          <w:sz w:val="24"/>
          <w:szCs w:val="24"/>
        </w:rPr>
        <w:t>, Singapore has been able to</w:t>
      </w:r>
      <w:r w:rsidRPr="001F0D9C">
        <w:rPr>
          <w:rFonts w:ascii="Times New Roman" w:eastAsia="Times New Roman" w:hAnsi="Times New Roman" w:cs="Times New Roman"/>
          <w:bCs/>
          <w:sz w:val="24"/>
          <w:szCs w:val="24"/>
        </w:rPr>
        <w:t xml:space="preserve"> efficiently manag</w:t>
      </w:r>
      <w:r w:rsidR="00836987" w:rsidRPr="001F0D9C">
        <w:rPr>
          <w:rFonts w:ascii="Times New Roman" w:eastAsia="Times New Roman" w:hAnsi="Times New Roman" w:cs="Times New Roman"/>
          <w:bCs/>
          <w:sz w:val="24"/>
          <w:szCs w:val="24"/>
        </w:rPr>
        <w:t xml:space="preserve">e its sovereign wealth fund, Temasek Holdings, which has provided Singapore to become financial resilient to continued investments in human capital development. </w:t>
      </w:r>
      <w:r w:rsidR="00836987" w:rsidRPr="001F0D9C">
        <w:rPr>
          <w:rFonts w:ascii="Times New Roman" w:eastAsia="Times New Roman" w:hAnsi="Times New Roman" w:cs="Times New Roman"/>
          <w:bCs/>
          <w:sz w:val="24"/>
          <w:szCs w:val="24"/>
        </w:rPr>
        <w:lastRenderedPageBreak/>
        <w:t xml:space="preserve">This has ensured </w:t>
      </w:r>
      <w:r w:rsidR="00080E20" w:rsidRPr="001F0D9C">
        <w:rPr>
          <w:rFonts w:ascii="Times New Roman" w:eastAsia="Times New Roman" w:hAnsi="Times New Roman" w:cs="Times New Roman"/>
          <w:bCs/>
          <w:sz w:val="24"/>
          <w:szCs w:val="24"/>
        </w:rPr>
        <w:t>aa skilled and healthy workforce that supports ongoing economic development.</w:t>
      </w:r>
      <w:r w:rsidRPr="001F0D9C">
        <w:rPr>
          <w:rFonts w:ascii="Times New Roman" w:eastAsia="Times New Roman" w:hAnsi="Times New Roman" w:cs="Times New Roman"/>
          <w:bCs/>
          <w:sz w:val="24"/>
          <w:szCs w:val="24"/>
        </w:rPr>
        <w:t xml:space="preserve"> </w:t>
      </w:r>
      <w:r w:rsidR="000471F9" w:rsidRPr="001F0D9C">
        <w:rPr>
          <w:rFonts w:ascii="Times New Roman" w:eastAsia="Times New Roman" w:hAnsi="Times New Roman" w:cs="Times New Roman"/>
          <w:bCs/>
          <w:sz w:val="24"/>
          <w:szCs w:val="24"/>
        </w:rPr>
        <w:t xml:space="preserve"> </w:t>
      </w:r>
      <w:r w:rsidR="004A78C9" w:rsidRPr="001F0D9C">
        <w:rPr>
          <w:rFonts w:ascii="Times New Roman" w:eastAsia="Times New Roman" w:hAnsi="Times New Roman" w:cs="Times New Roman"/>
          <w:bCs/>
          <w:sz w:val="24"/>
          <w:szCs w:val="24"/>
        </w:rPr>
        <w:t>Empirical studies across the world have demonstrated that countries with robust regulatory frameworks and financial institutions are more resilient to financial crises.</w:t>
      </w:r>
    </w:p>
    <w:p w14:paraId="32A7FD55" w14:textId="707C9A1E" w:rsidR="00381828" w:rsidRPr="001F0D9C" w:rsidRDefault="00643113"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To ensure financial crisis resilience, financial institutions and governments must implement sound regulatory and risk management practices. For example, the Basel III framework introduced stricter capital and liquidity requirements for banks to enhance their resilience to economic shocks which was implemented following the Great Depression in 2008 (BIS, 2011).</w:t>
      </w:r>
      <w:r w:rsidR="00B2329D" w:rsidRPr="001F0D9C">
        <w:rPr>
          <w:rFonts w:ascii="Times New Roman" w:eastAsia="Times New Roman" w:hAnsi="Times New Roman" w:cs="Times New Roman"/>
          <w:bCs/>
          <w:sz w:val="24"/>
          <w:szCs w:val="24"/>
        </w:rPr>
        <w:t xml:space="preserve"> Additionally, countries can establish contingency funds, such as sovereign wealth funds</w:t>
      </w:r>
      <w:r w:rsidR="00FB7035" w:rsidRPr="001F0D9C">
        <w:rPr>
          <w:rFonts w:ascii="Times New Roman" w:eastAsia="Times New Roman" w:hAnsi="Times New Roman" w:cs="Times New Roman"/>
          <w:bCs/>
          <w:sz w:val="24"/>
          <w:szCs w:val="24"/>
        </w:rPr>
        <w:t xml:space="preserve"> (SWFs)</w:t>
      </w:r>
      <w:r w:rsidR="00B2329D" w:rsidRPr="001F0D9C">
        <w:rPr>
          <w:rFonts w:ascii="Times New Roman" w:eastAsia="Times New Roman" w:hAnsi="Times New Roman" w:cs="Times New Roman"/>
          <w:bCs/>
          <w:sz w:val="24"/>
          <w:szCs w:val="24"/>
        </w:rPr>
        <w:t xml:space="preserve"> or rainy-day funds, that can act as a financial cushion during financial crises.  </w:t>
      </w:r>
      <w:r w:rsidR="00B65247" w:rsidRPr="001F0D9C">
        <w:rPr>
          <w:rFonts w:ascii="Times New Roman" w:eastAsia="Times New Roman" w:hAnsi="Times New Roman" w:cs="Times New Roman"/>
          <w:bCs/>
          <w:sz w:val="24"/>
          <w:szCs w:val="24"/>
        </w:rPr>
        <w:t xml:space="preserve">Norway’s sovereign wealth fund is a prime example of effective treasury management. </w:t>
      </w:r>
      <w:r w:rsidR="00B2329D" w:rsidRPr="001F0D9C">
        <w:rPr>
          <w:rFonts w:ascii="Times New Roman" w:eastAsia="Times New Roman" w:hAnsi="Times New Roman" w:cs="Times New Roman"/>
          <w:bCs/>
          <w:sz w:val="24"/>
          <w:szCs w:val="24"/>
        </w:rPr>
        <w:t xml:space="preserve">According to </w:t>
      </w:r>
      <w:r w:rsidR="00D11572" w:rsidRPr="001F0D9C">
        <w:rPr>
          <w:rFonts w:ascii="Times New Roman" w:eastAsia="Times New Roman" w:hAnsi="Times New Roman" w:cs="Times New Roman"/>
          <w:bCs/>
          <w:sz w:val="24"/>
          <w:szCs w:val="24"/>
        </w:rPr>
        <w:t>Velculescu</w:t>
      </w:r>
      <w:r w:rsidR="00B2329D" w:rsidRPr="001F0D9C">
        <w:rPr>
          <w:rFonts w:ascii="Times New Roman" w:eastAsia="Times New Roman" w:hAnsi="Times New Roman" w:cs="Times New Roman"/>
          <w:bCs/>
          <w:sz w:val="24"/>
          <w:szCs w:val="24"/>
        </w:rPr>
        <w:t xml:space="preserve"> (20</w:t>
      </w:r>
      <w:r w:rsidR="00BF142E" w:rsidRPr="001F0D9C">
        <w:rPr>
          <w:rFonts w:ascii="Times New Roman" w:eastAsia="Times New Roman" w:hAnsi="Times New Roman" w:cs="Times New Roman"/>
          <w:bCs/>
          <w:sz w:val="24"/>
          <w:szCs w:val="24"/>
        </w:rPr>
        <w:t>15</w:t>
      </w:r>
      <w:r w:rsidR="00B2329D" w:rsidRPr="001F0D9C">
        <w:rPr>
          <w:rFonts w:ascii="Times New Roman" w:eastAsia="Times New Roman" w:hAnsi="Times New Roman" w:cs="Times New Roman"/>
          <w:bCs/>
          <w:sz w:val="24"/>
          <w:szCs w:val="24"/>
        </w:rPr>
        <w:t>), Norway’s Government Pension Fund Global</w:t>
      </w:r>
      <w:r w:rsidR="00FB7035" w:rsidRPr="001F0D9C">
        <w:rPr>
          <w:rFonts w:ascii="Times New Roman" w:eastAsia="Times New Roman" w:hAnsi="Times New Roman" w:cs="Times New Roman"/>
          <w:bCs/>
          <w:sz w:val="24"/>
          <w:szCs w:val="24"/>
        </w:rPr>
        <w:t xml:space="preserve"> [GPF]</w:t>
      </w:r>
      <w:r w:rsidR="00B2329D" w:rsidRPr="001F0D9C">
        <w:rPr>
          <w:rFonts w:ascii="Times New Roman" w:eastAsia="Times New Roman" w:hAnsi="Times New Roman" w:cs="Times New Roman"/>
          <w:bCs/>
          <w:sz w:val="24"/>
          <w:szCs w:val="24"/>
        </w:rPr>
        <w:t xml:space="preserve"> (</w:t>
      </w:r>
      <w:r w:rsidR="00BF142E" w:rsidRPr="001F0D9C">
        <w:rPr>
          <w:rFonts w:ascii="Times New Roman" w:eastAsia="Times New Roman" w:hAnsi="Times New Roman" w:cs="Times New Roman"/>
          <w:bCs/>
          <w:sz w:val="24"/>
          <w:szCs w:val="24"/>
        </w:rPr>
        <w:t>the Norwegian Oil Fund) shield</w:t>
      </w:r>
      <w:r w:rsidR="00B65247" w:rsidRPr="001F0D9C">
        <w:rPr>
          <w:rFonts w:ascii="Times New Roman" w:eastAsia="Times New Roman" w:hAnsi="Times New Roman" w:cs="Times New Roman"/>
          <w:bCs/>
          <w:sz w:val="24"/>
          <w:szCs w:val="24"/>
        </w:rPr>
        <w:t>s</w:t>
      </w:r>
      <w:r w:rsidR="00BF142E" w:rsidRPr="001F0D9C">
        <w:rPr>
          <w:rFonts w:ascii="Times New Roman" w:eastAsia="Times New Roman" w:hAnsi="Times New Roman" w:cs="Times New Roman"/>
          <w:bCs/>
          <w:sz w:val="24"/>
          <w:szCs w:val="24"/>
        </w:rPr>
        <w:t xml:space="preserve"> the nation’s finances from oil price fluctuations.</w:t>
      </w:r>
      <w:r w:rsidR="00FB7035" w:rsidRPr="001F0D9C">
        <w:rPr>
          <w:rFonts w:ascii="Times New Roman" w:eastAsia="Times New Roman" w:hAnsi="Times New Roman" w:cs="Times New Roman"/>
          <w:bCs/>
          <w:sz w:val="24"/>
          <w:szCs w:val="24"/>
        </w:rPr>
        <w:t xml:space="preserve"> By the end of 2007, the total assets of the GFP </w:t>
      </w:r>
      <w:r w:rsidR="00A825D8" w:rsidRPr="001F0D9C">
        <w:rPr>
          <w:rFonts w:ascii="Times New Roman" w:eastAsia="Times New Roman" w:hAnsi="Times New Roman" w:cs="Times New Roman"/>
          <w:bCs/>
          <w:sz w:val="24"/>
          <w:szCs w:val="24"/>
        </w:rPr>
        <w:t>were</w:t>
      </w:r>
      <w:r w:rsidR="00FB7035" w:rsidRPr="001F0D9C">
        <w:rPr>
          <w:rFonts w:ascii="Times New Roman" w:eastAsia="Times New Roman" w:hAnsi="Times New Roman" w:cs="Times New Roman"/>
          <w:bCs/>
          <w:sz w:val="24"/>
          <w:szCs w:val="24"/>
        </w:rPr>
        <w:t xml:space="preserve"> $373 billion and </w:t>
      </w:r>
      <w:r w:rsidR="00A825D8" w:rsidRPr="001F0D9C">
        <w:rPr>
          <w:rFonts w:ascii="Times New Roman" w:eastAsia="Times New Roman" w:hAnsi="Times New Roman" w:cs="Times New Roman"/>
          <w:bCs/>
          <w:sz w:val="24"/>
          <w:szCs w:val="24"/>
        </w:rPr>
        <w:t>have</w:t>
      </w:r>
      <w:r w:rsidR="00FB7035" w:rsidRPr="001F0D9C">
        <w:rPr>
          <w:rFonts w:ascii="Times New Roman" w:eastAsia="Times New Roman" w:hAnsi="Times New Roman" w:cs="Times New Roman"/>
          <w:bCs/>
          <w:sz w:val="24"/>
          <w:szCs w:val="24"/>
        </w:rPr>
        <w:t xml:space="preserve"> </w:t>
      </w:r>
      <w:r w:rsidR="00A825D8" w:rsidRPr="001F0D9C">
        <w:rPr>
          <w:rFonts w:ascii="Times New Roman" w:eastAsia="Times New Roman" w:hAnsi="Times New Roman" w:cs="Times New Roman"/>
          <w:bCs/>
          <w:sz w:val="24"/>
          <w:szCs w:val="24"/>
        </w:rPr>
        <w:t>been</w:t>
      </w:r>
      <w:r w:rsidR="00FB7035" w:rsidRPr="001F0D9C">
        <w:rPr>
          <w:rFonts w:ascii="Times New Roman" w:eastAsia="Times New Roman" w:hAnsi="Times New Roman" w:cs="Times New Roman"/>
          <w:bCs/>
          <w:sz w:val="24"/>
          <w:szCs w:val="24"/>
        </w:rPr>
        <w:t xml:space="preserve"> one of the fastest-growing SWFs worldwide</w:t>
      </w:r>
      <w:r w:rsidR="00A825D8" w:rsidRPr="001F0D9C">
        <w:rPr>
          <w:rFonts w:ascii="Times New Roman" w:eastAsia="Times New Roman" w:hAnsi="Times New Roman" w:cs="Times New Roman"/>
          <w:bCs/>
          <w:sz w:val="24"/>
          <w:szCs w:val="24"/>
        </w:rPr>
        <w:t xml:space="preserve"> (Velculescu, 2015)</w:t>
      </w:r>
      <w:r w:rsidR="00FB7035" w:rsidRPr="001F0D9C">
        <w:rPr>
          <w:rFonts w:ascii="Times New Roman" w:eastAsia="Times New Roman" w:hAnsi="Times New Roman" w:cs="Times New Roman"/>
          <w:bCs/>
          <w:sz w:val="24"/>
          <w:szCs w:val="24"/>
        </w:rPr>
        <w:t xml:space="preserve">. </w:t>
      </w:r>
      <w:r w:rsidR="00B65247" w:rsidRPr="001F0D9C">
        <w:rPr>
          <w:rFonts w:ascii="Times New Roman" w:eastAsia="Times New Roman" w:hAnsi="Times New Roman" w:cs="Times New Roman"/>
          <w:bCs/>
          <w:sz w:val="24"/>
          <w:szCs w:val="24"/>
        </w:rPr>
        <w:t>By wisely investing its oil revenues, Norway has not only safeguarded its economic stability but also ensured resources for education and healthcare, contributing to its human development and long-term economic growth. Furthermore</w:t>
      </w:r>
      <w:r w:rsidR="00FB7035" w:rsidRPr="001F0D9C">
        <w:rPr>
          <w:rFonts w:ascii="Times New Roman" w:eastAsia="Times New Roman" w:hAnsi="Times New Roman" w:cs="Times New Roman"/>
          <w:bCs/>
          <w:sz w:val="24"/>
          <w:szCs w:val="24"/>
        </w:rPr>
        <w:t xml:space="preserve">, the central bank of Norway uses </w:t>
      </w:r>
      <w:r w:rsidR="00A825D8" w:rsidRPr="001F0D9C">
        <w:rPr>
          <w:rFonts w:ascii="Times New Roman" w:eastAsia="Times New Roman" w:hAnsi="Times New Roman" w:cs="Times New Roman"/>
          <w:bCs/>
          <w:sz w:val="24"/>
          <w:szCs w:val="24"/>
        </w:rPr>
        <w:t>GFP as a fiscal tool to limit government spending</w:t>
      </w:r>
      <w:r w:rsidR="00A27A80" w:rsidRPr="001F0D9C">
        <w:rPr>
          <w:rFonts w:ascii="Times New Roman" w:eastAsia="Times New Roman" w:hAnsi="Times New Roman" w:cs="Times New Roman"/>
          <w:bCs/>
          <w:sz w:val="24"/>
          <w:szCs w:val="24"/>
        </w:rPr>
        <w:t xml:space="preserve"> and ensure that any information on the GFP is transparent</w:t>
      </w:r>
      <w:r w:rsidR="00104809" w:rsidRPr="001F0D9C">
        <w:rPr>
          <w:rFonts w:ascii="Times New Roman" w:eastAsia="Times New Roman" w:hAnsi="Times New Roman" w:cs="Times New Roman"/>
          <w:bCs/>
          <w:sz w:val="24"/>
          <w:szCs w:val="24"/>
        </w:rPr>
        <w:t xml:space="preserve"> as seen in Figure 2</w:t>
      </w:r>
      <w:r w:rsidR="00A825D8" w:rsidRPr="001F0D9C">
        <w:rPr>
          <w:rFonts w:ascii="Times New Roman" w:eastAsia="Times New Roman" w:hAnsi="Times New Roman" w:cs="Times New Roman"/>
          <w:bCs/>
          <w:sz w:val="24"/>
          <w:szCs w:val="24"/>
        </w:rPr>
        <w:t xml:space="preserve"> (Velculescu, 2015).</w:t>
      </w:r>
      <w:r w:rsidR="00FB7035" w:rsidRPr="001F0D9C">
        <w:rPr>
          <w:rFonts w:ascii="Times New Roman" w:eastAsia="Times New Roman" w:hAnsi="Times New Roman" w:cs="Times New Roman"/>
          <w:bCs/>
          <w:sz w:val="24"/>
          <w:szCs w:val="24"/>
        </w:rPr>
        <w:t xml:space="preserve"> </w:t>
      </w:r>
      <w:r w:rsidR="00BF142E" w:rsidRPr="001F0D9C">
        <w:rPr>
          <w:rFonts w:ascii="Times New Roman" w:eastAsia="Times New Roman" w:hAnsi="Times New Roman" w:cs="Times New Roman"/>
          <w:bCs/>
          <w:sz w:val="24"/>
          <w:szCs w:val="24"/>
        </w:rPr>
        <w:t xml:space="preserve"> Moreover, maintaining fiscal discipline and debt sustainability is crucial, as excessive debt can exacerbate the impact of financial crises.</w:t>
      </w:r>
    </w:p>
    <w:p w14:paraId="37673E42" w14:textId="6A1EBE2D" w:rsidR="00D53C6C" w:rsidRPr="001F0D9C" w:rsidRDefault="00D53C6C" w:rsidP="001F0D9C">
      <w:pPr>
        <w:spacing w:line="276" w:lineRule="auto"/>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ab/>
        <w:t xml:space="preserve">        </w:t>
      </w:r>
      <w:r w:rsidR="00D232D1" w:rsidRPr="001F0D9C">
        <w:rPr>
          <w:rFonts w:ascii="Times New Roman" w:eastAsia="Times New Roman" w:hAnsi="Times New Roman" w:cs="Times New Roman"/>
          <w:bCs/>
          <w:noProof/>
          <w:sz w:val="24"/>
          <w:szCs w:val="24"/>
        </w:rPr>
        <w:drawing>
          <wp:inline distT="0" distB="0" distL="0" distR="0" wp14:anchorId="3872BA10" wp14:editId="3F2A4394">
            <wp:extent cx="2993390" cy="2175665"/>
            <wp:effectExtent l="0" t="0" r="0" b="0"/>
            <wp:docPr id="24098639" name="Picture 1" descr="A diagram of a financial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8639" name="Picture 1" descr="A diagram of a financial strategy&#10;&#10;Description automatically generated"/>
                    <pic:cNvPicPr/>
                  </pic:nvPicPr>
                  <pic:blipFill rotWithShape="1">
                    <a:blip r:embed="rId10"/>
                    <a:srcRect l="8282" t="8626" r="7957" b="2377"/>
                    <a:stretch/>
                  </pic:blipFill>
                  <pic:spPr bwMode="auto">
                    <a:xfrm>
                      <a:off x="0" y="0"/>
                      <a:ext cx="3004071" cy="2183429"/>
                    </a:xfrm>
                    <a:prstGeom prst="rect">
                      <a:avLst/>
                    </a:prstGeom>
                    <a:ln>
                      <a:noFill/>
                    </a:ln>
                    <a:extLst>
                      <a:ext uri="{53640926-AAD7-44D8-BBD7-CCE9431645EC}">
                        <a14:shadowObscured xmlns:a14="http://schemas.microsoft.com/office/drawing/2010/main"/>
                      </a:ext>
                    </a:extLst>
                  </pic:spPr>
                </pic:pic>
              </a:graphicData>
            </a:graphic>
          </wp:inline>
        </w:drawing>
      </w:r>
    </w:p>
    <w:p w14:paraId="679CFDF1" w14:textId="552F3747" w:rsidR="003C0110" w:rsidRPr="001F0D9C" w:rsidRDefault="003C0110" w:rsidP="001F0D9C">
      <w:pPr>
        <w:pStyle w:val="Caption"/>
        <w:spacing w:line="276" w:lineRule="auto"/>
        <w:jc w:val="both"/>
        <w:rPr>
          <w:rFonts w:ascii="Times New Roman" w:hAnsi="Times New Roman" w:cs="Times New Roman"/>
          <w:b/>
          <w:bCs/>
          <w:i w:val="0"/>
          <w:iCs w:val="0"/>
          <w:color w:val="auto"/>
        </w:rPr>
      </w:pPr>
      <w:r w:rsidRPr="001F0D9C">
        <w:rPr>
          <w:rFonts w:ascii="Times New Roman" w:eastAsia="Times New Roman" w:hAnsi="Times New Roman" w:cs="Times New Roman"/>
          <w:bCs/>
          <w:sz w:val="24"/>
          <w:szCs w:val="24"/>
        </w:rPr>
        <w:tab/>
      </w:r>
      <w:r w:rsidRPr="001F0D9C">
        <w:rPr>
          <w:rFonts w:ascii="Times New Roman" w:eastAsia="Times New Roman" w:hAnsi="Times New Roman" w:cs="Times New Roman"/>
          <w:b/>
          <w:bCs/>
          <w:i w:val="0"/>
          <w:iCs w:val="0"/>
          <w:sz w:val="24"/>
          <w:szCs w:val="24"/>
        </w:rPr>
        <w:t xml:space="preserve">        </w:t>
      </w:r>
      <w:bookmarkStart w:id="3" w:name="_Toc146481294"/>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00044724" w:rsidRPr="001F0D9C">
        <w:rPr>
          <w:rFonts w:ascii="Times New Roman" w:hAnsi="Times New Roman" w:cs="Times New Roman"/>
          <w:b/>
          <w:bCs/>
          <w:i w:val="0"/>
          <w:iCs w:val="0"/>
          <w:noProof/>
          <w:color w:val="auto"/>
        </w:rPr>
        <w:t>2</w:t>
      </w:r>
      <w:bookmarkEnd w:id="3"/>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73CF237E" w14:textId="068CEE42" w:rsidR="003C0110" w:rsidRPr="001F0D9C" w:rsidRDefault="003C0110" w:rsidP="001F0D9C">
      <w:pPr>
        <w:pStyle w:val="Caption"/>
        <w:spacing w:line="276" w:lineRule="auto"/>
        <w:ind w:left="450" w:firstLine="720"/>
        <w:jc w:val="both"/>
        <w:rPr>
          <w:rFonts w:ascii="Times New Roman" w:eastAsia="Times New Roman" w:hAnsi="Times New Roman" w:cs="Times New Roman"/>
          <w:bCs/>
          <w:color w:val="auto"/>
          <w:sz w:val="24"/>
          <w:szCs w:val="24"/>
        </w:rPr>
      </w:pPr>
      <w:r w:rsidRPr="001F0D9C">
        <w:rPr>
          <w:rFonts w:ascii="Times New Roman" w:hAnsi="Times New Roman" w:cs="Times New Roman"/>
          <w:color w:val="auto"/>
        </w:rPr>
        <w:t>Transparency of the GFP (Velculescu, 2015)</w:t>
      </w:r>
    </w:p>
    <w:p w14:paraId="7C1947B0" w14:textId="2C014598" w:rsidR="00660C88" w:rsidRPr="001F0D9C" w:rsidRDefault="00660C88"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lastRenderedPageBreak/>
        <w:t xml:space="preserve">Achieving financial crisis stability not only preserves economic stability but also fosters investor confidence, which is essential for long-term economic </w:t>
      </w:r>
      <w:r w:rsidR="00D027D8" w:rsidRPr="001F0D9C">
        <w:rPr>
          <w:rFonts w:ascii="Times New Roman" w:eastAsia="Times New Roman" w:hAnsi="Times New Roman" w:cs="Times New Roman"/>
          <w:bCs/>
          <w:sz w:val="24"/>
          <w:szCs w:val="24"/>
        </w:rPr>
        <w:t>growth. Nations that demonstrate resilience during crises are more likely to attract foreign investments and maintain stable financial markets. For instance, during the E</w:t>
      </w:r>
      <w:r w:rsidR="005E2308" w:rsidRPr="001F0D9C">
        <w:rPr>
          <w:rFonts w:ascii="Times New Roman" w:eastAsia="Times New Roman" w:hAnsi="Times New Roman" w:cs="Times New Roman"/>
          <w:bCs/>
          <w:sz w:val="24"/>
          <w:szCs w:val="24"/>
        </w:rPr>
        <w:t>urozone crisis, countries like Germany showcased resilience throughout their economic policies and strong financial institutions (</w:t>
      </w:r>
      <w:r w:rsidR="00850459" w:rsidRPr="001F0D9C">
        <w:rPr>
          <w:rFonts w:ascii="Times New Roman" w:eastAsia="Times New Roman" w:hAnsi="Times New Roman" w:cs="Times New Roman"/>
          <w:bCs/>
          <w:sz w:val="24"/>
          <w:szCs w:val="24"/>
        </w:rPr>
        <w:t xml:space="preserve">Bulmer, 2022; </w:t>
      </w:r>
      <w:r w:rsidR="005E2308" w:rsidRPr="001F0D9C">
        <w:rPr>
          <w:rFonts w:ascii="Times New Roman" w:eastAsia="Times New Roman" w:hAnsi="Times New Roman" w:cs="Times New Roman"/>
          <w:bCs/>
          <w:sz w:val="24"/>
          <w:szCs w:val="24"/>
        </w:rPr>
        <w:t xml:space="preserve">Kenton, 2021). This contributed to their ability to bounce back quickly from the crisis and maintain robust economic stability. </w:t>
      </w:r>
    </w:p>
    <w:p w14:paraId="1C4360E3" w14:textId="49048935" w:rsidR="00660C88" w:rsidRPr="001F0D9C" w:rsidRDefault="00660C88" w:rsidP="001F0D9C">
      <w:pPr>
        <w:spacing w:line="276" w:lineRule="auto"/>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ab/>
      </w:r>
      <w:r w:rsidRPr="001F0D9C">
        <w:rPr>
          <w:rFonts w:ascii="Times New Roman" w:eastAsia="Times New Roman" w:hAnsi="Times New Roman" w:cs="Times New Roman"/>
          <w:bCs/>
          <w:sz w:val="24"/>
          <w:szCs w:val="24"/>
        </w:rPr>
        <w:tab/>
      </w:r>
      <w:r w:rsidRPr="001F0D9C">
        <w:rPr>
          <w:rFonts w:ascii="Times New Roman" w:eastAsia="Times New Roman" w:hAnsi="Times New Roman" w:cs="Times New Roman"/>
          <w:bCs/>
          <w:sz w:val="24"/>
          <w:szCs w:val="24"/>
        </w:rPr>
        <w:tab/>
      </w:r>
    </w:p>
    <w:p w14:paraId="5D9206AB" w14:textId="7AEBAF3C" w:rsidR="00B01220" w:rsidRPr="001F0D9C" w:rsidRDefault="00CC20AD" w:rsidP="001F0D9C">
      <w:pPr>
        <w:pStyle w:val="ListParagraph"/>
        <w:numPr>
          <w:ilvl w:val="1"/>
          <w:numId w:val="3"/>
        </w:numPr>
        <w:spacing w:line="276" w:lineRule="auto"/>
        <w:jc w:val="both"/>
        <w:rPr>
          <w:rFonts w:ascii="Times New Roman" w:eastAsia="Times New Roman" w:hAnsi="Times New Roman" w:cs="Times New Roman"/>
          <w:b/>
          <w:sz w:val="24"/>
          <w:szCs w:val="24"/>
          <w:u w:val="single"/>
        </w:rPr>
      </w:pPr>
      <w:r w:rsidRPr="001F0D9C">
        <w:rPr>
          <w:rFonts w:ascii="Times New Roman" w:eastAsia="Times New Roman" w:hAnsi="Times New Roman" w:cs="Times New Roman"/>
          <w:b/>
          <w:sz w:val="24"/>
          <w:szCs w:val="24"/>
          <w:u w:val="single"/>
        </w:rPr>
        <w:t>Disaster Preparedness</w:t>
      </w:r>
    </w:p>
    <w:p w14:paraId="2F0D09FD" w14:textId="36112268" w:rsidR="005E72DE" w:rsidRPr="001F0D9C" w:rsidRDefault="004D27BA"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Disaster preparedness in risk financing and treasury management is closely related to the concepts discussed in Chapter 1 and plays a crucial role in achieving and maintaining economic stability. </w:t>
      </w:r>
      <w:r w:rsidR="007743B6" w:rsidRPr="001F0D9C">
        <w:rPr>
          <w:rFonts w:ascii="Times New Roman" w:eastAsia="Times New Roman" w:hAnsi="Times New Roman" w:cs="Times New Roman"/>
          <w:bCs/>
          <w:sz w:val="24"/>
          <w:szCs w:val="24"/>
        </w:rPr>
        <w:t xml:space="preserve">The need for disaster preparedness is very pertinent, especially within the </w:t>
      </w:r>
      <w:r w:rsidR="00B95C29" w:rsidRPr="001F0D9C">
        <w:rPr>
          <w:rFonts w:ascii="Times New Roman" w:eastAsia="Times New Roman" w:hAnsi="Times New Roman" w:cs="Times New Roman"/>
          <w:bCs/>
          <w:sz w:val="24"/>
          <w:szCs w:val="24"/>
        </w:rPr>
        <w:t>realm of</w:t>
      </w:r>
      <w:r w:rsidR="007743B6" w:rsidRPr="001F0D9C">
        <w:rPr>
          <w:rFonts w:ascii="Times New Roman" w:eastAsia="Times New Roman" w:hAnsi="Times New Roman" w:cs="Times New Roman"/>
          <w:bCs/>
          <w:sz w:val="24"/>
          <w:szCs w:val="24"/>
        </w:rPr>
        <w:t xml:space="preserve"> risk financing and treasury management to maintain economic stability</w:t>
      </w:r>
      <w:r w:rsidR="00B95C29" w:rsidRPr="001F0D9C">
        <w:rPr>
          <w:rFonts w:ascii="Times New Roman" w:eastAsia="Times New Roman" w:hAnsi="Times New Roman" w:cs="Times New Roman"/>
          <w:bCs/>
          <w:sz w:val="24"/>
          <w:szCs w:val="24"/>
        </w:rPr>
        <w:t xml:space="preserve"> of nations</w:t>
      </w:r>
      <w:r w:rsidR="007743B6" w:rsidRPr="001F0D9C">
        <w:rPr>
          <w:rFonts w:ascii="Times New Roman" w:eastAsia="Times New Roman" w:hAnsi="Times New Roman" w:cs="Times New Roman"/>
          <w:bCs/>
          <w:sz w:val="24"/>
          <w:szCs w:val="24"/>
        </w:rPr>
        <w:t>. Disasters, whether economic or natural, can have devastating effects on a nation’s finances and its citizens’ well-being. Ensuring disaster preparation not only mitigates these impacts but also helps in the swift</w:t>
      </w:r>
      <w:r w:rsidR="00B95C29" w:rsidRPr="001F0D9C">
        <w:rPr>
          <w:rFonts w:ascii="Times New Roman" w:eastAsia="Times New Roman" w:hAnsi="Times New Roman" w:cs="Times New Roman"/>
          <w:bCs/>
          <w:sz w:val="24"/>
          <w:szCs w:val="24"/>
        </w:rPr>
        <w:t xml:space="preserve"> recovery of the economy. This chapter seeks to shed light on this need.</w:t>
      </w:r>
    </w:p>
    <w:p w14:paraId="03EB95CC" w14:textId="122B404F" w:rsidR="00B95C29" w:rsidRPr="001F0D9C" w:rsidRDefault="00B95C29" w:rsidP="001F0D9C">
      <w:pPr>
        <w:spacing w:line="276" w:lineRule="auto"/>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ab/>
      </w:r>
      <w:r w:rsidRPr="001F0D9C">
        <w:rPr>
          <w:rFonts w:ascii="Times New Roman" w:eastAsia="Times New Roman" w:hAnsi="Times New Roman" w:cs="Times New Roman"/>
          <w:bCs/>
          <w:sz w:val="24"/>
          <w:szCs w:val="24"/>
        </w:rPr>
        <w:tab/>
      </w:r>
    </w:p>
    <w:p w14:paraId="34DA16E9" w14:textId="64AB1400" w:rsidR="00B95C29" w:rsidRPr="001F0D9C" w:rsidRDefault="00B95C29" w:rsidP="001F0D9C">
      <w:pPr>
        <w:spacing w:line="276" w:lineRule="auto"/>
        <w:ind w:left="450" w:firstLine="72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t>Mitigating the Economic Impact of Natural Disasters</w:t>
      </w:r>
    </w:p>
    <w:p w14:paraId="0BA5FB64" w14:textId="4E22B720" w:rsidR="00B95C29" w:rsidRPr="001F0D9C" w:rsidRDefault="000C2184"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Disaster preparedness involves government and financial institutions allocating financial resources and </w:t>
      </w:r>
      <w:r w:rsidR="00F37535" w:rsidRPr="001F0D9C">
        <w:rPr>
          <w:rFonts w:ascii="Times New Roman" w:eastAsia="Times New Roman" w:hAnsi="Times New Roman" w:cs="Times New Roman"/>
          <w:bCs/>
          <w:sz w:val="24"/>
          <w:szCs w:val="24"/>
        </w:rPr>
        <w:t xml:space="preserve">risk management strategies to mitigate the economic consequences of natural disasters such as floods, hurricanes, and earthquakes. </w:t>
      </w:r>
      <w:r w:rsidR="00B40852" w:rsidRPr="001F0D9C">
        <w:rPr>
          <w:rFonts w:ascii="Times New Roman" w:eastAsia="Times New Roman" w:hAnsi="Times New Roman" w:cs="Times New Roman"/>
          <w:bCs/>
          <w:sz w:val="24"/>
          <w:szCs w:val="24"/>
        </w:rPr>
        <w:t>Japan experienced a triple meltdown in 2011. During that period,</w:t>
      </w:r>
      <w:r w:rsidR="00064597" w:rsidRPr="001F0D9C">
        <w:rPr>
          <w:rFonts w:ascii="Times New Roman" w:eastAsia="Times New Roman" w:hAnsi="Times New Roman" w:cs="Times New Roman"/>
          <w:bCs/>
          <w:sz w:val="24"/>
          <w:szCs w:val="24"/>
        </w:rPr>
        <w:t xml:space="preserve"> an earthquake of magnitude 9.0 struck Japan off the east coast, which was immediately followed by a catastrophic tsunami having waves reaching 100 feet</w:t>
      </w:r>
      <w:r w:rsidR="00AC46EF" w:rsidRPr="001F0D9C">
        <w:rPr>
          <w:rFonts w:ascii="Times New Roman" w:eastAsia="Times New Roman" w:hAnsi="Times New Roman" w:cs="Times New Roman"/>
          <w:bCs/>
          <w:sz w:val="24"/>
          <w:szCs w:val="24"/>
        </w:rPr>
        <w:t xml:space="preserve"> </w:t>
      </w:r>
      <w:r w:rsidR="00A51110" w:rsidRPr="001F0D9C">
        <w:rPr>
          <w:rFonts w:ascii="Times New Roman" w:eastAsia="Times New Roman" w:hAnsi="Times New Roman" w:cs="Times New Roman"/>
          <w:bCs/>
          <w:sz w:val="24"/>
          <w:szCs w:val="24"/>
        </w:rPr>
        <w:t xml:space="preserve">as seen in Figure 3 </w:t>
      </w:r>
      <w:r w:rsidR="00AC46EF" w:rsidRPr="001F0D9C">
        <w:rPr>
          <w:rFonts w:ascii="Times New Roman" w:eastAsia="Times New Roman" w:hAnsi="Times New Roman" w:cs="Times New Roman"/>
          <w:bCs/>
          <w:sz w:val="24"/>
          <w:szCs w:val="24"/>
        </w:rPr>
        <w:t>(Ferris &amp; Solis, 2016)</w:t>
      </w:r>
      <w:r w:rsidR="00064597" w:rsidRPr="001F0D9C">
        <w:rPr>
          <w:rFonts w:ascii="Times New Roman" w:eastAsia="Times New Roman" w:hAnsi="Times New Roman" w:cs="Times New Roman"/>
          <w:bCs/>
          <w:sz w:val="24"/>
          <w:szCs w:val="24"/>
        </w:rPr>
        <w:t>.</w:t>
      </w:r>
      <w:r w:rsidR="00B40852" w:rsidRPr="001F0D9C">
        <w:rPr>
          <w:rFonts w:ascii="Times New Roman" w:eastAsia="Times New Roman" w:hAnsi="Times New Roman" w:cs="Times New Roman"/>
          <w:bCs/>
          <w:sz w:val="24"/>
          <w:szCs w:val="24"/>
        </w:rPr>
        <w:t xml:space="preserve"> </w:t>
      </w:r>
    </w:p>
    <w:p w14:paraId="05EC29F8" w14:textId="77777777" w:rsidR="00B95C29" w:rsidRPr="001F0D9C" w:rsidRDefault="00B95C29" w:rsidP="001F0D9C">
      <w:pPr>
        <w:spacing w:line="276" w:lineRule="auto"/>
        <w:ind w:left="450" w:firstLine="720"/>
        <w:jc w:val="both"/>
        <w:rPr>
          <w:rFonts w:ascii="Times New Roman" w:eastAsia="Times New Roman" w:hAnsi="Times New Roman" w:cs="Times New Roman"/>
          <w:bCs/>
          <w:sz w:val="24"/>
          <w:szCs w:val="24"/>
        </w:rPr>
      </w:pPr>
    </w:p>
    <w:p w14:paraId="5759D222" w14:textId="1BEB63D2" w:rsidR="007A5CEF" w:rsidRPr="001F0D9C" w:rsidRDefault="007A5CEF" w:rsidP="001F0D9C">
      <w:pPr>
        <w:spacing w:line="276" w:lineRule="auto"/>
        <w:ind w:left="450" w:firstLine="72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noProof/>
          <w:sz w:val="24"/>
          <w:szCs w:val="24"/>
        </w:rPr>
        <w:lastRenderedPageBreak/>
        <w:drawing>
          <wp:inline distT="0" distB="0" distL="0" distR="0" wp14:anchorId="3061368C" wp14:editId="553F31BA">
            <wp:extent cx="3800788" cy="2498271"/>
            <wp:effectExtent l="0" t="0" r="9525" b="0"/>
            <wp:docPr id="1902930780" name="Picture 1" descr="A water flowing over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30780" name="Picture 1" descr="A water flowing over a road&#10;&#10;Description automatically generated"/>
                    <pic:cNvPicPr/>
                  </pic:nvPicPr>
                  <pic:blipFill>
                    <a:blip r:embed="rId11"/>
                    <a:stretch>
                      <a:fillRect/>
                    </a:stretch>
                  </pic:blipFill>
                  <pic:spPr>
                    <a:xfrm>
                      <a:off x="0" y="0"/>
                      <a:ext cx="3825509" cy="2514520"/>
                    </a:xfrm>
                    <a:prstGeom prst="rect">
                      <a:avLst/>
                    </a:prstGeom>
                  </pic:spPr>
                </pic:pic>
              </a:graphicData>
            </a:graphic>
          </wp:inline>
        </w:drawing>
      </w:r>
    </w:p>
    <w:p w14:paraId="5405BD9A" w14:textId="2C99A525" w:rsidR="007A5CEF" w:rsidRPr="001F0D9C" w:rsidRDefault="007A5CEF" w:rsidP="001F0D9C">
      <w:pPr>
        <w:pStyle w:val="Caption"/>
        <w:spacing w:line="276" w:lineRule="auto"/>
        <w:ind w:left="450" w:firstLine="720"/>
        <w:jc w:val="both"/>
        <w:rPr>
          <w:rFonts w:ascii="Times New Roman" w:hAnsi="Times New Roman" w:cs="Times New Roman"/>
          <w:b/>
          <w:bCs/>
          <w:i w:val="0"/>
          <w:iCs w:val="0"/>
          <w:color w:val="auto"/>
        </w:rPr>
      </w:pPr>
      <w:bookmarkStart w:id="4" w:name="_Toc146481295"/>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00044724" w:rsidRPr="001F0D9C">
        <w:rPr>
          <w:rFonts w:ascii="Times New Roman" w:hAnsi="Times New Roman" w:cs="Times New Roman"/>
          <w:b/>
          <w:bCs/>
          <w:i w:val="0"/>
          <w:iCs w:val="0"/>
          <w:noProof/>
          <w:color w:val="auto"/>
        </w:rPr>
        <w:t>3</w:t>
      </w:r>
      <w:bookmarkEnd w:id="4"/>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12DE811F" w14:textId="0833635F" w:rsidR="007A5CEF" w:rsidRPr="001F0D9C" w:rsidRDefault="007A5CEF" w:rsidP="001F0D9C">
      <w:pPr>
        <w:pStyle w:val="Caption"/>
        <w:spacing w:line="276" w:lineRule="auto"/>
        <w:ind w:left="450" w:firstLine="720"/>
        <w:jc w:val="both"/>
        <w:rPr>
          <w:rFonts w:ascii="Times New Roman" w:eastAsia="Times New Roman" w:hAnsi="Times New Roman" w:cs="Times New Roman"/>
          <w:bCs/>
          <w:color w:val="auto"/>
          <w:sz w:val="24"/>
          <w:szCs w:val="24"/>
        </w:rPr>
      </w:pPr>
      <w:r w:rsidRPr="001F0D9C">
        <w:rPr>
          <w:rFonts w:ascii="Times New Roman" w:hAnsi="Times New Roman" w:cs="Times New Roman"/>
          <w:color w:val="auto"/>
        </w:rPr>
        <w:t>100 feet Wave of Massive Tsunami (Ferris &amp; Solis, 2016)</w:t>
      </w:r>
    </w:p>
    <w:p w14:paraId="5CC46FB5" w14:textId="53944E1D" w:rsidR="00982BDF" w:rsidRPr="001F0D9C" w:rsidRDefault="00982BDF" w:rsidP="001F0D9C">
      <w:pPr>
        <w:spacing w:line="276" w:lineRule="auto"/>
        <w:ind w:left="11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Japan’s tsunami and earthquake triggered the Fukushima nuclear disaster, causing immense economic damage. The economic losses amounted to $360 billion and approximately 20,000 people died while 465,000 had to be evacuated [due to the uprooting of communities] (Ferris &amp; Solis, 2016). This required the attention of the government and the people and thus closing nuclear reactors was done due to supply disruptions of electricity [sea water gravely affected the nuclear plants]; by the time operations resumed with only two of the reactors and Japan experienced trade deficits (Ferris &amp; Solis, 2016). This was mostly because of the excessive oil importation into the country to address the loss of electricity. </w:t>
      </w:r>
    </w:p>
    <w:p w14:paraId="611FA165" w14:textId="1218C350" w:rsidR="009C6A75" w:rsidRPr="001F0D9C" w:rsidRDefault="009C6A75" w:rsidP="001F0D9C">
      <w:pPr>
        <w:spacing w:line="276" w:lineRule="auto"/>
        <w:ind w:left="450" w:firstLine="72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noProof/>
          <w:sz w:val="24"/>
          <w:szCs w:val="24"/>
        </w:rPr>
        <w:drawing>
          <wp:inline distT="0" distB="0" distL="0" distR="0" wp14:anchorId="5B098E6E" wp14:editId="57C502F1">
            <wp:extent cx="3073978" cy="1889760"/>
            <wp:effectExtent l="0" t="0" r="0" b="0"/>
            <wp:docPr id="263082233" name="Picture 1" descr="A large white tanks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82233" name="Picture 1" descr="A large white tanks on a beach&#10;&#10;Description automatically generated"/>
                    <pic:cNvPicPr/>
                  </pic:nvPicPr>
                  <pic:blipFill>
                    <a:blip r:embed="rId12"/>
                    <a:stretch>
                      <a:fillRect/>
                    </a:stretch>
                  </pic:blipFill>
                  <pic:spPr>
                    <a:xfrm>
                      <a:off x="0" y="0"/>
                      <a:ext cx="3103899" cy="1908154"/>
                    </a:xfrm>
                    <a:prstGeom prst="rect">
                      <a:avLst/>
                    </a:prstGeom>
                  </pic:spPr>
                </pic:pic>
              </a:graphicData>
            </a:graphic>
          </wp:inline>
        </w:drawing>
      </w:r>
    </w:p>
    <w:p w14:paraId="6C1A01F6" w14:textId="453EA94F" w:rsidR="009C6A75" w:rsidRPr="001F0D9C" w:rsidRDefault="009C6A75" w:rsidP="001F0D9C">
      <w:pPr>
        <w:pStyle w:val="Caption"/>
        <w:spacing w:line="276" w:lineRule="auto"/>
        <w:ind w:left="450" w:firstLine="720"/>
        <w:jc w:val="both"/>
        <w:rPr>
          <w:rFonts w:ascii="Times New Roman" w:hAnsi="Times New Roman" w:cs="Times New Roman"/>
          <w:b/>
          <w:bCs/>
          <w:i w:val="0"/>
          <w:iCs w:val="0"/>
          <w:color w:val="auto"/>
        </w:rPr>
      </w:pPr>
      <w:bookmarkStart w:id="5" w:name="_Toc146481296"/>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00044724" w:rsidRPr="001F0D9C">
        <w:rPr>
          <w:rFonts w:ascii="Times New Roman" w:hAnsi="Times New Roman" w:cs="Times New Roman"/>
          <w:b/>
          <w:bCs/>
          <w:i w:val="0"/>
          <w:iCs w:val="0"/>
          <w:noProof/>
          <w:color w:val="auto"/>
        </w:rPr>
        <w:t>4</w:t>
      </w:r>
      <w:bookmarkEnd w:id="5"/>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1799794C" w14:textId="086DB920" w:rsidR="00982BDF" w:rsidRPr="001F0D9C" w:rsidRDefault="009C6A75" w:rsidP="001F0D9C">
      <w:pPr>
        <w:pStyle w:val="Caption"/>
        <w:spacing w:line="276" w:lineRule="auto"/>
        <w:ind w:left="450" w:firstLine="720"/>
        <w:jc w:val="both"/>
        <w:rPr>
          <w:rFonts w:ascii="Times New Roman" w:eastAsia="Times New Roman" w:hAnsi="Times New Roman" w:cs="Times New Roman"/>
          <w:bCs/>
          <w:color w:val="auto"/>
          <w:sz w:val="24"/>
          <w:szCs w:val="24"/>
        </w:rPr>
      </w:pPr>
      <w:r w:rsidRPr="001F0D9C">
        <w:rPr>
          <w:rFonts w:ascii="Times New Roman" w:hAnsi="Times New Roman" w:cs="Times New Roman"/>
          <w:color w:val="auto"/>
        </w:rPr>
        <w:t>Catastrophic Impact of Nuclear Plant by the Influx of Sea Water (BBC News, 2021)</w:t>
      </w:r>
    </w:p>
    <w:p w14:paraId="778DE4B2" w14:textId="77777777" w:rsidR="00982BDF" w:rsidRPr="001F0D9C" w:rsidRDefault="00982BDF" w:rsidP="001F0D9C">
      <w:pPr>
        <w:spacing w:line="276" w:lineRule="auto"/>
        <w:ind w:left="450" w:firstLine="720"/>
        <w:jc w:val="both"/>
        <w:rPr>
          <w:rFonts w:ascii="Times New Roman" w:eastAsia="Times New Roman" w:hAnsi="Times New Roman" w:cs="Times New Roman"/>
          <w:bCs/>
          <w:sz w:val="24"/>
          <w:szCs w:val="24"/>
        </w:rPr>
      </w:pPr>
    </w:p>
    <w:p w14:paraId="6110ED04" w14:textId="77777777" w:rsidR="00D04ADE" w:rsidRPr="001F0D9C" w:rsidRDefault="00D04ADE" w:rsidP="001F0D9C">
      <w:pPr>
        <w:spacing w:line="276" w:lineRule="auto"/>
        <w:ind w:left="450" w:firstLine="72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noProof/>
          <w:sz w:val="24"/>
          <w:szCs w:val="24"/>
        </w:rPr>
        <w:drawing>
          <wp:inline distT="0" distB="0" distL="0" distR="0" wp14:anchorId="05F71FBE" wp14:editId="74897770">
            <wp:extent cx="3162300" cy="1986609"/>
            <wp:effectExtent l="0" t="0" r="0" b="0"/>
            <wp:docPr id="1094018254" name="Picture 1" descr="A person in a white suit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18254" name="Picture 1" descr="A person in a white suit holding a child&#10;&#10;Description automatically generated"/>
                    <pic:cNvPicPr/>
                  </pic:nvPicPr>
                  <pic:blipFill rotWithShape="1">
                    <a:blip r:embed="rId13"/>
                    <a:srcRect l="3027" r="10"/>
                    <a:stretch/>
                  </pic:blipFill>
                  <pic:spPr bwMode="auto">
                    <a:xfrm>
                      <a:off x="0" y="0"/>
                      <a:ext cx="3177826" cy="1996363"/>
                    </a:xfrm>
                    <a:prstGeom prst="rect">
                      <a:avLst/>
                    </a:prstGeom>
                    <a:ln>
                      <a:noFill/>
                    </a:ln>
                    <a:extLst>
                      <a:ext uri="{53640926-AAD7-44D8-BBD7-CCE9431645EC}">
                        <a14:shadowObscured xmlns:a14="http://schemas.microsoft.com/office/drawing/2010/main"/>
                      </a:ext>
                    </a:extLst>
                  </pic:spPr>
                </pic:pic>
              </a:graphicData>
            </a:graphic>
          </wp:inline>
        </w:drawing>
      </w:r>
    </w:p>
    <w:p w14:paraId="616191AF" w14:textId="78B59E39" w:rsidR="00D04ADE" w:rsidRPr="001F0D9C" w:rsidRDefault="00D04ADE" w:rsidP="001F0D9C">
      <w:pPr>
        <w:pStyle w:val="Caption"/>
        <w:spacing w:line="276" w:lineRule="auto"/>
        <w:ind w:left="450" w:firstLine="720"/>
        <w:jc w:val="both"/>
        <w:rPr>
          <w:rFonts w:ascii="Times New Roman" w:hAnsi="Times New Roman" w:cs="Times New Roman"/>
          <w:b/>
          <w:bCs/>
          <w:i w:val="0"/>
          <w:iCs w:val="0"/>
          <w:color w:val="auto"/>
        </w:rPr>
      </w:pPr>
      <w:bookmarkStart w:id="6" w:name="_Toc146481297"/>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00044724" w:rsidRPr="001F0D9C">
        <w:rPr>
          <w:rFonts w:ascii="Times New Roman" w:hAnsi="Times New Roman" w:cs="Times New Roman"/>
          <w:b/>
          <w:bCs/>
          <w:i w:val="0"/>
          <w:iCs w:val="0"/>
          <w:noProof/>
          <w:color w:val="auto"/>
        </w:rPr>
        <w:t>5</w:t>
      </w:r>
      <w:bookmarkEnd w:id="6"/>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771EE19A" w14:textId="77777777" w:rsidR="00D04ADE" w:rsidRPr="001F0D9C" w:rsidRDefault="00D04ADE" w:rsidP="001F0D9C">
      <w:pPr>
        <w:pStyle w:val="Caption"/>
        <w:spacing w:line="276" w:lineRule="auto"/>
        <w:ind w:left="450" w:firstLine="720"/>
        <w:jc w:val="both"/>
        <w:rPr>
          <w:rFonts w:ascii="Times New Roman" w:eastAsia="Times New Roman" w:hAnsi="Times New Roman" w:cs="Times New Roman"/>
          <w:bCs/>
          <w:color w:val="auto"/>
          <w:sz w:val="24"/>
          <w:szCs w:val="24"/>
        </w:rPr>
      </w:pPr>
      <w:r w:rsidRPr="001F0D9C">
        <w:rPr>
          <w:rFonts w:ascii="Times New Roman" w:hAnsi="Times New Roman" w:cs="Times New Roman"/>
          <w:color w:val="auto"/>
        </w:rPr>
        <w:t>Checks were made to ensure people were not exposed to radiation (BBC, 2021)</w:t>
      </w:r>
    </w:p>
    <w:p w14:paraId="76C1DAE3" w14:textId="4AC3D105" w:rsidR="00D04ADE" w:rsidRPr="001F0D9C" w:rsidRDefault="00D04ADE" w:rsidP="001F0D9C">
      <w:pPr>
        <w:spacing w:line="276" w:lineRule="auto"/>
        <w:jc w:val="both"/>
        <w:rPr>
          <w:rFonts w:ascii="Times New Roman" w:hAnsi="Times New Roman" w:cs="Times New Roman"/>
        </w:rPr>
      </w:pPr>
      <w:r w:rsidRPr="001F0D9C">
        <w:rPr>
          <w:rFonts w:ascii="Times New Roman" w:hAnsi="Times New Roman" w:cs="Times New Roman"/>
        </w:rPr>
        <w:tab/>
      </w:r>
      <w:r w:rsidRPr="001F0D9C">
        <w:rPr>
          <w:rFonts w:ascii="Times New Roman" w:hAnsi="Times New Roman" w:cs="Times New Roman"/>
        </w:rPr>
        <w:tab/>
      </w:r>
    </w:p>
    <w:p w14:paraId="22186DB9" w14:textId="13C13BA6" w:rsidR="00D04ADE" w:rsidRPr="001F0D9C" w:rsidRDefault="00D04ADE" w:rsidP="001F0D9C">
      <w:pPr>
        <w:spacing w:line="276" w:lineRule="auto"/>
        <w:ind w:left="11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People were also tested for radiation exposure to the plant to ensure they were fine as shown in Figure 5 (BBC News, 2021). However, Japan’s government had invested significantly in disaster preparedness and risk financing, including the issuance of catastrophe bonds. These measures helped to stabilize the country’s and expedite recovery efforts, preserving human capital.</w:t>
      </w:r>
    </w:p>
    <w:p w14:paraId="4F8AFCFE" w14:textId="77777777" w:rsidR="00D04ADE" w:rsidRPr="001F0D9C" w:rsidRDefault="00D04ADE" w:rsidP="001F0D9C">
      <w:pPr>
        <w:spacing w:line="276" w:lineRule="auto"/>
        <w:ind w:left="450" w:firstLine="720"/>
        <w:jc w:val="both"/>
        <w:rPr>
          <w:rFonts w:ascii="Times New Roman" w:eastAsia="Times New Roman" w:hAnsi="Times New Roman" w:cs="Times New Roman"/>
          <w:bCs/>
          <w:sz w:val="24"/>
          <w:szCs w:val="24"/>
        </w:rPr>
      </w:pPr>
    </w:p>
    <w:p w14:paraId="7846C929" w14:textId="221947C5" w:rsidR="00B95C29" w:rsidRPr="001F0D9C" w:rsidRDefault="00B95C29" w:rsidP="001F0D9C">
      <w:pPr>
        <w:spacing w:line="276" w:lineRule="auto"/>
        <w:ind w:left="450" w:firstLine="72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t>Ensuring Financial Resilience against Economic Crises</w:t>
      </w:r>
    </w:p>
    <w:p w14:paraId="26F681F8" w14:textId="015A0926" w:rsidR="00B95C29" w:rsidRPr="001F0D9C" w:rsidRDefault="00271C66"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Disaster preparedness encompasses financial resilience strategies that countries and institutions adopt to shield themselves from economic crises. Singapore’s robust treasury management and risk financing practices during the 2008 global financial crisis are illustrative.</w:t>
      </w:r>
      <w:r w:rsidR="00FD16F1" w:rsidRPr="001F0D9C">
        <w:rPr>
          <w:rFonts w:ascii="Times New Roman" w:eastAsia="Times New Roman" w:hAnsi="Times New Roman" w:cs="Times New Roman"/>
          <w:bCs/>
          <w:sz w:val="24"/>
          <w:szCs w:val="24"/>
        </w:rPr>
        <w:t xml:space="preserve"> The country’s Monetary Authority took proactive measures, such as liquidity support to banks and prudent risk management, ensuring financial stability and minimizing the crisis’s impact on the economy.</w:t>
      </w:r>
    </w:p>
    <w:p w14:paraId="6170B237" w14:textId="77777777" w:rsidR="00E91439" w:rsidRPr="001F0D9C" w:rsidRDefault="00E91439" w:rsidP="001F0D9C">
      <w:pPr>
        <w:spacing w:line="276" w:lineRule="auto"/>
        <w:ind w:left="450" w:firstLine="720"/>
        <w:jc w:val="both"/>
        <w:rPr>
          <w:rFonts w:ascii="Times New Roman" w:eastAsia="Times New Roman" w:hAnsi="Times New Roman" w:cs="Times New Roman"/>
          <w:bCs/>
          <w:sz w:val="24"/>
          <w:szCs w:val="24"/>
        </w:rPr>
      </w:pPr>
    </w:p>
    <w:p w14:paraId="3C316706" w14:textId="7547B45A" w:rsidR="00B95C29" w:rsidRPr="001F0D9C" w:rsidRDefault="00B95C29" w:rsidP="001F0D9C">
      <w:pPr>
        <w:spacing w:line="276" w:lineRule="auto"/>
        <w:ind w:left="450" w:firstLine="72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t>Economic Stability through Contingency Funds</w:t>
      </w:r>
    </w:p>
    <w:p w14:paraId="32B75144" w14:textId="35CD32F0" w:rsidR="00B95C29" w:rsidRPr="001F0D9C" w:rsidRDefault="009D0DA8"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Chapter 1 discussed the role of education and health in human capital development which is fundamental for economic growth. Prudent treasury management practices, such as maintaining fiscal discipline and establishing contingency funds, are essential </w:t>
      </w:r>
      <w:r w:rsidRPr="001F0D9C">
        <w:rPr>
          <w:rFonts w:ascii="Times New Roman" w:eastAsia="Times New Roman" w:hAnsi="Times New Roman" w:cs="Times New Roman"/>
          <w:bCs/>
          <w:sz w:val="24"/>
          <w:szCs w:val="24"/>
        </w:rPr>
        <w:lastRenderedPageBreak/>
        <w:t xml:space="preserve">for economic crises. These strategies ensure that resources continue to be available for healthcare, education, and workforce development even during economic downturns. </w:t>
      </w:r>
      <w:r w:rsidR="00A40285" w:rsidRPr="001F0D9C">
        <w:rPr>
          <w:rFonts w:ascii="Times New Roman" w:eastAsia="Times New Roman" w:hAnsi="Times New Roman" w:cs="Times New Roman"/>
          <w:bCs/>
          <w:sz w:val="24"/>
          <w:szCs w:val="24"/>
        </w:rPr>
        <w:t>Contingency funds, a part of disaster preparedness, act as financial cushions during crises, ensuring the continuity of essential services and economic stability.</w:t>
      </w:r>
      <w:r w:rsidR="009F3323" w:rsidRPr="001F0D9C">
        <w:rPr>
          <w:rFonts w:ascii="Times New Roman" w:eastAsia="Times New Roman" w:hAnsi="Times New Roman" w:cs="Times New Roman"/>
          <w:bCs/>
          <w:sz w:val="24"/>
          <w:szCs w:val="24"/>
        </w:rPr>
        <w:t xml:space="preserve"> The United Arab Emirates’ (UAE) establishment of the UAE Emergency Fund is an exemplary case. This fund, bolstered by treasury management practices, provides resources during economic or humanitarian crises.</w:t>
      </w:r>
      <w:r w:rsidR="00BD747E" w:rsidRPr="001F0D9C">
        <w:rPr>
          <w:rFonts w:ascii="Times New Roman" w:eastAsia="Times New Roman" w:hAnsi="Times New Roman" w:cs="Times New Roman"/>
          <w:bCs/>
          <w:sz w:val="24"/>
          <w:szCs w:val="24"/>
        </w:rPr>
        <w:t xml:space="preserve"> </w:t>
      </w:r>
      <w:r w:rsidR="00F2318C" w:rsidRPr="001F0D9C">
        <w:rPr>
          <w:rFonts w:ascii="Times New Roman" w:eastAsia="Times New Roman" w:hAnsi="Times New Roman" w:cs="Times New Roman"/>
          <w:bCs/>
          <w:sz w:val="24"/>
          <w:szCs w:val="24"/>
        </w:rPr>
        <w:t>G</w:t>
      </w:r>
      <w:r w:rsidR="00BD747E" w:rsidRPr="001F0D9C">
        <w:rPr>
          <w:rFonts w:ascii="Times New Roman" w:eastAsia="Times New Roman" w:hAnsi="Times New Roman" w:cs="Times New Roman"/>
          <w:bCs/>
          <w:sz w:val="24"/>
          <w:szCs w:val="24"/>
        </w:rPr>
        <w:t>lover (2023) wrote tha</w:t>
      </w:r>
      <w:r w:rsidR="00116934" w:rsidRPr="001F0D9C">
        <w:rPr>
          <w:rFonts w:ascii="Times New Roman" w:eastAsia="Times New Roman" w:hAnsi="Times New Roman" w:cs="Times New Roman"/>
          <w:bCs/>
          <w:sz w:val="24"/>
          <w:szCs w:val="24"/>
        </w:rPr>
        <w:t>t</w:t>
      </w:r>
      <w:r w:rsidR="00BD747E" w:rsidRPr="001F0D9C">
        <w:rPr>
          <w:rFonts w:ascii="Times New Roman" w:eastAsia="Times New Roman" w:hAnsi="Times New Roman" w:cs="Times New Roman"/>
          <w:bCs/>
          <w:sz w:val="24"/>
          <w:szCs w:val="24"/>
        </w:rPr>
        <w:t xml:space="preserve"> following the COVID-19 pandemic at least 8 in every 10 UAE savers have indicated that emergency funding is very important to survive economic hardships</w:t>
      </w:r>
      <w:r w:rsidR="00116934" w:rsidRPr="001F0D9C">
        <w:rPr>
          <w:rFonts w:ascii="Times New Roman" w:eastAsia="Times New Roman" w:hAnsi="Times New Roman" w:cs="Times New Roman"/>
          <w:bCs/>
          <w:sz w:val="24"/>
          <w:szCs w:val="24"/>
        </w:rPr>
        <w:t>. Having these savings resulted as a lesson they would have learnt</w:t>
      </w:r>
      <w:r w:rsidR="00F2318C" w:rsidRPr="001F0D9C">
        <w:rPr>
          <w:rFonts w:ascii="Times New Roman" w:eastAsia="Times New Roman" w:hAnsi="Times New Roman" w:cs="Times New Roman"/>
          <w:bCs/>
          <w:sz w:val="24"/>
          <w:szCs w:val="24"/>
        </w:rPr>
        <w:t xml:space="preserve"> based on the disruptions the pandemic caused in relation to the livelihood due to being ill as well as shutdowns. People struggled to survive the pandemic because they did not have sufficient funds to sustain them and their families.</w:t>
      </w:r>
      <w:r w:rsidR="009F3323" w:rsidRPr="001F0D9C">
        <w:rPr>
          <w:rFonts w:ascii="Times New Roman" w:eastAsia="Times New Roman" w:hAnsi="Times New Roman" w:cs="Times New Roman"/>
          <w:bCs/>
          <w:sz w:val="24"/>
          <w:szCs w:val="24"/>
        </w:rPr>
        <w:t xml:space="preserve"> The availability of such funds supports economic stability and human capital development efforts.</w:t>
      </w:r>
    </w:p>
    <w:p w14:paraId="7EACC467" w14:textId="77777777" w:rsidR="00315F40" w:rsidRPr="001F0D9C" w:rsidRDefault="00315F40" w:rsidP="001F0D9C">
      <w:pPr>
        <w:spacing w:line="276" w:lineRule="auto"/>
        <w:jc w:val="both"/>
        <w:rPr>
          <w:rFonts w:ascii="Times New Roman" w:eastAsia="Times New Roman" w:hAnsi="Times New Roman" w:cs="Times New Roman"/>
          <w:bCs/>
          <w:sz w:val="24"/>
          <w:szCs w:val="24"/>
        </w:rPr>
      </w:pPr>
    </w:p>
    <w:p w14:paraId="66C6BDB8" w14:textId="7113C1F2" w:rsidR="00FD06C8" w:rsidRPr="001F0D9C" w:rsidRDefault="00CC20AD" w:rsidP="001F0D9C">
      <w:pPr>
        <w:pStyle w:val="ListParagraph"/>
        <w:numPr>
          <w:ilvl w:val="1"/>
          <w:numId w:val="3"/>
        </w:numPr>
        <w:spacing w:line="276" w:lineRule="auto"/>
        <w:jc w:val="both"/>
        <w:rPr>
          <w:rFonts w:ascii="Times New Roman" w:eastAsia="Times New Roman" w:hAnsi="Times New Roman" w:cs="Times New Roman"/>
          <w:b/>
          <w:sz w:val="24"/>
          <w:szCs w:val="24"/>
          <w:u w:val="single"/>
        </w:rPr>
      </w:pPr>
      <w:r w:rsidRPr="001F0D9C">
        <w:rPr>
          <w:rFonts w:ascii="Times New Roman" w:eastAsia="Times New Roman" w:hAnsi="Times New Roman" w:cs="Times New Roman"/>
          <w:b/>
          <w:sz w:val="24"/>
          <w:szCs w:val="24"/>
          <w:u w:val="single"/>
        </w:rPr>
        <w:t>Efficient Capital Deployment</w:t>
      </w:r>
    </w:p>
    <w:p w14:paraId="23FDC79F" w14:textId="77777777" w:rsidR="005D3119" w:rsidRPr="001F0D9C" w:rsidRDefault="005D3119" w:rsidP="001F0D9C">
      <w:pPr>
        <w:pStyle w:val="ListParagraph"/>
        <w:spacing w:line="276" w:lineRule="auto"/>
        <w:ind w:left="408"/>
        <w:jc w:val="both"/>
        <w:rPr>
          <w:rFonts w:ascii="Times New Roman" w:eastAsia="Times New Roman" w:hAnsi="Times New Roman" w:cs="Times New Roman"/>
          <w:bCs/>
          <w:sz w:val="24"/>
          <w:szCs w:val="24"/>
        </w:rPr>
      </w:pPr>
    </w:p>
    <w:p w14:paraId="12535686" w14:textId="7E350AAC" w:rsidR="00E9723E" w:rsidRPr="001F0D9C" w:rsidRDefault="0060747E" w:rsidP="001F0D9C">
      <w:pPr>
        <w:spacing w:line="276" w:lineRule="auto"/>
        <w:ind w:left="1128" w:firstLine="312"/>
        <w:jc w:val="both"/>
        <w:rPr>
          <w:rFonts w:ascii="Times New Roman" w:eastAsia="Times New Roman" w:hAnsi="Times New Roman" w:cs="Times New Roman"/>
          <w:sz w:val="24"/>
          <w:szCs w:val="24"/>
        </w:rPr>
      </w:pPr>
      <w:r w:rsidRPr="001F0D9C">
        <w:rPr>
          <w:rFonts w:ascii="Times New Roman" w:eastAsia="Times New Roman" w:hAnsi="Times New Roman" w:cs="Times New Roman"/>
          <w:bCs/>
          <w:sz w:val="24"/>
          <w:szCs w:val="24"/>
        </w:rPr>
        <w:t>Efficient capital deployment</w:t>
      </w:r>
      <w:r w:rsidR="00613E9A" w:rsidRPr="001F0D9C">
        <w:rPr>
          <w:rFonts w:ascii="Times New Roman" w:eastAsia="Times New Roman" w:hAnsi="Times New Roman" w:cs="Times New Roman"/>
          <w:bCs/>
          <w:sz w:val="24"/>
          <w:szCs w:val="24"/>
        </w:rPr>
        <w:t xml:space="preserve"> within risk financing and treasury management</w:t>
      </w:r>
      <w:r w:rsidRPr="001F0D9C">
        <w:rPr>
          <w:rFonts w:ascii="Times New Roman" w:eastAsia="Times New Roman" w:hAnsi="Times New Roman" w:cs="Times New Roman"/>
          <w:bCs/>
          <w:sz w:val="24"/>
          <w:szCs w:val="24"/>
        </w:rPr>
        <w:t xml:space="preserve"> is a critical aspect of maintaining economic stability, as it ensures the optimal use of financial resources </w:t>
      </w:r>
      <w:r w:rsidR="00C97C00" w:rsidRPr="001F0D9C">
        <w:rPr>
          <w:rFonts w:ascii="Times New Roman" w:eastAsia="Times New Roman" w:hAnsi="Times New Roman" w:cs="Times New Roman"/>
          <w:bCs/>
          <w:sz w:val="24"/>
          <w:szCs w:val="24"/>
        </w:rPr>
        <w:t>to</w:t>
      </w:r>
      <w:r w:rsidRPr="001F0D9C">
        <w:rPr>
          <w:rFonts w:ascii="Times New Roman" w:eastAsia="Times New Roman" w:hAnsi="Times New Roman" w:cs="Times New Roman"/>
          <w:bCs/>
          <w:sz w:val="24"/>
          <w:szCs w:val="24"/>
        </w:rPr>
        <w:t xml:space="preserve"> support economic growth and resilience.</w:t>
      </w:r>
      <w:r w:rsidR="00165765" w:rsidRPr="001F0D9C">
        <w:rPr>
          <w:rFonts w:ascii="Times New Roman" w:eastAsia="Times New Roman" w:hAnsi="Times New Roman" w:cs="Times New Roman"/>
          <w:bCs/>
          <w:sz w:val="24"/>
          <w:szCs w:val="24"/>
        </w:rPr>
        <w:t xml:space="preserve"> Moreover, Chapter 1 underscores the importance of investments in human capital for long-term economic growth.</w:t>
      </w:r>
      <w:r w:rsidRPr="001F0D9C">
        <w:rPr>
          <w:rFonts w:ascii="Times New Roman" w:eastAsia="Times New Roman" w:hAnsi="Times New Roman" w:cs="Times New Roman"/>
          <w:bCs/>
          <w:sz w:val="24"/>
          <w:szCs w:val="24"/>
        </w:rPr>
        <w:t xml:space="preserve"> This section will provide an explanation of the need for efficient capital deployment and how it can be ensured</w:t>
      </w:r>
      <w:r w:rsidR="00504D6D" w:rsidRPr="001F0D9C">
        <w:rPr>
          <w:rFonts w:ascii="Times New Roman" w:eastAsia="Times New Roman" w:hAnsi="Times New Roman" w:cs="Times New Roman"/>
          <w:sz w:val="24"/>
          <w:szCs w:val="24"/>
        </w:rPr>
        <w:t>.</w:t>
      </w:r>
    </w:p>
    <w:p w14:paraId="70D8D48D" w14:textId="31061409" w:rsidR="00504D6D" w:rsidRPr="001F0D9C" w:rsidRDefault="00C97C00" w:rsidP="001F0D9C">
      <w:pPr>
        <w:spacing w:line="276" w:lineRule="auto"/>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ab/>
        <w:t xml:space="preserve">       </w:t>
      </w:r>
    </w:p>
    <w:p w14:paraId="3B65C0FB" w14:textId="77777777" w:rsidR="00BE00E8" w:rsidRPr="001F0D9C" w:rsidRDefault="00C97C00" w:rsidP="001F0D9C">
      <w:pPr>
        <w:spacing w:line="276" w:lineRule="auto"/>
        <w:jc w:val="both"/>
        <w:rPr>
          <w:rFonts w:ascii="Times New Roman" w:eastAsia="Times New Roman" w:hAnsi="Times New Roman" w:cs="Times New Roman"/>
          <w:b/>
          <w:bCs/>
          <w:i/>
          <w:iCs/>
          <w:sz w:val="24"/>
          <w:szCs w:val="24"/>
        </w:rPr>
      </w:pPr>
      <w:r w:rsidRPr="001F0D9C">
        <w:rPr>
          <w:rFonts w:ascii="Times New Roman" w:eastAsia="Times New Roman" w:hAnsi="Times New Roman" w:cs="Times New Roman"/>
          <w:sz w:val="24"/>
          <w:szCs w:val="24"/>
        </w:rPr>
        <w:tab/>
      </w:r>
      <w:r w:rsidRPr="001F0D9C">
        <w:rPr>
          <w:rFonts w:ascii="Times New Roman" w:eastAsia="Times New Roman" w:hAnsi="Times New Roman" w:cs="Times New Roman"/>
          <w:b/>
          <w:bCs/>
          <w:i/>
          <w:iCs/>
          <w:sz w:val="24"/>
          <w:szCs w:val="24"/>
        </w:rPr>
        <w:t xml:space="preserve">       Enhancing Economic Stability through Optimal Resource Allocation</w:t>
      </w:r>
    </w:p>
    <w:p w14:paraId="26644C77" w14:textId="0712D331" w:rsidR="00C97C00" w:rsidRPr="001F0D9C" w:rsidRDefault="00891CC5" w:rsidP="001F0D9C">
      <w:pPr>
        <w:spacing w:line="276" w:lineRule="auto"/>
        <w:ind w:left="1020" w:firstLine="420"/>
        <w:jc w:val="both"/>
        <w:rPr>
          <w:rFonts w:ascii="Times New Roman" w:eastAsia="Times New Roman" w:hAnsi="Times New Roman" w:cs="Times New Roman"/>
          <w:b/>
          <w:bCs/>
          <w:i/>
          <w:iCs/>
          <w:sz w:val="24"/>
          <w:szCs w:val="24"/>
        </w:rPr>
      </w:pPr>
      <w:r w:rsidRPr="001F0D9C">
        <w:rPr>
          <w:rFonts w:ascii="Times New Roman" w:eastAsia="Times New Roman" w:hAnsi="Times New Roman" w:cs="Times New Roman"/>
          <w:sz w:val="24"/>
          <w:szCs w:val="24"/>
        </w:rPr>
        <w:t xml:space="preserve">Efficient capital deployment involves the allocation of financial resources </w:t>
      </w:r>
      <w:r w:rsidR="000F68CC" w:rsidRPr="001F0D9C">
        <w:rPr>
          <w:rFonts w:ascii="Times New Roman" w:eastAsia="Times New Roman" w:hAnsi="Times New Roman" w:cs="Times New Roman"/>
          <w:sz w:val="24"/>
          <w:szCs w:val="24"/>
        </w:rPr>
        <w:t>wisely, whether</w:t>
      </w:r>
      <w:r w:rsidRPr="001F0D9C">
        <w:rPr>
          <w:rFonts w:ascii="Times New Roman" w:eastAsia="Times New Roman" w:hAnsi="Times New Roman" w:cs="Times New Roman"/>
          <w:sz w:val="24"/>
          <w:szCs w:val="24"/>
        </w:rPr>
        <w:t xml:space="preserve"> by </w:t>
      </w:r>
      <w:r w:rsidR="00BE00E8" w:rsidRPr="001F0D9C">
        <w:rPr>
          <w:rFonts w:ascii="Times New Roman" w:eastAsia="Times New Roman" w:hAnsi="Times New Roman" w:cs="Times New Roman"/>
          <w:sz w:val="24"/>
          <w:szCs w:val="24"/>
        </w:rPr>
        <w:t xml:space="preserve">individuals, businesses, or governments. </w:t>
      </w:r>
      <w:r w:rsidR="006024C4" w:rsidRPr="001F0D9C">
        <w:rPr>
          <w:rFonts w:ascii="Times New Roman" w:eastAsia="Times New Roman" w:hAnsi="Times New Roman" w:cs="Times New Roman"/>
          <w:sz w:val="24"/>
          <w:szCs w:val="24"/>
        </w:rPr>
        <w:t>It is essential for economic stability as it fosters innovation, prevents wastage of resources, ensures that investments in education, infrastructure, healthcare</w:t>
      </w:r>
      <w:r w:rsidR="003359BA" w:rsidRPr="001F0D9C">
        <w:rPr>
          <w:rFonts w:ascii="Times New Roman" w:eastAsia="Times New Roman" w:hAnsi="Times New Roman" w:cs="Times New Roman"/>
          <w:sz w:val="24"/>
          <w:szCs w:val="24"/>
        </w:rPr>
        <w:t>,</w:t>
      </w:r>
      <w:r w:rsidR="006024C4" w:rsidRPr="001F0D9C">
        <w:rPr>
          <w:rFonts w:ascii="Times New Roman" w:eastAsia="Times New Roman" w:hAnsi="Times New Roman" w:cs="Times New Roman"/>
          <w:sz w:val="24"/>
          <w:szCs w:val="24"/>
        </w:rPr>
        <w:t xml:space="preserve"> and other critical sectors   yield the maximum possible returns. Empirical evidence from the “Cash for </w:t>
      </w:r>
      <w:r w:rsidR="003359BA" w:rsidRPr="001F0D9C">
        <w:rPr>
          <w:rFonts w:ascii="Times New Roman" w:eastAsia="Times New Roman" w:hAnsi="Times New Roman" w:cs="Times New Roman"/>
          <w:sz w:val="24"/>
          <w:szCs w:val="24"/>
        </w:rPr>
        <w:t>Clunkers” programme</w:t>
      </w:r>
      <w:r w:rsidR="00FF7D06" w:rsidRPr="001F0D9C">
        <w:rPr>
          <w:rFonts w:ascii="Times New Roman" w:eastAsia="Times New Roman" w:hAnsi="Times New Roman" w:cs="Times New Roman"/>
          <w:sz w:val="24"/>
          <w:szCs w:val="24"/>
        </w:rPr>
        <w:t xml:space="preserve"> </w:t>
      </w:r>
      <w:r w:rsidR="006F1678">
        <w:rPr>
          <w:rFonts w:ascii="Times New Roman" w:eastAsia="Times New Roman" w:hAnsi="Times New Roman" w:cs="Times New Roman"/>
          <w:sz w:val="24"/>
          <w:szCs w:val="24"/>
        </w:rPr>
        <w:t>developed</w:t>
      </w:r>
      <w:r w:rsidR="0056552B">
        <w:rPr>
          <w:rFonts w:ascii="Times New Roman" w:eastAsia="Times New Roman" w:hAnsi="Times New Roman" w:cs="Times New Roman"/>
          <w:sz w:val="24"/>
          <w:szCs w:val="24"/>
        </w:rPr>
        <w:t xml:space="preserve"> in 2009</w:t>
      </w:r>
      <w:r w:rsidR="006F1678">
        <w:rPr>
          <w:rFonts w:ascii="Times New Roman" w:eastAsia="Times New Roman" w:hAnsi="Times New Roman" w:cs="Times New Roman"/>
          <w:sz w:val="24"/>
          <w:szCs w:val="24"/>
        </w:rPr>
        <w:t xml:space="preserve"> over </w:t>
      </w:r>
      <w:r w:rsidR="00FF7D06" w:rsidRPr="001F0D9C">
        <w:rPr>
          <w:rFonts w:ascii="Times New Roman" w:eastAsia="Times New Roman" w:hAnsi="Times New Roman" w:cs="Times New Roman"/>
          <w:sz w:val="24"/>
          <w:szCs w:val="24"/>
        </w:rPr>
        <w:t xml:space="preserve">the months of July and August by the federal government in </w:t>
      </w:r>
      <w:r w:rsidR="003359BA" w:rsidRPr="001F0D9C">
        <w:rPr>
          <w:rFonts w:ascii="Times New Roman" w:eastAsia="Times New Roman" w:hAnsi="Times New Roman" w:cs="Times New Roman"/>
          <w:sz w:val="24"/>
          <w:szCs w:val="24"/>
        </w:rPr>
        <w:t>the United States of America</w:t>
      </w:r>
      <w:r w:rsidR="00B46C29" w:rsidRPr="001F0D9C">
        <w:rPr>
          <w:rFonts w:ascii="Times New Roman" w:eastAsia="Times New Roman" w:hAnsi="Times New Roman" w:cs="Times New Roman"/>
          <w:sz w:val="24"/>
          <w:szCs w:val="24"/>
        </w:rPr>
        <w:t xml:space="preserve"> </w:t>
      </w:r>
      <w:r w:rsidR="00F26C92" w:rsidRPr="001F0D9C">
        <w:rPr>
          <w:rFonts w:ascii="Times New Roman" w:eastAsia="Times New Roman" w:hAnsi="Times New Roman" w:cs="Times New Roman"/>
          <w:sz w:val="24"/>
          <w:szCs w:val="24"/>
        </w:rPr>
        <w:t xml:space="preserve">administered </w:t>
      </w:r>
      <w:r w:rsidR="00B46C29" w:rsidRPr="001F0D9C">
        <w:rPr>
          <w:rFonts w:ascii="Times New Roman" w:eastAsia="Times New Roman" w:hAnsi="Times New Roman" w:cs="Times New Roman"/>
          <w:sz w:val="24"/>
          <w:szCs w:val="24"/>
        </w:rPr>
        <w:t>through the National Highway Traffic Safety Administration (NHTSA)</w:t>
      </w:r>
      <w:r w:rsidR="003359BA" w:rsidRPr="001F0D9C">
        <w:rPr>
          <w:rFonts w:ascii="Times New Roman" w:eastAsia="Times New Roman" w:hAnsi="Times New Roman" w:cs="Times New Roman"/>
          <w:sz w:val="24"/>
          <w:szCs w:val="24"/>
        </w:rPr>
        <w:t xml:space="preserve"> </w:t>
      </w:r>
      <w:r w:rsidR="00FF7D06" w:rsidRPr="001F0D9C">
        <w:rPr>
          <w:rFonts w:ascii="Times New Roman" w:eastAsia="Times New Roman" w:hAnsi="Times New Roman" w:cs="Times New Roman"/>
          <w:sz w:val="24"/>
          <w:szCs w:val="24"/>
        </w:rPr>
        <w:t>following</w:t>
      </w:r>
      <w:r w:rsidR="003359BA" w:rsidRPr="001F0D9C">
        <w:rPr>
          <w:rFonts w:ascii="Times New Roman" w:eastAsia="Times New Roman" w:hAnsi="Times New Roman" w:cs="Times New Roman"/>
          <w:sz w:val="24"/>
          <w:szCs w:val="24"/>
        </w:rPr>
        <w:t xml:space="preserve"> the 2008 financial crisis demonstrate the importance of efficient capital deployment</w:t>
      </w:r>
      <w:r w:rsidR="00F41EC4" w:rsidRPr="001F0D9C">
        <w:rPr>
          <w:rFonts w:ascii="Times New Roman" w:eastAsia="Times New Roman" w:hAnsi="Times New Roman" w:cs="Times New Roman"/>
          <w:sz w:val="24"/>
          <w:szCs w:val="24"/>
        </w:rPr>
        <w:t xml:space="preserve"> (GAO, 2010)</w:t>
      </w:r>
      <w:r w:rsidR="003359BA" w:rsidRPr="001F0D9C">
        <w:rPr>
          <w:rFonts w:ascii="Times New Roman" w:eastAsia="Times New Roman" w:hAnsi="Times New Roman" w:cs="Times New Roman"/>
          <w:sz w:val="24"/>
          <w:szCs w:val="24"/>
        </w:rPr>
        <w:t xml:space="preserve">. The programme offered </w:t>
      </w:r>
      <w:r w:rsidR="003359BA" w:rsidRPr="001F0D9C">
        <w:rPr>
          <w:rFonts w:ascii="Times New Roman" w:eastAsia="Times New Roman" w:hAnsi="Times New Roman" w:cs="Times New Roman"/>
          <w:sz w:val="24"/>
          <w:szCs w:val="24"/>
        </w:rPr>
        <w:lastRenderedPageBreak/>
        <w:t>incentives for trading in vehicles</w:t>
      </w:r>
      <w:r w:rsidR="001205C8" w:rsidRPr="001F0D9C">
        <w:rPr>
          <w:rFonts w:ascii="Times New Roman" w:eastAsia="Times New Roman" w:hAnsi="Times New Roman" w:cs="Times New Roman"/>
          <w:sz w:val="24"/>
          <w:szCs w:val="24"/>
        </w:rPr>
        <w:t>, as seen in Figure 6,</w:t>
      </w:r>
      <w:r w:rsidR="003359BA" w:rsidRPr="001F0D9C">
        <w:rPr>
          <w:rFonts w:ascii="Times New Roman" w:eastAsia="Times New Roman" w:hAnsi="Times New Roman" w:cs="Times New Roman"/>
          <w:sz w:val="24"/>
          <w:szCs w:val="24"/>
        </w:rPr>
        <w:t xml:space="preserve"> that are old and fuel-inefficient for new, more fuel-efficient ones. </w:t>
      </w:r>
      <w:r w:rsidR="00FF7D06" w:rsidRPr="001F0D9C">
        <w:rPr>
          <w:rFonts w:ascii="Times New Roman" w:eastAsia="Times New Roman" w:hAnsi="Times New Roman" w:cs="Times New Roman"/>
          <w:sz w:val="24"/>
          <w:szCs w:val="24"/>
        </w:rPr>
        <w:t xml:space="preserve">The customers were offered credit in the amount of </w:t>
      </w:r>
      <w:r w:rsidR="00D0279C" w:rsidRPr="001F0D9C">
        <w:rPr>
          <w:rFonts w:ascii="Times New Roman" w:eastAsia="Times New Roman" w:hAnsi="Times New Roman" w:cs="Times New Roman"/>
          <w:sz w:val="24"/>
          <w:szCs w:val="24"/>
        </w:rPr>
        <w:t>either US$3500 or US$4500</w:t>
      </w:r>
      <w:r w:rsidR="00B37DE6" w:rsidRPr="001F0D9C">
        <w:rPr>
          <w:rFonts w:ascii="Times New Roman" w:eastAsia="Times New Roman" w:hAnsi="Times New Roman" w:cs="Times New Roman"/>
          <w:sz w:val="24"/>
          <w:szCs w:val="24"/>
        </w:rPr>
        <w:t xml:space="preserve"> when they trade their </w:t>
      </w:r>
      <w:r w:rsidR="00796234" w:rsidRPr="001F0D9C">
        <w:rPr>
          <w:rFonts w:ascii="Times New Roman" w:eastAsia="Times New Roman" w:hAnsi="Times New Roman" w:cs="Times New Roman"/>
          <w:sz w:val="24"/>
          <w:szCs w:val="24"/>
        </w:rPr>
        <w:t>cars which</w:t>
      </w:r>
      <w:r w:rsidR="00200DD8" w:rsidRPr="001F0D9C">
        <w:rPr>
          <w:rFonts w:ascii="Times New Roman" w:eastAsia="Times New Roman" w:hAnsi="Times New Roman" w:cs="Times New Roman"/>
          <w:sz w:val="24"/>
          <w:szCs w:val="24"/>
        </w:rPr>
        <w:t xml:space="preserve"> helped them to either purchase or lease a new vehicle</w:t>
      </w:r>
      <w:r w:rsidR="001205C8" w:rsidRPr="001F0D9C">
        <w:rPr>
          <w:rFonts w:ascii="Times New Roman" w:eastAsia="Times New Roman" w:hAnsi="Times New Roman" w:cs="Times New Roman"/>
          <w:sz w:val="24"/>
          <w:szCs w:val="24"/>
        </w:rPr>
        <w:t xml:space="preserve"> as shown in Figure 6</w:t>
      </w:r>
      <w:r w:rsidR="00200DD8" w:rsidRPr="001F0D9C">
        <w:rPr>
          <w:rFonts w:ascii="Times New Roman" w:eastAsia="Times New Roman" w:hAnsi="Times New Roman" w:cs="Times New Roman"/>
          <w:sz w:val="24"/>
          <w:szCs w:val="24"/>
        </w:rPr>
        <w:t xml:space="preserve"> </w:t>
      </w:r>
      <w:r w:rsidR="00B37DE6" w:rsidRPr="001F0D9C">
        <w:rPr>
          <w:rFonts w:ascii="Times New Roman" w:eastAsia="Times New Roman" w:hAnsi="Times New Roman" w:cs="Times New Roman"/>
          <w:sz w:val="24"/>
          <w:szCs w:val="24"/>
        </w:rPr>
        <w:t>(GAO, 2010)</w:t>
      </w:r>
      <w:r w:rsidR="00FF7D06" w:rsidRPr="001F0D9C">
        <w:rPr>
          <w:rFonts w:ascii="Times New Roman" w:eastAsia="Times New Roman" w:hAnsi="Times New Roman" w:cs="Times New Roman"/>
          <w:sz w:val="24"/>
          <w:szCs w:val="24"/>
        </w:rPr>
        <w:t xml:space="preserve">. </w:t>
      </w:r>
      <w:r w:rsidR="00796234" w:rsidRPr="001F0D9C">
        <w:rPr>
          <w:rFonts w:ascii="Times New Roman" w:eastAsia="Times New Roman" w:hAnsi="Times New Roman" w:cs="Times New Roman"/>
          <w:sz w:val="24"/>
          <w:szCs w:val="24"/>
        </w:rPr>
        <w:t xml:space="preserve">At the same time, both car dealers and the automobile manufacturers benefitted from the programme due to the increased sales of vehicles (GAO, 2010). </w:t>
      </w:r>
      <w:r w:rsidR="003359BA" w:rsidRPr="001F0D9C">
        <w:rPr>
          <w:rFonts w:ascii="Times New Roman" w:eastAsia="Times New Roman" w:hAnsi="Times New Roman" w:cs="Times New Roman"/>
          <w:sz w:val="24"/>
          <w:szCs w:val="24"/>
        </w:rPr>
        <w:t>Research indicates that this efficient use of resources not only supported the automobile</w:t>
      </w:r>
      <w:r w:rsidR="00FF7D06" w:rsidRPr="001F0D9C">
        <w:rPr>
          <w:rFonts w:ascii="Times New Roman" w:eastAsia="Times New Roman" w:hAnsi="Times New Roman" w:cs="Times New Roman"/>
          <w:sz w:val="24"/>
          <w:szCs w:val="24"/>
        </w:rPr>
        <w:t xml:space="preserve"> industry but also contributed to economic stability by reducing emissions and fuel consumption.</w:t>
      </w:r>
    </w:p>
    <w:p w14:paraId="7EFBB50E" w14:textId="77777777" w:rsidR="00753819" w:rsidRPr="001F0D9C" w:rsidRDefault="00753819" w:rsidP="001F0D9C">
      <w:pPr>
        <w:spacing w:line="276" w:lineRule="auto"/>
        <w:ind w:left="1020"/>
        <w:jc w:val="both"/>
        <w:rPr>
          <w:rFonts w:ascii="Times New Roman" w:eastAsia="Times New Roman" w:hAnsi="Times New Roman" w:cs="Times New Roman"/>
          <w:sz w:val="24"/>
          <w:szCs w:val="24"/>
        </w:rPr>
      </w:pPr>
    </w:p>
    <w:p w14:paraId="410D74BC" w14:textId="404CB677" w:rsidR="00753819" w:rsidRPr="001F0D9C" w:rsidRDefault="00753819" w:rsidP="001F0D9C">
      <w:pPr>
        <w:spacing w:line="276" w:lineRule="auto"/>
        <w:ind w:left="1020"/>
        <w:jc w:val="both"/>
        <w:rPr>
          <w:rFonts w:ascii="Times New Roman" w:eastAsia="Times New Roman" w:hAnsi="Times New Roman" w:cs="Times New Roman"/>
          <w:sz w:val="24"/>
          <w:szCs w:val="24"/>
        </w:rPr>
      </w:pPr>
      <w:r w:rsidRPr="001F0D9C">
        <w:rPr>
          <w:rFonts w:ascii="Times New Roman" w:eastAsia="Times New Roman" w:hAnsi="Times New Roman" w:cs="Times New Roman"/>
          <w:noProof/>
          <w:sz w:val="24"/>
          <w:szCs w:val="24"/>
        </w:rPr>
        <w:drawing>
          <wp:inline distT="0" distB="0" distL="0" distR="0" wp14:anchorId="5A00C952" wp14:editId="5169AA1C">
            <wp:extent cx="5166359" cy="3215640"/>
            <wp:effectExtent l="0" t="0" r="0" b="3810"/>
            <wp:docPr id="981894745" name="Picture 1" descr="A chart of vehicles and credit amou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94745" name="Picture 1" descr="A chart of vehicles and credit amount&#10;&#10;Description automatically generated with medium confidence"/>
                    <pic:cNvPicPr/>
                  </pic:nvPicPr>
                  <pic:blipFill rotWithShape="1">
                    <a:blip r:embed="rId14"/>
                    <a:srcRect l="2726" t="4308"/>
                    <a:stretch/>
                  </pic:blipFill>
                  <pic:spPr bwMode="auto">
                    <a:xfrm>
                      <a:off x="0" y="0"/>
                      <a:ext cx="5166807" cy="3215919"/>
                    </a:xfrm>
                    <a:prstGeom prst="rect">
                      <a:avLst/>
                    </a:prstGeom>
                    <a:ln>
                      <a:noFill/>
                    </a:ln>
                    <a:extLst>
                      <a:ext uri="{53640926-AAD7-44D8-BBD7-CCE9431645EC}">
                        <a14:shadowObscured xmlns:a14="http://schemas.microsoft.com/office/drawing/2010/main"/>
                      </a:ext>
                    </a:extLst>
                  </pic:spPr>
                </pic:pic>
              </a:graphicData>
            </a:graphic>
          </wp:inline>
        </w:drawing>
      </w:r>
    </w:p>
    <w:p w14:paraId="3E3204AD" w14:textId="7679A2DA" w:rsidR="00753819" w:rsidRPr="001F0D9C" w:rsidRDefault="00753819" w:rsidP="001F0D9C">
      <w:pPr>
        <w:pStyle w:val="Caption"/>
        <w:spacing w:line="276" w:lineRule="auto"/>
        <w:ind w:left="300" w:firstLine="720"/>
        <w:jc w:val="both"/>
        <w:rPr>
          <w:rFonts w:ascii="Times New Roman" w:hAnsi="Times New Roman" w:cs="Times New Roman"/>
          <w:b/>
          <w:bCs/>
          <w:i w:val="0"/>
          <w:iCs w:val="0"/>
          <w:color w:val="auto"/>
        </w:rPr>
      </w:pPr>
      <w:bookmarkStart w:id="7" w:name="_Toc146481298"/>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00044724" w:rsidRPr="001F0D9C">
        <w:rPr>
          <w:rFonts w:ascii="Times New Roman" w:hAnsi="Times New Roman" w:cs="Times New Roman"/>
          <w:b/>
          <w:bCs/>
          <w:i w:val="0"/>
          <w:iCs w:val="0"/>
          <w:noProof/>
          <w:color w:val="auto"/>
        </w:rPr>
        <w:t>6</w:t>
      </w:r>
      <w:bookmarkEnd w:id="7"/>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7155A2E3" w14:textId="6E9563F8" w:rsidR="00753819" w:rsidRPr="001F0D9C" w:rsidRDefault="00753819" w:rsidP="001F0D9C">
      <w:pPr>
        <w:pStyle w:val="Caption"/>
        <w:spacing w:line="276" w:lineRule="auto"/>
        <w:ind w:left="1020"/>
        <w:jc w:val="both"/>
        <w:rPr>
          <w:rFonts w:ascii="Times New Roman" w:eastAsia="Times New Roman" w:hAnsi="Times New Roman" w:cs="Times New Roman"/>
          <w:color w:val="auto"/>
          <w:sz w:val="24"/>
          <w:szCs w:val="24"/>
        </w:rPr>
      </w:pPr>
      <w:r w:rsidRPr="001F0D9C">
        <w:rPr>
          <w:rFonts w:ascii="Times New Roman" w:hAnsi="Times New Roman" w:cs="Times New Roman"/>
          <w:color w:val="auto"/>
        </w:rPr>
        <w:t>Eligibility Criteria to Participate in the 2009 Cash for Clunkers Programme and Monetary Benefits Derived (GAO, 2010)</w:t>
      </w:r>
    </w:p>
    <w:p w14:paraId="29B15AC8" w14:textId="77777777" w:rsidR="00B353F7" w:rsidRPr="001F0D9C" w:rsidRDefault="00B353F7" w:rsidP="001F0D9C">
      <w:pPr>
        <w:spacing w:line="276" w:lineRule="auto"/>
        <w:jc w:val="both"/>
        <w:rPr>
          <w:rFonts w:ascii="Times New Roman" w:eastAsia="Times New Roman" w:hAnsi="Times New Roman" w:cs="Times New Roman"/>
          <w:sz w:val="24"/>
          <w:szCs w:val="24"/>
        </w:rPr>
      </w:pPr>
    </w:p>
    <w:p w14:paraId="053B3446" w14:textId="06B01221" w:rsidR="00C97C00" w:rsidRPr="001F0D9C" w:rsidRDefault="00C97C00" w:rsidP="001F0D9C">
      <w:pPr>
        <w:spacing w:line="276" w:lineRule="auto"/>
        <w:jc w:val="both"/>
        <w:rPr>
          <w:rFonts w:ascii="Times New Roman" w:eastAsia="Times New Roman" w:hAnsi="Times New Roman" w:cs="Times New Roman"/>
          <w:b/>
          <w:bCs/>
          <w:i/>
          <w:iCs/>
          <w:sz w:val="24"/>
          <w:szCs w:val="24"/>
        </w:rPr>
      </w:pPr>
      <w:r w:rsidRPr="001F0D9C">
        <w:rPr>
          <w:rFonts w:ascii="Times New Roman" w:eastAsia="Times New Roman" w:hAnsi="Times New Roman" w:cs="Times New Roman"/>
          <w:b/>
          <w:bCs/>
          <w:i/>
          <w:iCs/>
          <w:sz w:val="24"/>
          <w:szCs w:val="24"/>
        </w:rPr>
        <w:t xml:space="preserve">                  Fostering Human Capital </w:t>
      </w:r>
      <w:r w:rsidR="00690F23" w:rsidRPr="001F0D9C">
        <w:rPr>
          <w:rFonts w:ascii="Times New Roman" w:eastAsia="Times New Roman" w:hAnsi="Times New Roman" w:cs="Times New Roman"/>
          <w:b/>
          <w:bCs/>
          <w:i/>
          <w:iCs/>
          <w:sz w:val="24"/>
          <w:szCs w:val="24"/>
        </w:rPr>
        <w:t>Development for Economic Resilience</w:t>
      </w:r>
    </w:p>
    <w:p w14:paraId="38EFCC87" w14:textId="18D63E41" w:rsidR="00690F23" w:rsidRPr="001F0D9C" w:rsidRDefault="00C16482" w:rsidP="001F0D9C">
      <w:pPr>
        <w:spacing w:line="276" w:lineRule="auto"/>
        <w:ind w:left="1080" w:firstLine="36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Efficiently directing financial resources toward human capital development, including   healthcare and education, is essential for economic stability.</w:t>
      </w:r>
      <w:r w:rsidR="00794E0C" w:rsidRPr="001F0D9C">
        <w:rPr>
          <w:rFonts w:ascii="Times New Roman" w:eastAsia="Times New Roman" w:hAnsi="Times New Roman" w:cs="Times New Roman"/>
          <w:sz w:val="24"/>
          <w:szCs w:val="24"/>
        </w:rPr>
        <w:t xml:space="preserve"> It ensures that individuals are equipped with the necessary skills and health to contribute productively to the workforce and adapt to changing economic conditions. Singapore’s strategic </w:t>
      </w:r>
      <w:r w:rsidR="00794E0C" w:rsidRPr="001F0D9C">
        <w:rPr>
          <w:rFonts w:ascii="Times New Roman" w:eastAsia="Times New Roman" w:hAnsi="Times New Roman" w:cs="Times New Roman"/>
          <w:sz w:val="24"/>
          <w:szCs w:val="24"/>
        </w:rPr>
        <w:lastRenderedPageBreak/>
        <w:t xml:space="preserve">investments in its education system serve as a compelling real-life example as previously mentioned and discussed in Chapter 1. The city-state has consistently allocated a significant portion of its budget to education, emphasizing quality and relevance. </w:t>
      </w:r>
      <w:r w:rsidR="00052419" w:rsidRPr="001F0D9C">
        <w:rPr>
          <w:rFonts w:ascii="Times New Roman" w:eastAsia="Times New Roman" w:hAnsi="Times New Roman" w:cs="Times New Roman"/>
          <w:sz w:val="24"/>
          <w:szCs w:val="24"/>
        </w:rPr>
        <w:t>For example, t</w:t>
      </w:r>
      <w:r w:rsidR="00687AA0" w:rsidRPr="001F0D9C">
        <w:rPr>
          <w:rFonts w:ascii="Times New Roman" w:eastAsia="Times New Roman" w:hAnsi="Times New Roman" w:cs="Times New Roman"/>
          <w:sz w:val="24"/>
          <w:szCs w:val="24"/>
        </w:rPr>
        <w:t>he International Trade Administration (2023)</w:t>
      </w:r>
      <w:r w:rsidR="00794E0C" w:rsidRPr="001F0D9C">
        <w:rPr>
          <w:rFonts w:ascii="Times New Roman" w:eastAsia="Times New Roman" w:hAnsi="Times New Roman" w:cs="Times New Roman"/>
          <w:sz w:val="24"/>
          <w:szCs w:val="24"/>
        </w:rPr>
        <w:t xml:space="preserve"> shared that </w:t>
      </w:r>
      <w:r w:rsidR="00EA26B2" w:rsidRPr="001F0D9C">
        <w:rPr>
          <w:rFonts w:ascii="Times New Roman" w:eastAsia="Times New Roman" w:hAnsi="Times New Roman" w:cs="Times New Roman"/>
          <w:sz w:val="24"/>
          <w:szCs w:val="24"/>
        </w:rPr>
        <w:t xml:space="preserve">for 2023 Singapore government allocated for budgeted expenditure $10.89 billion for the Ministry of education to provide training and manpower development, and education. The Ministry of education considered $5.53 billion of it for educators’ salaries, students’ subsidies including students needing special education; while the rest of the funds </w:t>
      </w:r>
      <w:r w:rsidR="00687AA0" w:rsidRPr="001F0D9C">
        <w:rPr>
          <w:rFonts w:ascii="Times New Roman" w:eastAsia="Times New Roman" w:hAnsi="Times New Roman" w:cs="Times New Roman"/>
          <w:sz w:val="24"/>
          <w:szCs w:val="24"/>
        </w:rPr>
        <w:t>providing training of citizens in manpower development, provide technical and industry-relevant training as well as to support research at the universities based on the country’s economic plans (International Trade Administration, 2023)</w:t>
      </w:r>
      <w:r w:rsidR="00EA26B2" w:rsidRPr="001F0D9C">
        <w:rPr>
          <w:rFonts w:ascii="Times New Roman" w:eastAsia="Times New Roman" w:hAnsi="Times New Roman" w:cs="Times New Roman"/>
          <w:sz w:val="24"/>
          <w:szCs w:val="24"/>
        </w:rPr>
        <w:t>.</w:t>
      </w:r>
      <w:r w:rsidR="00AF0741" w:rsidRPr="001F0D9C">
        <w:rPr>
          <w:rFonts w:ascii="Times New Roman" w:eastAsia="Times New Roman" w:hAnsi="Times New Roman" w:cs="Times New Roman"/>
          <w:sz w:val="24"/>
          <w:szCs w:val="24"/>
        </w:rPr>
        <w:t xml:space="preserve"> This efficient capital deployment over the years </w:t>
      </w:r>
      <w:r w:rsidR="00D667A7" w:rsidRPr="001F0D9C">
        <w:rPr>
          <w:rFonts w:ascii="Times New Roman" w:eastAsia="Times New Roman" w:hAnsi="Times New Roman" w:cs="Times New Roman"/>
          <w:sz w:val="24"/>
          <w:szCs w:val="24"/>
        </w:rPr>
        <w:t>has resulted in a highly skilled workforce, which has contributed to Singapore’s economic resilience and stability, even in times of global uncertainty.</w:t>
      </w:r>
    </w:p>
    <w:p w14:paraId="500134DA" w14:textId="7E5913FE" w:rsidR="0060552A" w:rsidRPr="001F0D9C" w:rsidRDefault="0060552A" w:rsidP="001F0D9C">
      <w:pPr>
        <w:spacing w:line="276" w:lineRule="auto"/>
        <w:ind w:left="1080" w:firstLine="36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 xml:space="preserve">Effective capital deployment also includes strategies such as establishing contingency funds and prudent risk management. During the </w:t>
      </w:r>
      <w:r w:rsidR="005C3522" w:rsidRPr="001F0D9C">
        <w:rPr>
          <w:rFonts w:ascii="Times New Roman" w:eastAsia="Times New Roman" w:hAnsi="Times New Roman" w:cs="Times New Roman"/>
          <w:sz w:val="24"/>
          <w:szCs w:val="24"/>
        </w:rPr>
        <w:t xml:space="preserve">2008 </w:t>
      </w:r>
      <w:r w:rsidRPr="001F0D9C">
        <w:rPr>
          <w:rFonts w:ascii="Times New Roman" w:eastAsia="Times New Roman" w:hAnsi="Times New Roman" w:cs="Times New Roman"/>
          <w:sz w:val="24"/>
          <w:szCs w:val="24"/>
        </w:rPr>
        <w:t>global financial crisis</w:t>
      </w:r>
      <w:r w:rsidR="005C3522" w:rsidRPr="001F0D9C">
        <w:rPr>
          <w:rFonts w:ascii="Times New Roman" w:eastAsia="Times New Roman" w:hAnsi="Times New Roman" w:cs="Times New Roman"/>
          <w:sz w:val="24"/>
          <w:szCs w:val="24"/>
        </w:rPr>
        <w:t xml:space="preserve"> [caused by external factors to the country]</w:t>
      </w:r>
      <w:r w:rsidRPr="001F0D9C">
        <w:rPr>
          <w:rFonts w:ascii="Times New Roman" w:eastAsia="Times New Roman" w:hAnsi="Times New Roman" w:cs="Times New Roman"/>
          <w:sz w:val="24"/>
          <w:szCs w:val="24"/>
        </w:rPr>
        <w:t xml:space="preserve">, Sweden’s National </w:t>
      </w:r>
      <w:r w:rsidR="00B005E9" w:rsidRPr="001F0D9C">
        <w:rPr>
          <w:rFonts w:ascii="Times New Roman" w:eastAsia="Times New Roman" w:hAnsi="Times New Roman" w:cs="Times New Roman"/>
          <w:sz w:val="24"/>
          <w:szCs w:val="24"/>
        </w:rPr>
        <w:t>Debt office employed efficient treasury management practices, including issuing government bonds to ensure financial resilience [preventing a catastrophic financial meltdown] (Becker et al, 2016).</w:t>
      </w:r>
      <w:r w:rsidR="005C3522" w:rsidRPr="001F0D9C">
        <w:rPr>
          <w:rFonts w:ascii="Times New Roman" w:eastAsia="Times New Roman" w:hAnsi="Times New Roman" w:cs="Times New Roman"/>
          <w:sz w:val="24"/>
          <w:szCs w:val="24"/>
        </w:rPr>
        <w:t xml:space="preserve"> This </w:t>
      </w:r>
      <w:r w:rsidR="003E5AF8" w:rsidRPr="001F0D9C">
        <w:rPr>
          <w:rFonts w:ascii="Times New Roman" w:eastAsia="Times New Roman" w:hAnsi="Times New Roman" w:cs="Times New Roman"/>
          <w:sz w:val="24"/>
          <w:szCs w:val="24"/>
        </w:rPr>
        <w:t xml:space="preserve">emergency </w:t>
      </w:r>
      <w:r w:rsidR="005C3522" w:rsidRPr="001F0D9C">
        <w:rPr>
          <w:rFonts w:ascii="Times New Roman" w:eastAsia="Times New Roman" w:hAnsi="Times New Roman" w:cs="Times New Roman"/>
          <w:sz w:val="24"/>
          <w:szCs w:val="24"/>
        </w:rPr>
        <w:t xml:space="preserve">action followed the collapse of the Lehman Brothers, where the financial authorities of Sweden adjusted </w:t>
      </w:r>
      <w:r w:rsidR="000037A6" w:rsidRPr="001F0D9C">
        <w:rPr>
          <w:rFonts w:ascii="Times New Roman" w:eastAsia="Times New Roman" w:hAnsi="Times New Roman" w:cs="Times New Roman"/>
          <w:sz w:val="24"/>
          <w:szCs w:val="24"/>
        </w:rPr>
        <w:t xml:space="preserve">the country’s traditional monetary policy </w:t>
      </w:r>
      <w:r w:rsidR="005C33C1" w:rsidRPr="001F0D9C">
        <w:rPr>
          <w:rFonts w:ascii="Times New Roman" w:eastAsia="Times New Roman" w:hAnsi="Times New Roman" w:cs="Times New Roman"/>
          <w:sz w:val="24"/>
          <w:szCs w:val="24"/>
        </w:rPr>
        <w:t>to ensure that financial institutions could cope and avoid insolvency</w:t>
      </w:r>
      <w:r w:rsidR="003E5AF8" w:rsidRPr="001F0D9C">
        <w:rPr>
          <w:rFonts w:ascii="Times New Roman" w:eastAsia="Times New Roman" w:hAnsi="Times New Roman" w:cs="Times New Roman"/>
          <w:sz w:val="24"/>
          <w:szCs w:val="24"/>
        </w:rPr>
        <w:t xml:space="preserve"> and ensure enough liquidity in the financial landscape</w:t>
      </w:r>
      <w:r w:rsidR="005C33C1" w:rsidRPr="001F0D9C">
        <w:rPr>
          <w:rFonts w:ascii="Times New Roman" w:eastAsia="Times New Roman" w:hAnsi="Times New Roman" w:cs="Times New Roman"/>
          <w:sz w:val="24"/>
          <w:szCs w:val="24"/>
        </w:rPr>
        <w:t xml:space="preserve"> </w:t>
      </w:r>
      <w:r w:rsidR="000037A6" w:rsidRPr="001F0D9C">
        <w:rPr>
          <w:rFonts w:ascii="Times New Roman" w:eastAsia="Times New Roman" w:hAnsi="Times New Roman" w:cs="Times New Roman"/>
          <w:sz w:val="24"/>
          <w:szCs w:val="24"/>
        </w:rPr>
        <w:t>(Becker et al, 2016).</w:t>
      </w:r>
      <w:r w:rsidR="00D03105" w:rsidRPr="001F0D9C">
        <w:rPr>
          <w:rFonts w:ascii="Times New Roman" w:eastAsia="Times New Roman" w:hAnsi="Times New Roman" w:cs="Times New Roman"/>
          <w:sz w:val="24"/>
          <w:szCs w:val="24"/>
        </w:rPr>
        <w:t xml:space="preserve"> Becker et al (2016) explained that during 2008 and 2009 the adjusted monetary policy forced the reduction of the Riksbank’s repo rate from 4.25% to 0.25%</w:t>
      </w:r>
      <w:r w:rsidR="008130BD" w:rsidRPr="001F0D9C">
        <w:rPr>
          <w:rFonts w:ascii="Times New Roman" w:eastAsia="Times New Roman" w:hAnsi="Times New Roman" w:cs="Times New Roman"/>
          <w:sz w:val="24"/>
          <w:szCs w:val="24"/>
        </w:rPr>
        <w:t xml:space="preserve"> at a slow pace</w:t>
      </w:r>
      <w:r w:rsidR="00D03105" w:rsidRPr="001F0D9C">
        <w:rPr>
          <w:rFonts w:ascii="Times New Roman" w:eastAsia="Times New Roman" w:hAnsi="Times New Roman" w:cs="Times New Roman"/>
          <w:sz w:val="24"/>
          <w:szCs w:val="24"/>
        </w:rPr>
        <w:t>.</w:t>
      </w:r>
      <w:r w:rsidR="008130BD" w:rsidRPr="001F0D9C">
        <w:rPr>
          <w:rFonts w:ascii="Times New Roman" w:eastAsia="Times New Roman" w:hAnsi="Times New Roman" w:cs="Times New Roman"/>
          <w:sz w:val="24"/>
          <w:szCs w:val="24"/>
        </w:rPr>
        <w:t xml:space="preserve"> The main aim was to minimize both credit and term risks found to be associated with making direct purchases of [comparable-maturity] securities from banks (Becker et al, 2016).</w:t>
      </w:r>
      <w:r w:rsidR="00CD169C" w:rsidRPr="001F0D9C">
        <w:rPr>
          <w:rFonts w:ascii="Times New Roman" w:eastAsia="Times New Roman" w:hAnsi="Times New Roman" w:cs="Times New Roman"/>
          <w:sz w:val="24"/>
          <w:szCs w:val="24"/>
        </w:rPr>
        <w:t xml:space="preserve"> Consequently, </w:t>
      </w:r>
      <w:r w:rsidR="00326E5A" w:rsidRPr="001F0D9C">
        <w:rPr>
          <w:rFonts w:ascii="Times New Roman" w:eastAsia="Times New Roman" w:hAnsi="Times New Roman" w:cs="Times New Roman"/>
          <w:sz w:val="24"/>
          <w:szCs w:val="24"/>
        </w:rPr>
        <w:t>financial</w:t>
      </w:r>
      <w:r w:rsidR="00CD169C" w:rsidRPr="001F0D9C">
        <w:rPr>
          <w:rFonts w:ascii="Times New Roman" w:eastAsia="Times New Roman" w:hAnsi="Times New Roman" w:cs="Times New Roman"/>
          <w:sz w:val="24"/>
          <w:szCs w:val="24"/>
        </w:rPr>
        <w:t xml:space="preserve"> resilience bolstered economic stability by preserving public services, including education and healthcare, which are vital components of human capital development.</w:t>
      </w:r>
    </w:p>
    <w:p w14:paraId="2463E6A4" w14:textId="77777777" w:rsidR="00B353F7" w:rsidRPr="001F0D9C" w:rsidRDefault="00B353F7" w:rsidP="001F0D9C">
      <w:pPr>
        <w:spacing w:line="276" w:lineRule="auto"/>
        <w:jc w:val="both"/>
        <w:rPr>
          <w:rFonts w:ascii="Times New Roman" w:eastAsia="Times New Roman" w:hAnsi="Times New Roman" w:cs="Times New Roman"/>
          <w:sz w:val="24"/>
          <w:szCs w:val="24"/>
        </w:rPr>
      </w:pPr>
    </w:p>
    <w:p w14:paraId="4DEF03BA" w14:textId="2DEB1F46" w:rsidR="00690F23" w:rsidRPr="001F0D9C" w:rsidRDefault="00690F23" w:rsidP="001F0D9C">
      <w:pPr>
        <w:spacing w:line="276" w:lineRule="auto"/>
        <w:jc w:val="both"/>
        <w:rPr>
          <w:rFonts w:ascii="Times New Roman" w:eastAsia="Times New Roman" w:hAnsi="Times New Roman" w:cs="Times New Roman"/>
          <w:b/>
          <w:bCs/>
          <w:i/>
          <w:iCs/>
          <w:sz w:val="24"/>
          <w:szCs w:val="24"/>
        </w:rPr>
      </w:pPr>
      <w:r w:rsidRPr="001F0D9C">
        <w:rPr>
          <w:rFonts w:ascii="Times New Roman" w:eastAsia="Times New Roman" w:hAnsi="Times New Roman" w:cs="Times New Roman"/>
          <w:sz w:val="24"/>
          <w:szCs w:val="24"/>
        </w:rPr>
        <w:tab/>
        <w:t xml:space="preserve">     </w:t>
      </w:r>
      <w:r w:rsidR="00EE2F3F" w:rsidRPr="001F0D9C">
        <w:rPr>
          <w:rFonts w:ascii="Times New Roman" w:eastAsia="Times New Roman" w:hAnsi="Times New Roman" w:cs="Times New Roman"/>
          <w:sz w:val="24"/>
          <w:szCs w:val="24"/>
        </w:rPr>
        <w:t xml:space="preserve"> </w:t>
      </w:r>
      <w:r w:rsidRPr="001F0D9C">
        <w:rPr>
          <w:rFonts w:ascii="Times New Roman" w:eastAsia="Times New Roman" w:hAnsi="Times New Roman" w:cs="Times New Roman"/>
          <w:b/>
          <w:bCs/>
          <w:i/>
          <w:iCs/>
          <w:sz w:val="24"/>
          <w:szCs w:val="24"/>
        </w:rPr>
        <w:t>Supporting Entrepreneurship and Innovation</w:t>
      </w:r>
    </w:p>
    <w:p w14:paraId="7636FAF2" w14:textId="5D70AE8B" w:rsidR="00690F23" w:rsidRPr="001F0D9C" w:rsidRDefault="008346FC" w:rsidP="001F0D9C">
      <w:pPr>
        <w:spacing w:line="276" w:lineRule="auto"/>
        <w:ind w:left="1050" w:firstLine="12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Efficiently deployed capital is vital for supporting</w:t>
      </w:r>
      <w:r w:rsidR="005E1CAB" w:rsidRPr="001F0D9C">
        <w:rPr>
          <w:rFonts w:ascii="Times New Roman" w:eastAsia="Times New Roman" w:hAnsi="Times New Roman" w:cs="Times New Roman"/>
          <w:sz w:val="24"/>
          <w:szCs w:val="24"/>
        </w:rPr>
        <w:t xml:space="preserve"> entrepreneurship and </w:t>
      </w:r>
      <w:r w:rsidR="00C72D6E" w:rsidRPr="001F0D9C">
        <w:rPr>
          <w:rFonts w:ascii="Times New Roman" w:eastAsia="Times New Roman" w:hAnsi="Times New Roman" w:cs="Times New Roman"/>
          <w:sz w:val="24"/>
          <w:szCs w:val="24"/>
        </w:rPr>
        <w:t>innovation, which</w:t>
      </w:r>
      <w:r w:rsidR="005E1CAB" w:rsidRPr="001F0D9C">
        <w:rPr>
          <w:rFonts w:ascii="Times New Roman" w:eastAsia="Times New Roman" w:hAnsi="Times New Roman" w:cs="Times New Roman"/>
          <w:sz w:val="24"/>
          <w:szCs w:val="24"/>
        </w:rPr>
        <w:t xml:space="preserve"> are key drivers of economic growth and stability. Ensuring that financial resources are accessible to innovative individuals and businesses promotes economic </w:t>
      </w:r>
      <w:r w:rsidR="005E1CAB" w:rsidRPr="001F0D9C">
        <w:rPr>
          <w:rFonts w:ascii="Times New Roman" w:eastAsia="Times New Roman" w:hAnsi="Times New Roman" w:cs="Times New Roman"/>
          <w:sz w:val="24"/>
          <w:szCs w:val="24"/>
        </w:rPr>
        <w:lastRenderedPageBreak/>
        <w:t>dynamism and adaptability.</w:t>
      </w:r>
      <w:r w:rsidR="00C72D6E" w:rsidRPr="001F0D9C">
        <w:rPr>
          <w:rFonts w:ascii="Times New Roman" w:eastAsia="Times New Roman" w:hAnsi="Times New Roman" w:cs="Times New Roman"/>
          <w:sz w:val="24"/>
          <w:szCs w:val="24"/>
        </w:rPr>
        <w:t xml:space="preserve"> Germany’s “Mittlestand” or mid-sized </w:t>
      </w:r>
      <w:r w:rsidR="00E124F7" w:rsidRPr="001F0D9C">
        <w:rPr>
          <w:rFonts w:ascii="Times New Roman" w:eastAsia="Times New Roman" w:hAnsi="Times New Roman" w:cs="Times New Roman"/>
          <w:sz w:val="24"/>
          <w:szCs w:val="24"/>
        </w:rPr>
        <w:t xml:space="preserve">[small and medium-sized] </w:t>
      </w:r>
      <w:r w:rsidR="00C72D6E" w:rsidRPr="001F0D9C">
        <w:rPr>
          <w:rFonts w:ascii="Times New Roman" w:eastAsia="Times New Roman" w:hAnsi="Times New Roman" w:cs="Times New Roman"/>
          <w:sz w:val="24"/>
          <w:szCs w:val="24"/>
        </w:rPr>
        <w:t>companies</w:t>
      </w:r>
      <w:r w:rsidR="00E124F7" w:rsidRPr="001F0D9C">
        <w:rPr>
          <w:rFonts w:ascii="Times New Roman" w:eastAsia="Times New Roman" w:hAnsi="Times New Roman" w:cs="Times New Roman"/>
          <w:sz w:val="24"/>
          <w:szCs w:val="24"/>
        </w:rPr>
        <w:t xml:space="preserve"> (SMEs)</w:t>
      </w:r>
      <w:r w:rsidR="00C72D6E" w:rsidRPr="001F0D9C">
        <w:rPr>
          <w:rFonts w:ascii="Times New Roman" w:eastAsia="Times New Roman" w:hAnsi="Times New Roman" w:cs="Times New Roman"/>
          <w:sz w:val="24"/>
          <w:szCs w:val="24"/>
        </w:rPr>
        <w:t xml:space="preserve"> serve as an example.</w:t>
      </w:r>
      <w:r w:rsidR="00E124F7" w:rsidRPr="001F0D9C">
        <w:rPr>
          <w:rFonts w:ascii="Times New Roman" w:eastAsia="Times New Roman" w:hAnsi="Times New Roman" w:cs="Times New Roman"/>
          <w:sz w:val="24"/>
          <w:szCs w:val="24"/>
        </w:rPr>
        <w:t xml:space="preserve"> This group of businesses accounts for at least 99% of all businesses in Germany that </w:t>
      </w:r>
      <w:r w:rsidR="00127350" w:rsidRPr="001F0D9C">
        <w:rPr>
          <w:rFonts w:ascii="Times New Roman" w:eastAsia="Times New Roman" w:hAnsi="Times New Roman" w:cs="Times New Roman"/>
          <w:sz w:val="24"/>
          <w:szCs w:val="24"/>
        </w:rPr>
        <w:t>provides approximately</w:t>
      </w:r>
      <w:r w:rsidR="0007525E" w:rsidRPr="001F0D9C">
        <w:rPr>
          <w:rFonts w:ascii="Times New Roman" w:eastAsia="Times New Roman" w:hAnsi="Times New Roman" w:cs="Times New Roman"/>
          <w:sz w:val="24"/>
          <w:szCs w:val="24"/>
        </w:rPr>
        <w:t xml:space="preserve"> 60% of the jobs in the country and </w:t>
      </w:r>
      <w:r w:rsidR="00E124F7" w:rsidRPr="001F0D9C">
        <w:rPr>
          <w:rFonts w:ascii="Times New Roman" w:eastAsia="Times New Roman" w:hAnsi="Times New Roman" w:cs="Times New Roman"/>
          <w:sz w:val="24"/>
          <w:szCs w:val="24"/>
        </w:rPr>
        <w:t>more than 50% of the country’s economic output</w:t>
      </w:r>
      <w:r w:rsidR="00791D49" w:rsidRPr="001F0D9C">
        <w:rPr>
          <w:rFonts w:ascii="Times New Roman" w:eastAsia="Times New Roman" w:hAnsi="Times New Roman" w:cs="Times New Roman"/>
          <w:sz w:val="24"/>
          <w:szCs w:val="24"/>
        </w:rPr>
        <w:t xml:space="preserve"> (BMWK</w:t>
      </w:r>
      <w:r w:rsidR="00127350" w:rsidRPr="001F0D9C">
        <w:rPr>
          <w:rFonts w:ascii="Times New Roman" w:eastAsia="Times New Roman" w:hAnsi="Times New Roman" w:cs="Times New Roman"/>
          <w:sz w:val="24"/>
          <w:szCs w:val="24"/>
        </w:rPr>
        <w:t xml:space="preserve"> – Federal Ministry for Economics Affairs and Climate Action, 2020)</w:t>
      </w:r>
      <w:r w:rsidR="0007525E" w:rsidRPr="001F0D9C">
        <w:rPr>
          <w:rFonts w:ascii="Times New Roman" w:eastAsia="Times New Roman" w:hAnsi="Times New Roman" w:cs="Times New Roman"/>
          <w:sz w:val="24"/>
          <w:szCs w:val="24"/>
        </w:rPr>
        <w:t>.</w:t>
      </w:r>
      <w:r w:rsidR="00C72D6E" w:rsidRPr="001F0D9C">
        <w:rPr>
          <w:rFonts w:ascii="Times New Roman" w:eastAsia="Times New Roman" w:hAnsi="Times New Roman" w:cs="Times New Roman"/>
          <w:sz w:val="24"/>
          <w:szCs w:val="24"/>
        </w:rPr>
        <w:t xml:space="preserve"> These firms have benefited from efficient capital deployment through access to well-structured financing </w:t>
      </w:r>
      <w:r w:rsidR="00A86132" w:rsidRPr="001F0D9C">
        <w:rPr>
          <w:rFonts w:ascii="Times New Roman" w:eastAsia="Times New Roman" w:hAnsi="Times New Roman" w:cs="Times New Roman"/>
          <w:sz w:val="24"/>
          <w:szCs w:val="24"/>
        </w:rPr>
        <w:t>mechanisms</w:t>
      </w:r>
      <w:r w:rsidR="00C72D6E" w:rsidRPr="001F0D9C">
        <w:rPr>
          <w:rFonts w:ascii="Times New Roman" w:eastAsia="Times New Roman" w:hAnsi="Times New Roman" w:cs="Times New Roman"/>
          <w:sz w:val="24"/>
          <w:szCs w:val="24"/>
        </w:rPr>
        <w:t>. This has allowed them to innovate and maintain economic stability</w:t>
      </w:r>
      <w:r w:rsidR="00A86132" w:rsidRPr="001F0D9C">
        <w:rPr>
          <w:rFonts w:ascii="Times New Roman" w:eastAsia="Times New Roman" w:hAnsi="Times New Roman" w:cs="Times New Roman"/>
          <w:sz w:val="24"/>
          <w:szCs w:val="24"/>
        </w:rPr>
        <w:t>, even in challenging economic environments.</w:t>
      </w:r>
    </w:p>
    <w:p w14:paraId="16422000" w14:textId="4A3DF2C3" w:rsidR="00874C3A" w:rsidRPr="001F0D9C" w:rsidRDefault="00874C3A" w:rsidP="001F0D9C">
      <w:pPr>
        <w:spacing w:line="276" w:lineRule="auto"/>
        <w:ind w:left="1050" w:firstLine="12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 xml:space="preserve">Furthermore, </w:t>
      </w:r>
      <w:r w:rsidR="00613E9A" w:rsidRPr="001F0D9C">
        <w:rPr>
          <w:rFonts w:ascii="Times New Roman" w:eastAsia="Times New Roman" w:hAnsi="Times New Roman" w:cs="Times New Roman"/>
          <w:sz w:val="24"/>
          <w:szCs w:val="24"/>
        </w:rPr>
        <w:t xml:space="preserve">Chapter 1 highlighted the impact of investments in education and healthcare on human capital </w:t>
      </w:r>
      <w:r w:rsidR="00062EF9" w:rsidRPr="001F0D9C">
        <w:rPr>
          <w:rFonts w:ascii="Times New Roman" w:eastAsia="Times New Roman" w:hAnsi="Times New Roman" w:cs="Times New Roman"/>
          <w:sz w:val="24"/>
          <w:szCs w:val="24"/>
        </w:rPr>
        <w:t>development,</w:t>
      </w:r>
      <w:r w:rsidR="00613E9A" w:rsidRPr="001F0D9C">
        <w:rPr>
          <w:rFonts w:ascii="Times New Roman" w:eastAsia="Times New Roman" w:hAnsi="Times New Roman" w:cs="Times New Roman"/>
          <w:sz w:val="24"/>
          <w:szCs w:val="24"/>
        </w:rPr>
        <w:t xml:space="preserve"> which reflects that innovations in treasury management can enhance the effectiveness of human capital investments. In the Netherlands, the introduction or “studie</w:t>
      </w:r>
      <w:r w:rsidR="00B35812" w:rsidRPr="001F0D9C">
        <w:rPr>
          <w:rFonts w:ascii="Times New Roman" w:eastAsia="Times New Roman" w:hAnsi="Times New Roman" w:cs="Times New Roman"/>
          <w:sz w:val="24"/>
          <w:szCs w:val="24"/>
        </w:rPr>
        <w:t xml:space="preserve">voorschot”, or student loans [an administrative system setup to assist with payments of higher education], </w:t>
      </w:r>
      <w:r w:rsidR="001B51F5" w:rsidRPr="001F0D9C">
        <w:rPr>
          <w:rFonts w:ascii="Times New Roman" w:eastAsia="Times New Roman" w:hAnsi="Times New Roman" w:cs="Times New Roman"/>
          <w:sz w:val="24"/>
          <w:szCs w:val="24"/>
        </w:rPr>
        <w:t>which has enabled efficient capital deployment for higher education. These loans are structured to provide financial support to students while ensuring responsible fiscal management (Netherlands Ministry of Education, Culture and Science, 2015).</w:t>
      </w:r>
      <w:r w:rsidR="00F210CB" w:rsidRPr="001F0D9C">
        <w:rPr>
          <w:rFonts w:ascii="Times New Roman" w:eastAsia="Times New Roman" w:hAnsi="Times New Roman" w:cs="Times New Roman"/>
          <w:sz w:val="24"/>
          <w:szCs w:val="24"/>
        </w:rPr>
        <w:t xml:space="preserve"> This approach safeguards human capital development, contributing to long-term economic stability.</w:t>
      </w:r>
    </w:p>
    <w:p w14:paraId="303837C8" w14:textId="77777777" w:rsidR="00C97C00" w:rsidRPr="001F0D9C" w:rsidRDefault="00C97C00" w:rsidP="001F0D9C">
      <w:pPr>
        <w:spacing w:line="276" w:lineRule="auto"/>
        <w:jc w:val="both"/>
        <w:rPr>
          <w:rFonts w:ascii="Times New Roman" w:eastAsia="Times New Roman" w:hAnsi="Times New Roman" w:cs="Times New Roman"/>
          <w:sz w:val="24"/>
          <w:szCs w:val="24"/>
        </w:rPr>
      </w:pPr>
    </w:p>
    <w:p w14:paraId="012C002C" w14:textId="7E52DDEA" w:rsidR="00FD06C8" w:rsidRPr="001F0D9C" w:rsidRDefault="00CC20AD" w:rsidP="001F0D9C">
      <w:pPr>
        <w:pStyle w:val="Heading2"/>
        <w:numPr>
          <w:ilvl w:val="1"/>
          <w:numId w:val="3"/>
        </w:numPr>
        <w:spacing w:line="276" w:lineRule="auto"/>
        <w:jc w:val="both"/>
        <w:rPr>
          <w:rFonts w:ascii="Times New Roman" w:eastAsia="Times New Roman" w:hAnsi="Times New Roman" w:cs="Times New Roman"/>
          <w:b/>
          <w:bCs/>
          <w:color w:val="auto"/>
          <w:u w:val="single"/>
        </w:rPr>
      </w:pPr>
      <w:bookmarkStart w:id="8" w:name="_Toc146481276"/>
      <w:r w:rsidRPr="001F0D9C">
        <w:rPr>
          <w:rFonts w:ascii="Times New Roman" w:eastAsia="Times New Roman" w:hAnsi="Times New Roman" w:cs="Times New Roman"/>
          <w:b/>
          <w:bCs/>
          <w:color w:val="auto"/>
          <w:u w:val="single"/>
        </w:rPr>
        <w:t>Sovereign Wealth Funds (SWFs)</w:t>
      </w:r>
      <w:bookmarkEnd w:id="8"/>
    </w:p>
    <w:p w14:paraId="0DFE9898" w14:textId="77777777" w:rsidR="00B60692" w:rsidRPr="001F0D9C" w:rsidRDefault="00B60692" w:rsidP="001F0D9C">
      <w:pPr>
        <w:spacing w:line="276" w:lineRule="auto"/>
        <w:ind w:left="1170"/>
        <w:jc w:val="both"/>
        <w:rPr>
          <w:rFonts w:ascii="Times New Roman" w:eastAsia="Times New Roman" w:hAnsi="Times New Roman" w:cs="Times New Roman"/>
          <w:sz w:val="24"/>
          <w:szCs w:val="24"/>
        </w:rPr>
      </w:pPr>
    </w:p>
    <w:p w14:paraId="068F504A" w14:textId="5F76169D" w:rsidR="00DB196A" w:rsidRPr="001F0D9C" w:rsidRDefault="00655E49" w:rsidP="001F0D9C">
      <w:pPr>
        <w:spacing w:line="276" w:lineRule="auto"/>
        <w:ind w:left="117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The establishment of Sovereign Wealth Funds (SWFs) is imperative to maintain economic stability, as they provide a financial cushion against economic volatility and enable nations to prudently manage their resources</w:t>
      </w:r>
      <w:r w:rsidR="003F3593" w:rsidRPr="001F0D9C">
        <w:rPr>
          <w:rFonts w:ascii="Times New Roman" w:eastAsia="Times New Roman" w:hAnsi="Times New Roman" w:cs="Times New Roman"/>
          <w:sz w:val="24"/>
          <w:szCs w:val="24"/>
        </w:rPr>
        <w:t>.</w:t>
      </w:r>
      <w:r w:rsidRPr="001F0D9C">
        <w:rPr>
          <w:rFonts w:ascii="Times New Roman" w:eastAsia="Times New Roman" w:hAnsi="Times New Roman" w:cs="Times New Roman"/>
          <w:sz w:val="24"/>
          <w:szCs w:val="24"/>
        </w:rPr>
        <w:t xml:space="preserve"> This section explains the need for SWFs and how they can be ensured to support economic stability using real-life examples and empirical evidence.</w:t>
      </w:r>
    </w:p>
    <w:p w14:paraId="136BEEC1" w14:textId="77777777" w:rsidR="009E04DC" w:rsidRPr="001F0D9C" w:rsidRDefault="009E04DC" w:rsidP="001F0D9C">
      <w:pPr>
        <w:spacing w:line="276" w:lineRule="auto"/>
        <w:ind w:left="1170"/>
        <w:jc w:val="both"/>
        <w:rPr>
          <w:rFonts w:ascii="Times New Roman" w:eastAsia="Times New Roman" w:hAnsi="Times New Roman" w:cs="Times New Roman"/>
          <w:sz w:val="24"/>
          <w:szCs w:val="24"/>
        </w:rPr>
      </w:pPr>
    </w:p>
    <w:p w14:paraId="25D78479" w14:textId="691D769A" w:rsidR="009E04DC" w:rsidRPr="001F0D9C" w:rsidRDefault="00B85E16" w:rsidP="001F0D9C">
      <w:pPr>
        <w:spacing w:line="276" w:lineRule="auto"/>
        <w:ind w:left="1170"/>
        <w:jc w:val="both"/>
        <w:rPr>
          <w:rFonts w:ascii="Times New Roman" w:eastAsia="Times New Roman" w:hAnsi="Times New Roman" w:cs="Times New Roman"/>
          <w:b/>
          <w:bCs/>
          <w:i/>
          <w:iCs/>
          <w:sz w:val="24"/>
          <w:szCs w:val="24"/>
        </w:rPr>
      </w:pPr>
      <w:r w:rsidRPr="001F0D9C">
        <w:rPr>
          <w:rFonts w:ascii="Times New Roman" w:eastAsia="Times New Roman" w:hAnsi="Times New Roman" w:cs="Times New Roman"/>
          <w:b/>
          <w:bCs/>
          <w:i/>
          <w:iCs/>
          <w:sz w:val="24"/>
          <w:szCs w:val="24"/>
        </w:rPr>
        <w:t>M</w:t>
      </w:r>
      <w:r w:rsidR="009E04DC" w:rsidRPr="001F0D9C">
        <w:rPr>
          <w:rFonts w:ascii="Times New Roman" w:eastAsia="Times New Roman" w:hAnsi="Times New Roman" w:cs="Times New Roman"/>
          <w:b/>
          <w:bCs/>
          <w:i/>
          <w:iCs/>
          <w:sz w:val="24"/>
          <w:szCs w:val="24"/>
        </w:rPr>
        <w:t>itigating Economic Volatility through SWFs</w:t>
      </w:r>
    </w:p>
    <w:p w14:paraId="1D38632E" w14:textId="64220BE2" w:rsidR="009E04DC" w:rsidRPr="001F0D9C" w:rsidRDefault="00AE5F17" w:rsidP="001F0D9C">
      <w:pPr>
        <w:spacing w:line="276" w:lineRule="auto"/>
        <w:ind w:left="1170" w:firstLine="27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 xml:space="preserve">Sovereign Wealth Funds (SWFs) are created to manage and invest in a country’s reserves, often generated from foreign exchange earnings or commodities. They serve </w:t>
      </w:r>
      <w:r w:rsidR="00A02ECD" w:rsidRPr="001F0D9C">
        <w:rPr>
          <w:rFonts w:ascii="Times New Roman" w:eastAsia="Times New Roman" w:hAnsi="Times New Roman" w:cs="Times New Roman"/>
          <w:sz w:val="24"/>
          <w:szCs w:val="24"/>
        </w:rPr>
        <w:t>to</w:t>
      </w:r>
      <w:r w:rsidRPr="001F0D9C">
        <w:rPr>
          <w:rFonts w:ascii="Times New Roman" w:eastAsia="Times New Roman" w:hAnsi="Times New Roman" w:cs="Times New Roman"/>
          <w:sz w:val="24"/>
          <w:szCs w:val="24"/>
        </w:rPr>
        <w:t xml:space="preserve"> stabilize a nation’s economy during periods of economic uncertainty, external shocks, or commodity price fluctuations.</w:t>
      </w:r>
      <w:r w:rsidR="00CE3A01" w:rsidRPr="001F0D9C">
        <w:rPr>
          <w:rFonts w:ascii="Times New Roman" w:eastAsia="Times New Roman" w:hAnsi="Times New Roman" w:cs="Times New Roman"/>
          <w:sz w:val="24"/>
          <w:szCs w:val="24"/>
        </w:rPr>
        <w:t xml:space="preserve"> </w:t>
      </w:r>
      <w:r w:rsidR="00A0525A" w:rsidRPr="001F0D9C">
        <w:rPr>
          <w:rFonts w:ascii="Times New Roman" w:eastAsia="Times New Roman" w:hAnsi="Times New Roman" w:cs="Times New Roman"/>
          <w:sz w:val="24"/>
          <w:szCs w:val="24"/>
        </w:rPr>
        <w:t>The Norwegian Government Pension Fund Global (GPFG)</w:t>
      </w:r>
      <w:r w:rsidR="00EE7061" w:rsidRPr="001F0D9C">
        <w:rPr>
          <w:rFonts w:ascii="Times New Roman" w:eastAsia="Times New Roman" w:hAnsi="Times New Roman" w:cs="Times New Roman"/>
          <w:sz w:val="24"/>
          <w:szCs w:val="24"/>
        </w:rPr>
        <w:t xml:space="preserve"> established in 1990</w:t>
      </w:r>
      <w:r w:rsidR="00A0525A" w:rsidRPr="001F0D9C">
        <w:rPr>
          <w:rFonts w:ascii="Times New Roman" w:eastAsia="Times New Roman" w:hAnsi="Times New Roman" w:cs="Times New Roman"/>
          <w:sz w:val="24"/>
          <w:szCs w:val="24"/>
        </w:rPr>
        <w:t>, funded by revenues from the petroleum sector, is a prime example.</w:t>
      </w:r>
      <w:r w:rsidR="00EE7061" w:rsidRPr="001F0D9C">
        <w:rPr>
          <w:rFonts w:ascii="Times New Roman" w:eastAsia="Times New Roman" w:hAnsi="Times New Roman" w:cs="Times New Roman"/>
          <w:sz w:val="24"/>
          <w:szCs w:val="24"/>
        </w:rPr>
        <w:t xml:space="preserve"> This </w:t>
      </w:r>
      <w:r w:rsidR="00625850">
        <w:rPr>
          <w:rFonts w:ascii="Times New Roman" w:eastAsia="Times New Roman" w:hAnsi="Times New Roman" w:cs="Times New Roman"/>
          <w:sz w:val="24"/>
          <w:szCs w:val="24"/>
        </w:rPr>
        <w:t>happen</w:t>
      </w:r>
      <w:r w:rsidR="00EE7061" w:rsidRPr="001F0D9C">
        <w:rPr>
          <w:rFonts w:ascii="Times New Roman" w:eastAsia="Times New Roman" w:hAnsi="Times New Roman" w:cs="Times New Roman"/>
          <w:sz w:val="24"/>
          <w:szCs w:val="24"/>
        </w:rPr>
        <w:t xml:space="preserve">s </w:t>
      </w:r>
      <w:r w:rsidR="00A02ECD" w:rsidRPr="001F0D9C">
        <w:rPr>
          <w:rFonts w:ascii="Times New Roman" w:eastAsia="Times New Roman" w:hAnsi="Times New Roman" w:cs="Times New Roman"/>
          <w:sz w:val="24"/>
          <w:szCs w:val="24"/>
        </w:rPr>
        <w:t>because</w:t>
      </w:r>
      <w:r w:rsidR="00EE7061" w:rsidRPr="001F0D9C">
        <w:rPr>
          <w:rFonts w:ascii="Times New Roman" w:eastAsia="Times New Roman" w:hAnsi="Times New Roman" w:cs="Times New Roman"/>
          <w:sz w:val="24"/>
          <w:szCs w:val="24"/>
        </w:rPr>
        <w:t xml:space="preserve"> oil production being a finite source of revenue as well as can cause volatility (Centre for Public Impact A BCG Foundation, 2019). </w:t>
      </w:r>
      <w:r w:rsidR="00EE7061" w:rsidRPr="001F0D9C">
        <w:rPr>
          <w:rFonts w:ascii="Times New Roman" w:eastAsia="Times New Roman" w:hAnsi="Times New Roman" w:cs="Times New Roman"/>
          <w:sz w:val="24"/>
          <w:szCs w:val="24"/>
        </w:rPr>
        <w:lastRenderedPageBreak/>
        <w:t xml:space="preserve">The GPFG has </w:t>
      </w:r>
      <w:r w:rsidR="00215DAA" w:rsidRPr="001F0D9C">
        <w:rPr>
          <w:rFonts w:ascii="Times New Roman" w:eastAsia="Times New Roman" w:hAnsi="Times New Roman" w:cs="Times New Roman"/>
          <w:sz w:val="24"/>
          <w:szCs w:val="24"/>
        </w:rPr>
        <w:t>facilitated</w:t>
      </w:r>
      <w:r w:rsidR="00EE7061" w:rsidRPr="001F0D9C">
        <w:rPr>
          <w:rFonts w:ascii="Times New Roman" w:eastAsia="Times New Roman" w:hAnsi="Times New Roman" w:cs="Times New Roman"/>
          <w:sz w:val="24"/>
          <w:szCs w:val="24"/>
        </w:rPr>
        <w:t xml:space="preserve"> the management of oil assets</w:t>
      </w:r>
      <w:r w:rsidR="00BE54F3" w:rsidRPr="001F0D9C">
        <w:rPr>
          <w:rFonts w:ascii="Times New Roman" w:eastAsia="Times New Roman" w:hAnsi="Times New Roman" w:cs="Times New Roman"/>
          <w:sz w:val="24"/>
          <w:szCs w:val="24"/>
        </w:rPr>
        <w:t xml:space="preserve"> </w:t>
      </w:r>
      <w:r w:rsidR="00EE7061" w:rsidRPr="001F0D9C">
        <w:rPr>
          <w:rFonts w:ascii="Times New Roman" w:eastAsia="Times New Roman" w:hAnsi="Times New Roman" w:cs="Times New Roman"/>
          <w:sz w:val="24"/>
          <w:szCs w:val="24"/>
        </w:rPr>
        <w:t xml:space="preserve">and </w:t>
      </w:r>
      <w:r w:rsidR="00BE54F3" w:rsidRPr="001F0D9C">
        <w:rPr>
          <w:rFonts w:ascii="Times New Roman" w:eastAsia="Times New Roman" w:hAnsi="Times New Roman" w:cs="Times New Roman"/>
          <w:sz w:val="24"/>
          <w:szCs w:val="24"/>
        </w:rPr>
        <w:t xml:space="preserve">oil </w:t>
      </w:r>
      <w:r w:rsidR="00EE7061" w:rsidRPr="001F0D9C">
        <w:rPr>
          <w:rFonts w:ascii="Times New Roman" w:eastAsia="Times New Roman" w:hAnsi="Times New Roman" w:cs="Times New Roman"/>
          <w:sz w:val="24"/>
          <w:szCs w:val="24"/>
        </w:rPr>
        <w:t>revenues</w:t>
      </w:r>
      <w:r w:rsidR="00BE54F3" w:rsidRPr="001F0D9C">
        <w:rPr>
          <w:rFonts w:ascii="Times New Roman" w:eastAsia="Times New Roman" w:hAnsi="Times New Roman" w:cs="Times New Roman"/>
          <w:sz w:val="24"/>
          <w:szCs w:val="24"/>
        </w:rPr>
        <w:t xml:space="preserve"> </w:t>
      </w:r>
      <w:r w:rsidR="00215DAA" w:rsidRPr="001F0D9C">
        <w:rPr>
          <w:rFonts w:ascii="Times New Roman" w:eastAsia="Times New Roman" w:hAnsi="Times New Roman" w:cs="Times New Roman"/>
          <w:sz w:val="24"/>
          <w:szCs w:val="24"/>
        </w:rPr>
        <w:t>and</w:t>
      </w:r>
      <w:r w:rsidR="00EE7061" w:rsidRPr="001F0D9C">
        <w:rPr>
          <w:rFonts w:ascii="Times New Roman" w:eastAsia="Times New Roman" w:hAnsi="Times New Roman" w:cs="Times New Roman"/>
          <w:sz w:val="24"/>
          <w:szCs w:val="24"/>
        </w:rPr>
        <w:t xml:space="preserve"> ensure that the country is able to save money </w:t>
      </w:r>
      <w:r w:rsidR="00111FA2" w:rsidRPr="001F0D9C">
        <w:rPr>
          <w:rFonts w:ascii="Times New Roman" w:eastAsia="Times New Roman" w:hAnsi="Times New Roman" w:cs="Times New Roman"/>
          <w:sz w:val="24"/>
          <w:szCs w:val="24"/>
        </w:rPr>
        <w:t>and</w:t>
      </w:r>
      <w:r w:rsidR="00977E51" w:rsidRPr="001F0D9C">
        <w:rPr>
          <w:rFonts w:ascii="Times New Roman" w:eastAsia="Times New Roman" w:hAnsi="Times New Roman" w:cs="Times New Roman"/>
          <w:sz w:val="24"/>
          <w:szCs w:val="24"/>
        </w:rPr>
        <w:t xml:space="preserve"> create wealth for future purposes (Centre for Public Impact A BCG Foundation, 2019)</w:t>
      </w:r>
      <w:r w:rsidR="00EE7061" w:rsidRPr="001F0D9C">
        <w:rPr>
          <w:rFonts w:ascii="Times New Roman" w:eastAsia="Times New Roman" w:hAnsi="Times New Roman" w:cs="Times New Roman"/>
          <w:sz w:val="24"/>
          <w:szCs w:val="24"/>
        </w:rPr>
        <w:t xml:space="preserve">. </w:t>
      </w:r>
      <w:r w:rsidR="00A0525A" w:rsidRPr="001F0D9C">
        <w:rPr>
          <w:rFonts w:ascii="Times New Roman" w:eastAsia="Times New Roman" w:hAnsi="Times New Roman" w:cs="Times New Roman"/>
          <w:sz w:val="24"/>
          <w:szCs w:val="24"/>
        </w:rPr>
        <w:t>The fund’s prudent management and diversification have not only preserved Norway’s wealth but also contributed to economic stability. During the global financial crisis of 2008, the GPFG continues to generate returns, protecting Norway’s economy from severe shocks.</w:t>
      </w:r>
      <w:r w:rsidR="00215DAA" w:rsidRPr="001F0D9C">
        <w:rPr>
          <w:rFonts w:ascii="Times New Roman" w:eastAsia="Times New Roman" w:hAnsi="Times New Roman" w:cs="Times New Roman"/>
          <w:sz w:val="24"/>
          <w:szCs w:val="24"/>
        </w:rPr>
        <w:t xml:space="preserve"> In emphasizing the importance of investments in human capital, healthcare, and education for long-ter</w:t>
      </w:r>
      <w:r w:rsidR="000705F1" w:rsidRPr="001F0D9C">
        <w:rPr>
          <w:rFonts w:ascii="Times New Roman" w:eastAsia="Times New Roman" w:hAnsi="Times New Roman" w:cs="Times New Roman"/>
          <w:sz w:val="24"/>
          <w:szCs w:val="24"/>
        </w:rPr>
        <w:t xml:space="preserve">m economic growth and stability based on Chapter 1, </w:t>
      </w:r>
      <w:r w:rsidR="002A758D" w:rsidRPr="001F0D9C">
        <w:rPr>
          <w:rFonts w:ascii="Times New Roman" w:eastAsia="Times New Roman" w:hAnsi="Times New Roman" w:cs="Times New Roman"/>
          <w:sz w:val="24"/>
          <w:szCs w:val="24"/>
        </w:rPr>
        <w:t xml:space="preserve">this </w:t>
      </w:r>
      <w:r w:rsidR="000705F1" w:rsidRPr="001F0D9C">
        <w:rPr>
          <w:rFonts w:ascii="Times New Roman" w:eastAsia="Times New Roman" w:hAnsi="Times New Roman" w:cs="Times New Roman"/>
          <w:sz w:val="24"/>
          <w:szCs w:val="24"/>
        </w:rPr>
        <w:t xml:space="preserve">SWF </w:t>
      </w:r>
      <w:r w:rsidR="00B23167" w:rsidRPr="001F0D9C">
        <w:rPr>
          <w:rFonts w:ascii="Times New Roman" w:eastAsia="Times New Roman" w:hAnsi="Times New Roman" w:cs="Times New Roman"/>
          <w:sz w:val="24"/>
          <w:szCs w:val="24"/>
        </w:rPr>
        <w:t>becomes</w:t>
      </w:r>
      <w:r w:rsidR="000705F1" w:rsidRPr="001F0D9C">
        <w:rPr>
          <w:rFonts w:ascii="Times New Roman" w:eastAsia="Times New Roman" w:hAnsi="Times New Roman" w:cs="Times New Roman"/>
          <w:sz w:val="24"/>
          <w:szCs w:val="24"/>
        </w:rPr>
        <w:t xml:space="preserve"> vital. SWFs, through their robust risk financing mechanisms, safeguard a nation’s wealth, ensuring that resources are available for essential services, including healthcare and education, even during economic </w:t>
      </w:r>
      <w:r w:rsidR="00B23167" w:rsidRPr="001F0D9C">
        <w:rPr>
          <w:rFonts w:ascii="Times New Roman" w:eastAsia="Times New Roman" w:hAnsi="Times New Roman" w:cs="Times New Roman"/>
          <w:sz w:val="24"/>
          <w:szCs w:val="24"/>
        </w:rPr>
        <w:t>crises.</w:t>
      </w:r>
      <w:r w:rsidR="000705F1" w:rsidRPr="001F0D9C">
        <w:rPr>
          <w:rFonts w:ascii="Times New Roman" w:eastAsia="Times New Roman" w:hAnsi="Times New Roman" w:cs="Times New Roman"/>
          <w:sz w:val="24"/>
          <w:szCs w:val="24"/>
        </w:rPr>
        <w:t xml:space="preserve"> </w:t>
      </w:r>
    </w:p>
    <w:p w14:paraId="01B978F0" w14:textId="77777777" w:rsidR="00B85E16" w:rsidRPr="001F0D9C" w:rsidRDefault="00B85E16" w:rsidP="001F0D9C">
      <w:pPr>
        <w:spacing w:line="276" w:lineRule="auto"/>
        <w:ind w:left="1170"/>
        <w:jc w:val="both"/>
        <w:rPr>
          <w:rFonts w:ascii="Times New Roman" w:eastAsia="Times New Roman" w:hAnsi="Times New Roman" w:cs="Times New Roman"/>
          <w:sz w:val="24"/>
          <w:szCs w:val="24"/>
        </w:rPr>
      </w:pPr>
    </w:p>
    <w:p w14:paraId="24B5E9DB" w14:textId="35D6E511" w:rsidR="00B85E16" w:rsidRPr="001F0D9C" w:rsidRDefault="00B85E16" w:rsidP="001F0D9C">
      <w:pPr>
        <w:spacing w:line="276" w:lineRule="auto"/>
        <w:ind w:left="1170"/>
        <w:jc w:val="both"/>
        <w:rPr>
          <w:rFonts w:ascii="Times New Roman" w:eastAsia="Times New Roman" w:hAnsi="Times New Roman" w:cs="Times New Roman"/>
          <w:b/>
          <w:bCs/>
          <w:i/>
          <w:iCs/>
          <w:sz w:val="24"/>
          <w:szCs w:val="24"/>
        </w:rPr>
      </w:pPr>
      <w:r w:rsidRPr="001F0D9C">
        <w:rPr>
          <w:rFonts w:ascii="Times New Roman" w:eastAsia="Times New Roman" w:hAnsi="Times New Roman" w:cs="Times New Roman"/>
          <w:b/>
          <w:bCs/>
          <w:i/>
          <w:iCs/>
          <w:sz w:val="24"/>
          <w:szCs w:val="24"/>
        </w:rPr>
        <w:t>Supporting Long-Term Economic Development</w:t>
      </w:r>
    </w:p>
    <w:p w14:paraId="74D5AC1E" w14:textId="62AD6033" w:rsidR="005A1209" w:rsidRPr="001F0D9C" w:rsidRDefault="00896176" w:rsidP="001F0D9C">
      <w:pPr>
        <w:spacing w:line="276" w:lineRule="auto"/>
        <w:ind w:left="1170" w:firstLine="27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Sovereign Wealth Funds play a crucial role in supporting long-term economic development by investing in domestic infrastructure, education, and healthcare. They ensure</w:t>
      </w:r>
      <w:r w:rsidR="008368FB" w:rsidRPr="001F0D9C">
        <w:rPr>
          <w:rFonts w:ascii="Times New Roman" w:eastAsia="Times New Roman" w:hAnsi="Times New Roman" w:cs="Times New Roman"/>
          <w:sz w:val="24"/>
          <w:szCs w:val="24"/>
        </w:rPr>
        <w:t xml:space="preserve"> that a nation’s resources are prudently deployed to drive sustainable growth.</w:t>
      </w:r>
      <w:r w:rsidR="00A561BC" w:rsidRPr="001F0D9C">
        <w:rPr>
          <w:rFonts w:ascii="Times New Roman" w:eastAsia="Times New Roman" w:hAnsi="Times New Roman" w:cs="Times New Roman"/>
          <w:sz w:val="24"/>
          <w:szCs w:val="24"/>
        </w:rPr>
        <w:t xml:space="preserve"> As previously mentioned, Singapore’s Temasek Holdings serve as an exemplar of how SWFs can contribute to economic stability through long-term investments. Tamasek </w:t>
      </w:r>
      <w:r w:rsidR="007840BA" w:rsidRPr="001F0D9C">
        <w:rPr>
          <w:rFonts w:ascii="Times New Roman" w:eastAsia="Times New Roman" w:hAnsi="Times New Roman" w:cs="Times New Roman"/>
          <w:sz w:val="24"/>
          <w:szCs w:val="24"/>
        </w:rPr>
        <w:t>Holdings</w:t>
      </w:r>
      <w:r w:rsidR="0058307D" w:rsidRPr="001F0D9C">
        <w:rPr>
          <w:rFonts w:ascii="Times New Roman" w:eastAsia="Times New Roman" w:hAnsi="Times New Roman" w:cs="Times New Roman"/>
          <w:sz w:val="24"/>
          <w:szCs w:val="24"/>
        </w:rPr>
        <w:t xml:space="preserve"> revealed in their review 202</w:t>
      </w:r>
      <w:r w:rsidR="004413FA" w:rsidRPr="001F0D9C">
        <w:rPr>
          <w:rFonts w:ascii="Times New Roman" w:eastAsia="Times New Roman" w:hAnsi="Times New Roman" w:cs="Times New Roman"/>
          <w:sz w:val="24"/>
          <w:szCs w:val="24"/>
        </w:rPr>
        <w:t>3</w:t>
      </w:r>
      <w:r w:rsidR="0058307D" w:rsidRPr="001F0D9C">
        <w:rPr>
          <w:rFonts w:ascii="Times New Roman" w:eastAsia="Times New Roman" w:hAnsi="Times New Roman" w:cs="Times New Roman"/>
          <w:sz w:val="24"/>
          <w:szCs w:val="24"/>
        </w:rPr>
        <w:t xml:space="preserve">, that they had S$382 billion net portfolio value </w:t>
      </w:r>
      <w:r w:rsidR="00773658" w:rsidRPr="001F0D9C">
        <w:rPr>
          <w:rFonts w:ascii="Times New Roman" w:eastAsia="Times New Roman" w:hAnsi="Times New Roman" w:cs="Times New Roman"/>
          <w:sz w:val="24"/>
          <w:szCs w:val="24"/>
        </w:rPr>
        <w:t xml:space="preserve">at the end of the year </w:t>
      </w:r>
      <w:r w:rsidR="0058307D" w:rsidRPr="001F0D9C">
        <w:rPr>
          <w:rFonts w:ascii="Times New Roman" w:eastAsia="Times New Roman" w:hAnsi="Times New Roman" w:cs="Times New Roman"/>
          <w:sz w:val="24"/>
          <w:szCs w:val="24"/>
        </w:rPr>
        <w:t>after investing S$31 billion during the year</w:t>
      </w:r>
      <w:r w:rsidR="00773658" w:rsidRPr="001F0D9C">
        <w:rPr>
          <w:rFonts w:ascii="Times New Roman" w:eastAsia="Times New Roman" w:hAnsi="Times New Roman" w:cs="Times New Roman"/>
          <w:sz w:val="24"/>
          <w:szCs w:val="24"/>
        </w:rPr>
        <w:t xml:space="preserve"> as seen in Figure </w:t>
      </w:r>
      <w:r w:rsidR="00C20333" w:rsidRPr="001F0D9C">
        <w:rPr>
          <w:rFonts w:ascii="Times New Roman" w:eastAsia="Times New Roman" w:hAnsi="Times New Roman" w:cs="Times New Roman"/>
          <w:sz w:val="24"/>
          <w:szCs w:val="24"/>
        </w:rPr>
        <w:t>8</w:t>
      </w:r>
      <w:r w:rsidR="0058307D" w:rsidRPr="001F0D9C">
        <w:rPr>
          <w:rFonts w:ascii="Times New Roman" w:eastAsia="Times New Roman" w:hAnsi="Times New Roman" w:cs="Times New Roman"/>
          <w:sz w:val="24"/>
          <w:szCs w:val="24"/>
        </w:rPr>
        <w:t xml:space="preserve"> (Temasek Holdings, 2023). </w:t>
      </w:r>
      <w:r w:rsidR="004413FA" w:rsidRPr="001F0D9C">
        <w:rPr>
          <w:rFonts w:ascii="Times New Roman" w:eastAsia="Times New Roman" w:hAnsi="Times New Roman" w:cs="Times New Roman"/>
          <w:sz w:val="24"/>
          <w:szCs w:val="24"/>
        </w:rPr>
        <w:t>Temasek’s portfolio includes a wide range of assets, including strategic investments in healthcare, education, and technology.</w:t>
      </w:r>
      <w:r w:rsidR="00773658" w:rsidRPr="001F0D9C">
        <w:rPr>
          <w:rFonts w:ascii="Times New Roman" w:eastAsia="Times New Roman" w:hAnsi="Times New Roman" w:cs="Times New Roman"/>
          <w:sz w:val="24"/>
          <w:szCs w:val="24"/>
        </w:rPr>
        <w:t xml:space="preserve"> These investments</w:t>
      </w:r>
      <w:r w:rsidR="00C20333" w:rsidRPr="001F0D9C">
        <w:rPr>
          <w:rFonts w:ascii="Times New Roman" w:eastAsia="Times New Roman" w:hAnsi="Times New Roman" w:cs="Times New Roman"/>
          <w:sz w:val="24"/>
          <w:szCs w:val="24"/>
        </w:rPr>
        <w:t xml:space="preserve"> [particularly due to its liquidity components as seen in Figure xx]</w:t>
      </w:r>
      <w:r w:rsidR="00773658" w:rsidRPr="001F0D9C">
        <w:rPr>
          <w:rFonts w:ascii="Times New Roman" w:eastAsia="Times New Roman" w:hAnsi="Times New Roman" w:cs="Times New Roman"/>
          <w:sz w:val="24"/>
          <w:szCs w:val="24"/>
        </w:rPr>
        <w:t xml:space="preserve"> have not only bolstered economic growth but also enhanced the resilience of Singapore’s economy during global economic challenges.</w:t>
      </w:r>
      <w:r w:rsidR="005A1209" w:rsidRPr="001F0D9C">
        <w:rPr>
          <w:rFonts w:ascii="Times New Roman" w:eastAsia="Times New Roman" w:hAnsi="Times New Roman" w:cs="Times New Roman"/>
          <w:sz w:val="24"/>
          <w:szCs w:val="24"/>
        </w:rPr>
        <w:tab/>
      </w:r>
      <w:r w:rsidR="005A1209" w:rsidRPr="001F0D9C">
        <w:rPr>
          <w:rFonts w:ascii="Times New Roman" w:eastAsia="Times New Roman" w:hAnsi="Times New Roman" w:cs="Times New Roman"/>
          <w:sz w:val="24"/>
          <w:szCs w:val="24"/>
        </w:rPr>
        <w:tab/>
        <w:t xml:space="preserve">  </w:t>
      </w:r>
      <w:r w:rsidR="005A331E" w:rsidRPr="001F0D9C">
        <w:rPr>
          <w:rFonts w:ascii="Times New Roman" w:eastAsia="Times New Roman" w:hAnsi="Times New Roman" w:cs="Times New Roman"/>
          <w:noProof/>
          <w:sz w:val="24"/>
          <w:szCs w:val="24"/>
        </w:rPr>
        <w:drawing>
          <wp:inline distT="0" distB="0" distL="0" distR="0" wp14:anchorId="5022A374" wp14:editId="6CB6542A">
            <wp:extent cx="5173980" cy="1714500"/>
            <wp:effectExtent l="0" t="0" r="7620" b="0"/>
            <wp:docPr id="403652608" name="Picture 1" descr="A graph with blue and whit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52608" name="Picture 1" descr="A graph with blue and white bars&#10;&#10;Description automatically generated with medium confidence"/>
                    <pic:cNvPicPr/>
                  </pic:nvPicPr>
                  <pic:blipFill rotWithShape="1">
                    <a:blip r:embed="rId15"/>
                    <a:srcRect l="1923" t="18682" r="1667"/>
                    <a:stretch/>
                  </pic:blipFill>
                  <pic:spPr bwMode="auto">
                    <a:xfrm>
                      <a:off x="0" y="0"/>
                      <a:ext cx="5173980" cy="1714500"/>
                    </a:xfrm>
                    <a:prstGeom prst="rect">
                      <a:avLst/>
                    </a:prstGeom>
                    <a:ln>
                      <a:noFill/>
                    </a:ln>
                    <a:extLst>
                      <a:ext uri="{53640926-AAD7-44D8-BBD7-CCE9431645EC}">
                        <a14:shadowObscured xmlns:a14="http://schemas.microsoft.com/office/drawing/2010/main"/>
                      </a:ext>
                    </a:extLst>
                  </pic:spPr>
                </pic:pic>
              </a:graphicData>
            </a:graphic>
          </wp:inline>
        </w:drawing>
      </w:r>
    </w:p>
    <w:p w14:paraId="3AD0ED85" w14:textId="3AEE4B84" w:rsidR="005A1209" w:rsidRPr="001F0D9C" w:rsidRDefault="005A1209" w:rsidP="001F0D9C">
      <w:pPr>
        <w:pStyle w:val="Caption"/>
        <w:spacing w:line="276" w:lineRule="auto"/>
        <w:jc w:val="both"/>
        <w:rPr>
          <w:rFonts w:ascii="Times New Roman" w:hAnsi="Times New Roman" w:cs="Times New Roman"/>
          <w:b/>
          <w:bCs/>
          <w:i w:val="0"/>
          <w:iCs w:val="0"/>
          <w:color w:val="auto"/>
        </w:rPr>
      </w:pPr>
      <w:r w:rsidRPr="001F0D9C">
        <w:rPr>
          <w:rFonts w:ascii="Times New Roman" w:eastAsia="Times New Roman" w:hAnsi="Times New Roman" w:cs="Times New Roman"/>
          <w:sz w:val="24"/>
          <w:szCs w:val="24"/>
        </w:rPr>
        <w:tab/>
      </w:r>
      <w:r w:rsidRPr="001F0D9C">
        <w:rPr>
          <w:rFonts w:ascii="Times New Roman" w:eastAsia="Times New Roman" w:hAnsi="Times New Roman" w:cs="Times New Roman"/>
          <w:b/>
          <w:bCs/>
          <w:i w:val="0"/>
          <w:iCs w:val="0"/>
          <w:sz w:val="24"/>
          <w:szCs w:val="24"/>
        </w:rPr>
        <w:t xml:space="preserve">       </w:t>
      </w:r>
      <w:bookmarkStart w:id="9" w:name="_Toc146481299"/>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00044724" w:rsidRPr="001F0D9C">
        <w:rPr>
          <w:rFonts w:ascii="Times New Roman" w:hAnsi="Times New Roman" w:cs="Times New Roman"/>
          <w:b/>
          <w:bCs/>
          <w:i w:val="0"/>
          <w:iCs w:val="0"/>
          <w:noProof/>
          <w:color w:val="auto"/>
        </w:rPr>
        <w:t>7</w:t>
      </w:r>
      <w:bookmarkEnd w:id="9"/>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30DF1220" w14:textId="1039350A" w:rsidR="002A7AA0" w:rsidRPr="001F0D9C" w:rsidRDefault="005A1209" w:rsidP="001F0D9C">
      <w:pPr>
        <w:pStyle w:val="Caption"/>
        <w:spacing w:line="276" w:lineRule="auto"/>
        <w:ind w:left="450" w:firstLine="720"/>
        <w:jc w:val="both"/>
        <w:rPr>
          <w:rFonts w:ascii="Times New Roman" w:eastAsia="Times New Roman" w:hAnsi="Times New Roman" w:cs="Times New Roman"/>
          <w:color w:val="auto"/>
          <w:sz w:val="24"/>
          <w:szCs w:val="24"/>
        </w:rPr>
      </w:pPr>
      <w:r w:rsidRPr="001F0D9C">
        <w:rPr>
          <w:rFonts w:ascii="Times New Roman" w:hAnsi="Times New Roman" w:cs="Times New Roman"/>
          <w:color w:val="auto"/>
        </w:rPr>
        <w:t>The Net Portfolio Value of Singapore's Assets (in S$ billions)</w:t>
      </w:r>
    </w:p>
    <w:p w14:paraId="336CAB61" w14:textId="2239C53A" w:rsidR="002A7AA0" w:rsidRPr="001F0D9C" w:rsidRDefault="00177D49" w:rsidP="001F0D9C">
      <w:pPr>
        <w:spacing w:line="276" w:lineRule="auto"/>
        <w:ind w:left="450" w:firstLine="720"/>
        <w:jc w:val="both"/>
        <w:rPr>
          <w:rFonts w:ascii="Times New Roman" w:eastAsia="Times New Roman" w:hAnsi="Times New Roman" w:cs="Times New Roman"/>
          <w:sz w:val="24"/>
          <w:szCs w:val="24"/>
        </w:rPr>
      </w:pPr>
      <w:r w:rsidRPr="001F0D9C">
        <w:rPr>
          <w:rFonts w:ascii="Times New Roman" w:eastAsia="Times New Roman" w:hAnsi="Times New Roman" w:cs="Times New Roman"/>
          <w:noProof/>
          <w:sz w:val="24"/>
          <w:szCs w:val="24"/>
        </w:rPr>
        <w:lastRenderedPageBreak/>
        <w:drawing>
          <wp:inline distT="0" distB="0" distL="0" distR="0" wp14:anchorId="1D4FF58C" wp14:editId="43C1373F">
            <wp:extent cx="5562600" cy="2945130"/>
            <wp:effectExtent l="0" t="0" r="0" b="7620"/>
            <wp:docPr id="122223583"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3583" name="Picture 1" descr="A graph with numbers and a bar&#10;&#10;Description automatically generated with medium confidence"/>
                    <pic:cNvPicPr/>
                  </pic:nvPicPr>
                  <pic:blipFill>
                    <a:blip r:embed="rId16"/>
                    <a:stretch>
                      <a:fillRect/>
                    </a:stretch>
                  </pic:blipFill>
                  <pic:spPr>
                    <a:xfrm>
                      <a:off x="0" y="0"/>
                      <a:ext cx="5562600" cy="2945130"/>
                    </a:xfrm>
                    <a:prstGeom prst="rect">
                      <a:avLst/>
                    </a:prstGeom>
                  </pic:spPr>
                </pic:pic>
              </a:graphicData>
            </a:graphic>
          </wp:inline>
        </w:drawing>
      </w:r>
    </w:p>
    <w:p w14:paraId="05228D6B" w14:textId="704CAD09" w:rsidR="00177D49" w:rsidRPr="001F0D9C" w:rsidRDefault="00177D49" w:rsidP="001F0D9C">
      <w:pPr>
        <w:pStyle w:val="Caption"/>
        <w:spacing w:line="276" w:lineRule="auto"/>
        <w:ind w:left="450" w:firstLine="720"/>
        <w:jc w:val="both"/>
        <w:rPr>
          <w:rFonts w:ascii="Times New Roman" w:hAnsi="Times New Roman" w:cs="Times New Roman"/>
          <w:b/>
          <w:bCs/>
          <w:i w:val="0"/>
          <w:iCs w:val="0"/>
          <w:color w:val="auto"/>
        </w:rPr>
      </w:pPr>
      <w:bookmarkStart w:id="10" w:name="_Toc146481300"/>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00044724" w:rsidRPr="001F0D9C">
        <w:rPr>
          <w:rFonts w:ascii="Times New Roman" w:hAnsi="Times New Roman" w:cs="Times New Roman"/>
          <w:b/>
          <w:bCs/>
          <w:i w:val="0"/>
          <w:iCs w:val="0"/>
          <w:noProof/>
          <w:color w:val="auto"/>
        </w:rPr>
        <w:t>8</w:t>
      </w:r>
      <w:bookmarkEnd w:id="10"/>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394FB392" w14:textId="6E7477BD" w:rsidR="00177D49" w:rsidRPr="001F0D9C" w:rsidRDefault="00177D49" w:rsidP="001F0D9C">
      <w:pPr>
        <w:pStyle w:val="Caption"/>
        <w:spacing w:line="276" w:lineRule="auto"/>
        <w:ind w:left="450" w:firstLine="720"/>
        <w:jc w:val="both"/>
        <w:rPr>
          <w:rFonts w:ascii="Times New Roman" w:eastAsia="Times New Roman" w:hAnsi="Times New Roman" w:cs="Times New Roman"/>
          <w:color w:val="auto"/>
          <w:sz w:val="24"/>
          <w:szCs w:val="24"/>
        </w:rPr>
      </w:pPr>
      <w:r w:rsidRPr="001F0D9C">
        <w:rPr>
          <w:rFonts w:ascii="Times New Roman" w:hAnsi="Times New Roman" w:cs="Times New Roman"/>
          <w:color w:val="auto"/>
        </w:rPr>
        <w:t>The Portfolio Value of Singapore's Assets that are Liquid (in %)</w:t>
      </w:r>
    </w:p>
    <w:p w14:paraId="224AA538" w14:textId="77777777" w:rsidR="00177D49" w:rsidRPr="001F0D9C" w:rsidRDefault="00177D49" w:rsidP="001F0D9C">
      <w:pPr>
        <w:spacing w:line="276" w:lineRule="auto"/>
        <w:ind w:left="450" w:firstLine="720"/>
        <w:jc w:val="both"/>
        <w:rPr>
          <w:rFonts w:ascii="Times New Roman" w:eastAsia="Times New Roman" w:hAnsi="Times New Roman" w:cs="Times New Roman"/>
          <w:sz w:val="24"/>
          <w:szCs w:val="24"/>
        </w:rPr>
      </w:pPr>
    </w:p>
    <w:p w14:paraId="1214F2FD" w14:textId="47839D0F" w:rsidR="00BF662F" w:rsidRPr="001F0D9C" w:rsidRDefault="00BF662F" w:rsidP="001F0D9C">
      <w:pPr>
        <w:spacing w:line="276" w:lineRule="auto"/>
        <w:ind w:left="1170" w:firstLine="27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 xml:space="preserve">Also, SWFs often engage in strategic treasury management practices to maximize returns on investments. The Government of Singapore Investment Corporation (GIC) is an excellent illustration. GIC has been created to focus on building various asset classes within a portfolio along with suitable strategies that can obtain long-term real returns; in </w:t>
      </w:r>
      <w:r w:rsidR="007235E9" w:rsidRPr="001F0D9C">
        <w:rPr>
          <w:rFonts w:ascii="Times New Roman" w:eastAsia="Times New Roman" w:hAnsi="Times New Roman" w:cs="Times New Roman"/>
          <w:sz w:val="24"/>
          <w:szCs w:val="24"/>
        </w:rPr>
        <w:t xml:space="preserve">other </w:t>
      </w:r>
      <w:r w:rsidR="008F295C" w:rsidRPr="001F0D9C">
        <w:rPr>
          <w:rFonts w:ascii="Times New Roman" w:eastAsia="Times New Roman" w:hAnsi="Times New Roman" w:cs="Times New Roman"/>
          <w:sz w:val="24"/>
          <w:szCs w:val="24"/>
        </w:rPr>
        <w:t>words,</w:t>
      </w:r>
      <w:r w:rsidRPr="001F0D9C">
        <w:rPr>
          <w:rFonts w:ascii="Times New Roman" w:eastAsia="Times New Roman" w:hAnsi="Times New Roman" w:cs="Times New Roman"/>
          <w:sz w:val="24"/>
          <w:szCs w:val="24"/>
        </w:rPr>
        <w:t xml:space="preserve"> it provides management of the </w:t>
      </w:r>
      <w:r w:rsidR="007235E9" w:rsidRPr="001F0D9C">
        <w:rPr>
          <w:rFonts w:ascii="Times New Roman" w:eastAsia="Times New Roman" w:hAnsi="Times New Roman" w:cs="Times New Roman"/>
          <w:sz w:val="24"/>
          <w:szCs w:val="24"/>
        </w:rPr>
        <w:t>Singapore’s</w:t>
      </w:r>
      <w:r w:rsidRPr="001F0D9C">
        <w:rPr>
          <w:rFonts w:ascii="Times New Roman" w:eastAsia="Times New Roman" w:hAnsi="Times New Roman" w:cs="Times New Roman"/>
          <w:sz w:val="24"/>
          <w:szCs w:val="24"/>
        </w:rPr>
        <w:t xml:space="preserve"> foreign reserves</w:t>
      </w:r>
      <w:r w:rsidR="007235E9" w:rsidRPr="001F0D9C">
        <w:rPr>
          <w:rFonts w:ascii="Times New Roman" w:eastAsia="Times New Roman" w:hAnsi="Times New Roman" w:cs="Times New Roman"/>
          <w:sz w:val="24"/>
          <w:szCs w:val="24"/>
        </w:rPr>
        <w:t xml:space="preserve"> (GIC, 2022).</w:t>
      </w:r>
      <w:r w:rsidR="008F295C" w:rsidRPr="001F0D9C">
        <w:rPr>
          <w:rFonts w:ascii="Times New Roman" w:eastAsia="Times New Roman" w:hAnsi="Times New Roman" w:cs="Times New Roman"/>
          <w:sz w:val="24"/>
          <w:szCs w:val="24"/>
        </w:rPr>
        <w:t xml:space="preserve"> GIC’s prudent treasury management strategies have consistently generated returns, contributing to Singapore’s economic stability by ensuring the availability of resources for education and healthcare, thereby preserving human capital investments.</w:t>
      </w:r>
    </w:p>
    <w:p w14:paraId="3B61DC84" w14:textId="65AECAB1" w:rsidR="006021B2" w:rsidRPr="001F0D9C" w:rsidRDefault="006021B2" w:rsidP="001F0D9C">
      <w:pPr>
        <w:spacing w:line="276" w:lineRule="auto"/>
        <w:ind w:left="1170" w:firstLine="27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Moreover, SWFs often invest in sectors that support long-term human capital development. This is greatly aligned to Chapter 1 which highlighted the role of education, healthcare, and workforce development in human capital development. The Qatar Investment Authority (QIA) is a pertinent example</w:t>
      </w:r>
      <w:r w:rsidR="0083631C" w:rsidRPr="001F0D9C">
        <w:rPr>
          <w:rFonts w:ascii="Times New Roman" w:eastAsia="Times New Roman" w:hAnsi="Times New Roman" w:cs="Times New Roman"/>
          <w:sz w:val="24"/>
          <w:szCs w:val="24"/>
        </w:rPr>
        <w:t xml:space="preserve"> that was established in 2005</w:t>
      </w:r>
      <w:r w:rsidRPr="001F0D9C">
        <w:rPr>
          <w:rFonts w:ascii="Times New Roman" w:eastAsia="Times New Roman" w:hAnsi="Times New Roman" w:cs="Times New Roman"/>
          <w:sz w:val="24"/>
          <w:szCs w:val="24"/>
        </w:rPr>
        <w:t>. The QIA purpose is to provide and generate returns through its developed sovereign wealth fund, in order to diversify Qatar’s economy while growing and protecting its financial assets (</w:t>
      </w:r>
      <w:r w:rsidR="00800EEA" w:rsidRPr="001F0D9C">
        <w:rPr>
          <w:rFonts w:ascii="Times New Roman" w:eastAsia="Times New Roman" w:hAnsi="Times New Roman" w:cs="Times New Roman"/>
          <w:sz w:val="24"/>
          <w:szCs w:val="24"/>
        </w:rPr>
        <w:t>Qatar Investment Authority, 2023</w:t>
      </w:r>
      <w:r w:rsidRPr="001F0D9C">
        <w:rPr>
          <w:rFonts w:ascii="Times New Roman" w:eastAsia="Times New Roman" w:hAnsi="Times New Roman" w:cs="Times New Roman"/>
          <w:sz w:val="24"/>
          <w:szCs w:val="24"/>
        </w:rPr>
        <w:t>).</w:t>
      </w:r>
      <w:r w:rsidR="00EF0356" w:rsidRPr="001F0D9C">
        <w:rPr>
          <w:rFonts w:ascii="Times New Roman" w:eastAsia="Times New Roman" w:hAnsi="Times New Roman" w:cs="Times New Roman"/>
          <w:sz w:val="24"/>
          <w:szCs w:val="24"/>
        </w:rPr>
        <w:t xml:space="preserve"> QIA’s investments in research institutions, education, and healthcare aim to enhance human capital. By ensuring the </w:t>
      </w:r>
      <w:r w:rsidR="00EF0356" w:rsidRPr="001F0D9C">
        <w:rPr>
          <w:rFonts w:ascii="Times New Roman" w:eastAsia="Times New Roman" w:hAnsi="Times New Roman" w:cs="Times New Roman"/>
          <w:sz w:val="24"/>
          <w:szCs w:val="24"/>
        </w:rPr>
        <w:lastRenderedPageBreak/>
        <w:t>availability of funds for these sectors, QIA contributes to Qatar’s economic stability and growth.</w:t>
      </w:r>
    </w:p>
    <w:p w14:paraId="457DD476" w14:textId="77777777" w:rsidR="00B85E16" w:rsidRPr="001F0D9C" w:rsidRDefault="00B85E16" w:rsidP="001F0D9C">
      <w:pPr>
        <w:spacing w:line="276" w:lineRule="auto"/>
        <w:ind w:left="1170"/>
        <w:jc w:val="both"/>
        <w:rPr>
          <w:rFonts w:ascii="Times New Roman" w:eastAsia="Times New Roman" w:hAnsi="Times New Roman" w:cs="Times New Roman"/>
          <w:sz w:val="24"/>
          <w:szCs w:val="24"/>
        </w:rPr>
      </w:pPr>
    </w:p>
    <w:p w14:paraId="1FD2C103" w14:textId="493E89FD" w:rsidR="00B85E16" w:rsidRPr="001F0D9C" w:rsidRDefault="00B85E16" w:rsidP="001F0D9C">
      <w:pPr>
        <w:spacing w:line="276" w:lineRule="auto"/>
        <w:ind w:left="1170"/>
        <w:jc w:val="both"/>
        <w:rPr>
          <w:rFonts w:ascii="Times New Roman" w:eastAsia="Times New Roman" w:hAnsi="Times New Roman" w:cs="Times New Roman"/>
          <w:b/>
          <w:bCs/>
          <w:i/>
          <w:iCs/>
          <w:sz w:val="24"/>
          <w:szCs w:val="24"/>
        </w:rPr>
      </w:pPr>
      <w:r w:rsidRPr="001F0D9C">
        <w:rPr>
          <w:rFonts w:ascii="Times New Roman" w:eastAsia="Times New Roman" w:hAnsi="Times New Roman" w:cs="Times New Roman"/>
          <w:b/>
          <w:bCs/>
          <w:i/>
          <w:iCs/>
          <w:sz w:val="24"/>
          <w:szCs w:val="24"/>
        </w:rPr>
        <w:t>Ethical and Responsible Investment Practices</w:t>
      </w:r>
    </w:p>
    <w:p w14:paraId="4AA304A6" w14:textId="70921FC6" w:rsidR="009E04DC" w:rsidRPr="001F0D9C" w:rsidRDefault="00B40BBB" w:rsidP="001F0D9C">
      <w:pPr>
        <w:spacing w:line="276" w:lineRule="auto"/>
        <w:ind w:left="117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 xml:space="preserve">SWFs often adhere to ethical and responsible investment practices, ensuring that the wealth generated benefits the nation’s citizens and supports social and economic stability. </w:t>
      </w:r>
      <w:r w:rsidR="00C67F69" w:rsidRPr="001F0D9C">
        <w:rPr>
          <w:rFonts w:ascii="Times New Roman" w:eastAsia="Times New Roman" w:hAnsi="Times New Roman" w:cs="Times New Roman"/>
          <w:sz w:val="24"/>
          <w:szCs w:val="24"/>
        </w:rPr>
        <w:t xml:space="preserve">The New Zealand Superannuation Fund (NZSF) is a testament to responsible SWF management. </w:t>
      </w:r>
      <w:r w:rsidR="00010D02" w:rsidRPr="001F0D9C">
        <w:rPr>
          <w:rFonts w:ascii="Times New Roman" w:eastAsia="Times New Roman" w:hAnsi="Times New Roman" w:cs="Times New Roman"/>
          <w:sz w:val="24"/>
          <w:szCs w:val="24"/>
        </w:rPr>
        <w:t xml:space="preserve">The NZSF has sought to manage environmental, social and governance (ESG) risk </w:t>
      </w:r>
      <w:r w:rsidR="00AD4B19" w:rsidRPr="001F0D9C">
        <w:rPr>
          <w:rFonts w:ascii="Times New Roman" w:eastAsia="Times New Roman" w:hAnsi="Times New Roman" w:cs="Times New Roman"/>
          <w:sz w:val="24"/>
          <w:szCs w:val="24"/>
        </w:rPr>
        <w:t>to</w:t>
      </w:r>
      <w:r w:rsidR="00010D02" w:rsidRPr="001F0D9C">
        <w:rPr>
          <w:rFonts w:ascii="Times New Roman" w:eastAsia="Times New Roman" w:hAnsi="Times New Roman" w:cs="Times New Roman"/>
          <w:sz w:val="24"/>
          <w:szCs w:val="24"/>
        </w:rPr>
        <w:t xml:space="preserve"> provide sustainable finance for New Zealanders by ensuring that strong financial returns are obtained based on investments made over the years (New Zealand Superannuation Fund, 2023). With this in mind, the NZSF modified its approach </w:t>
      </w:r>
      <w:r w:rsidR="00F10156" w:rsidRPr="001F0D9C">
        <w:rPr>
          <w:rFonts w:ascii="Times New Roman" w:eastAsia="Times New Roman" w:hAnsi="Times New Roman" w:cs="Times New Roman"/>
          <w:sz w:val="24"/>
          <w:szCs w:val="24"/>
        </w:rPr>
        <w:t xml:space="preserve">in 2020 </w:t>
      </w:r>
      <w:r w:rsidR="00010D02" w:rsidRPr="001F0D9C">
        <w:rPr>
          <w:rFonts w:ascii="Times New Roman" w:eastAsia="Times New Roman" w:hAnsi="Times New Roman" w:cs="Times New Roman"/>
          <w:sz w:val="24"/>
          <w:szCs w:val="24"/>
        </w:rPr>
        <w:t xml:space="preserve">to ensure good practice </w:t>
      </w:r>
      <w:r w:rsidR="00F10156" w:rsidRPr="001F0D9C">
        <w:rPr>
          <w:rFonts w:ascii="Times New Roman" w:eastAsia="Times New Roman" w:hAnsi="Times New Roman" w:cs="Times New Roman"/>
          <w:sz w:val="24"/>
          <w:szCs w:val="24"/>
        </w:rPr>
        <w:t xml:space="preserve">remains </w:t>
      </w:r>
      <w:r w:rsidR="00010D02" w:rsidRPr="001F0D9C">
        <w:rPr>
          <w:rFonts w:ascii="Times New Roman" w:eastAsia="Times New Roman" w:hAnsi="Times New Roman" w:cs="Times New Roman"/>
          <w:sz w:val="24"/>
          <w:szCs w:val="24"/>
        </w:rPr>
        <w:t>forefront based on the country’s changing financial landscape</w:t>
      </w:r>
      <w:r w:rsidR="003D763E" w:rsidRPr="001F0D9C">
        <w:rPr>
          <w:rFonts w:ascii="Times New Roman" w:eastAsia="Times New Roman" w:hAnsi="Times New Roman" w:cs="Times New Roman"/>
          <w:sz w:val="24"/>
          <w:szCs w:val="24"/>
        </w:rPr>
        <w:t xml:space="preserve"> (New Zealand Superannuation Fund, 2023). The NZSF incorporates ethical investment principles and actively engages with companies to improve their environmental, social, and governance practices. Such approaches not only generate returns but also align with the country’s values, contributing to economic stability and societal well-being.</w:t>
      </w:r>
    </w:p>
    <w:p w14:paraId="426406E7" w14:textId="77777777" w:rsidR="00B9094B" w:rsidRPr="001F0D9C" w:rsidRDefault="00B9094B" w:rsidP="001F0D9C">
      <w:pPr>
        <w:spacing w:line="276" w:lineRule="auto"/>
        <w:ind w:left="1170"/>
        <w:jc w:val="both"/>
        <w:rPr>
          <w:rFonts w:ascii="Times New Roman" w:eastAsia="Times New Roman" w:hAnsi="Times New Roman" w:cs="Times New Roman"/>
          <w:sz w:val="24"/>
          <w:szCs w:val="24"/>
        </w:rPr>
      </w:pPr>
    </w:p>
    <w:p w14:paraId="796D9C21" w14:textId="47E19C63" w:rsidR="00B9094B" w:rsidRPr="001F0D9C" w:rsidRDefault="00CD4964" w:rsidP="001F0D9C">
      <w:pPr>
        <w:spacing w:line="276" w:lineRule="auto"/>
        <w:ind w:left="1170" w:firstLine="27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 xml:space="preserve">Sovereign Wealth Funds are vital for maintaining economic stability, as they provide a means to mitigate economic volatility, support long-term development, and adhere to ethical investment practices. </w:t>
      </w:r>
      <w:r w:rsidR="00C6224B" w:rsidRPr="001F0D9C">
        <w:rPr>
          <w:rFonts w:ascii="Times New Roman" w:eastAsia="Times New Roman" w:hAnsi="Times New Roman" w:cs="Times New Roman"/>
          <w:sz w:val="24"/>
          <w:szCs w:val="24"/>
        </w:rPr>
        <w:t>Real life examples, such as the Temasek Holdings, the Norwegian GPFG, and the New Zealand Superannuation Fund, demonstrate the benefits of effective SWF management in preserving a nation’s wealth and contributing to economic stability, even in the face of global economic challenges.</w:t>
      </w:r>
    </w:p>
    <w:p w14:paraId="21A23862" w14:textId="77777777" w:rsidR="00161877" w:rsidRPr="001F0D9C" w:rsidRDefault="00161877" w:rsidP="001F0D9C">
      <w:pPr>
        <w:spacing w:line="276" w:lineRule="auto"/>
        <w:jc w:val="both"/>
        <w:rPr>
          <w:rFonts w:ascii="Times New Roman" w:eastAsia="Times New Roman" w:hAnsi="Times New Roman" w:cs="Times New Roman"/>
          <w:sz w:val="24"/>
          <w:szCs w:val="24"/>
        </w:rPr>
      </w:pPr>
    </w:p>
    <w:p w14:paraId="7BD8901D" w14:textId="77777777" w:rsidR="00161877" w:rsidRPr="001F0D9C" w:rsidRDefault="00161877" w:rsidP="001F0D9C">
      <w:pPr>
        <w:spacing w:line="276" w:lineRule="auto"/>
        <w:jc w:val="both"/>
        <w:rPr>
          <w:rFonts w:ascii="Times New Roman" w:eastAsia="Times New Roman" w:hAnsi="Times New Roman" w:cs="Times New Roman"/>
          <w:sz w:val="24"/>
          <w:szCs w:val="24"/>
        </w:rPr>
      </w:pPr>
    </w:p>
    <w:p w14:paraId="0000009C" w14:textId="317E21B5" w:rsidR="00186D9A" w:rsidRPr="001F0D9C" w:rsidRDefault="00FA2968" w:rsidP="001F0D9C">
      <w:pPr>
        <w:pStyle w:val="Heading1"/>
        <w:numPr>
          <w:ilvl w:val="0"/>
          <w:numId w:val="3"/>
        </w:numPr>
        <w:spacing w:line="276" w:lineRule="auto"/>
        <w:jc w:val="both"/>
        <w:rPr>
          <w:rFonts w:ascii="Times New Roman" w:eastAsia="Times New Roman" w:hAnsi="Times New Roman" w:cs="Times New Roman"/>
          <w:b/>
          <w:bCs/>
          <w:color w:val="auto"/>
        </w:rPr>
      </w:pPr>
      <w:bookmarkStart w:id="11" w:name="_Toc146481277"/>
      <w:r w:rsidRPr="001F0D9C">
        <w:rPr>
          <w:rFonts w:ascii="Times New Roman" w:eastAsia="Times New Roman" w:hAnsi="Times New Roman" w:cs="Times New Roman"/>
          <w:b/>
          <w:bCs/>
          <w:color w:val="auto"/>
        </w:rPr>
        <w:t>Risk Identification, Assessment and Mitigation</w:t>
      </w:r>
      <w:bookmarkEnd w:id="11"/>
    </w:p>
    <w:p w14:paraId="73026E69" w14:textId="77777777" w:rsidR="002B418C" w:rsidRPr="001F0D9C" w:rsidRDefault="002B418C" w:rsidP="001F0D9C">
      <w:pPr>
        <w:spacing w:line="276" w:lineRule="auto"/>
        <w:jc w:val="both"/>
        <w:rPr>
          <w:rFonts w:ascii="Times New Roman" w:eastAsia="Times New Roman" w:hAnsi="Times New Roman" w:cs="Times New Roman"/>
          <w:bCs/>
          <w:sz w:val="24"/>
          <w:szCs w:val="24"/>
        </w:rPr>
      </w:pPr>
    </w:p>
    <w:p w14:paraId="68059676" w14:textId="5EA66696" w:rsidR="00AE57A1" w:rsidRPr="001F0D9C" w:rsidRDefault="00CE227E" w:rsidP="001F0D9C">
      <w:pPr>
        <w:spacing w:line="276" w:lineRule="auto"/>
        <w:ind w:left="408" w:firstLine="312"/>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Strategies for risk identification, assessment, and mitigation are fundamental in managing financial and economic stability</w:t>
      </w:r>
      <w:r w:rsidR="009D6728" w:rsidRPr="001F0D9C">
        <w:rPr>
          <w:rFonts w:ascii="Times New Roman" w:eastAsia="Times New Roman" w:hAnsi="Times New Roman" w:cs="Times New Roman"/>
          <w:bCs/>
          <w:sz w:val="24"/>
          <w:szCs w:val="24"/>
        </w:rPr>
        <w:t>.</w:t>
      </w:r>
      <w:r w:rsidRPr="001F0D9C">
        <w:rPr>
          <w:rFonts w:ascii="Times New Roman" w:eastAsia="Times New Roman" w:hAnsi="Times New Roman" w:cs="Times New Roman"/>
          <w:bCs/>
          <w:sz w:val="24"/>
          <w:szCs w:val="24"/>
        </w:rPr>
        <w:t xml:space="preserve"> Below, this section outlines these strategies using real-life examples.</w:t>
      </w:r>
    </w:p>
    <w:p w14:paraId="7E03506D" w14:textId="77777777" w:rsidR="00737D0A" w:rsidRPr="001F0D9C" w:rsidRDefault="00737D0A" w:rsidP="001F0D9C">
      <w:pPr>
        <w:spacing w:line="276" w:lineRule="auto"/>
        <w:ind w:left="408"/>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lastRenderedPageBreak/>
        <w:tab/>
      </w:r>
    </w:p>
    <w:p w14:paraId="130CD352" w14:textId="2150A003" w:rsidR="00AE57A1" w:rsidRPr="001F0D9C" w:rsidRDefault="00D82A35" w:rsidP="001F0D9C">
      <w:pPr>
        <w:pStyle w:val="Heading2"/>
        <w:numPr>
          <w:ilvl w:val="1"/>
          <w:numId w:val="3"/>
        </w:numPr>
        <w:spacing w:line="276" w:lineRule="auto"/>
        <w:jc w:val="both"/>
        <w:rPr>
          <w:rFonts w:ascii="Times New Roman" w:eastAsia="Times New Roman" w:hAnsi="Times New Roman" w:cs="Times New Roman"/>
          <w:b/>
          <w:bCs/>
          <w:color w:val="auto"/>
          <w:u w:val="single"/>
        </w:rPr>
      </w:pPr>
      <w:bookmarkStart w:id="12" w:name="_Toc146481278"/>
      <w:r w:rsidRPr="001F0D9C">
        <w:rPr>
          <w:rFonts w:ascii="Times New Roman" w:eastAsia="Times New Roman" w:hAnsi="Times New Roman" w:cs="Times New Roman"/>
          <w:b/>
          <w:bCs/>
          <w:color w:val="auto"/>
          <w:u w:val="single"/>
        </w:rPr>
        <w:t>Risk Identification</w:t>
      </w:r>
      <w:bookmarkEnd w:id="12"/>
    </w:p>
    <w:p w14:paraId="1DC89E81" w14:textId="4F667026" w:rsidR="00361405" w:rsidRPr="001F0D9C" w:rsidRDefault="00DA2939"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Risk identification is a crucial initial step in financing and treasury management, as it enables organizations to recognize potential threats </w:t>
      </w:r>
      <w:r w:rsidR="00AD0C59" w:rsidRPr="001F0D9C">
        <w:rPr>
          <w:rFonts w:ascii="Times New Roman" w:eastAsia="Times New Roman" w:hAnsi="Times New Roman" w:cs="Times New Roman"/>
          <w:bCs/>
          <w:sz w:val="24"/>
          <w:szCs w:val="24"/>
        </w:rPr>
        <w:t>and vulnerabilities. The importance of this process is underscored by real-life examples and empirical evidence, which highlight its necessity for financial stability and success.</w:t>
      </w:r>
    </w:p>
    <w:p w14:paraId="5AAD3B72" w14:textId="77777777" w:rsidR="00DA2939" w:rsidRPr="001F0D9C" w:rsidRDefault="00DA2939" w:rsidP="001F0D9C">
      <w:pPr>
        <w:spacing w:line="276" w:lineRule="auto"/>
        <w:ind w:left="858" w:firstLine="312"/>
        <w:jc w:val="both"/>
        <w:rPr>
          <w:rFonts w:ascii="Times New Roman" w:eastAsia="Times New Roman" w:hAnsi="Times New Roman" w:cs="Times New Roman"/>
          <w:bCs/>
          <w:sz w:val="24"/>
          <w:szCs w:val="24"/>
        </w:rPr>
      </w:pPr>
    </w:p>
    <w:p w14:paraId="70FDDA37" w14:textId="7A024EB0" w:rsidR="00D82A35" w:rsidRPr="001F0D9C" w:rsidRDefault="00D82A35" w:rsidP="001F0D9C">
      <w:pPr>
        <w:spacing w:line="276" w:lineRule="auto"/>
        <w:ind w:left="117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t>Market Risk</w:t>
      </w:r>
    </w:p>
    <w:p w14:paraId="7101B960" w14:textId="1FF9B6DB" w:rsidR="006971E3" w:rsidRPr="001F0D9C" w:rsidRDefault="00537CB1"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Market risk can be identified as one’s exposure to market volatility by analyzing asset prices, interest rate changes, and currency fluctuations</w:t>
      </w:r>
      <w:r w:rsidR="00F11CFE" w:rsidRPr="001F0D9C">
        <w:rPr>
          <w:rFonts w:ascii="Times New Roman" w:eastAsia="Times New Roman" w:hAnsi="Times New Roman" w:cs="Times New Roman"/>
          <w:bCs/>
          <w:sz w:val="24"/>
          <w:szCs w:val="24"/>
        </w:rPr>
        <w:t>.</w:t>
      </w:r>
      <w:r w:rsidRPr="001F0D9C">
        <w:rPr>
          <w:rFonts w:ascii="Times New Roman" w:eastAsia="Times New Roman" w:hAnsi="Times New Roman" w:cs="Times New Roman"/>
          <w:bCs/>
          <w:sz w:val="24"/>
          <w:szCs w:val="24"/>
        </w:rPr>
        <w:t xml:space="preserve"> For instance, during the 2008 financial crisis</w:t>
      </w:r>
      <w:r w:rsidR="00DA64D6" w:rsidRPr="001F0D9C">
        <w:rPr>
          <w:rFonts w:ascii="Times New Roman" w:eastAsia="Times New Roman" w:hAnsi="Times New Roman" w:cs="Times New Roman"/>
          <w:bCs/>
          <w:sz w:val="24"/>
          <w:szCs w:val="24"/>
        </w:rPr>
        <w:t xml:space="preserve"> “The Great Depression”</w:t>
      </w:r>
      <w:r w:rsidRPr="001F0D9C">
        <w:rPr>
          <w:rFonts w:ascii="Times New Roman" w:eastAsia="Times New Roman" w:hAnsi="Times New Roman" w:cs="Times New Roman"/>
          <w:bCs/>
          <w:sz w:val="24"/>
          <w:szCs w:val="24"/>
        </w:rPr>
        <w:t xml:space="preserve">, banks like Lehman Brothers and institutions like American International Group (AIG) failed to identify their vulnerability to subprime mortgage risks, leading to substantial losses. </w:t>
      </w:r>
      <w:r w:rsidR="000B637F" w:rsidRPr="001F0D9C">
        <w:rPr>
          <w:rFonts w:ascii="Times New Roman" w:eastAsia="Times New Roman" w:hAnsi="Times New Roman" w:cs="Times New Roman"/>
          <w:bCs/>
          <w:sz w:val="24"/>
          <w:szCs w:val="24"/>
        </w:rPr>
        <w:t>These risks</w:t>
      </w:r>
      <w:r w:rsidR="003821FD" w:rsidRPr="001F0D9C">
        <w:rPr>
          <w:rFonts w:ascii="Times New Roman" w:eastAsia="Times New Roman" w:hAnsi="Times New Roman" w:cs="Times New Roman"/>
          <w:bCs/>
          <w:sz w:val="24"/>
          <w:szCs w:val="24"/>
        </w:rPr>
        <w:t xml:space="preserve"> have caused a severe liquidity contraction</w:t>
      </w:r>
      <w:r w:rsidR="00526F66" w:rsidRPr="001F0D9C">
        <w:rPr>
          <w:rFonts w:ascii="Times New Roman" w:eastAsia="Times New Roman" w:hAnsi="Times New Roman" w:cs="Times New Roman"/>
          <w:bCs/>
          <w:sz w:val="24"/>
          <w:szCs w:val="24"/>
        </w:rPr>
        <w:t xml:space="preserve"> of global financial markets in United States of America (Duignan, 2023)</w:t>
      </w:r>
      <w:r w:rsidR="003821FD" w:rsidRPr="001F0D9C">
        <w:rPr>
          <w:rFonts w:ascii="Times New Roman" w:eastAsia="Times New Roman" w:hAnsi="Times New Roman" w:cs="Times New Roman"/>
          <w:bCs/>
          <w:sz w:val="24"/>
          <w:szCs w:val="24"/>
        </w:rPr>
        <w:t>.</w:t>
      </w:r>
      <w:r w:rsidR="009052E9" w:rsidRPr="001F0D9C">
        <w:rPr>
          <w:rFonts w:ascii="Times New Roman" w:eastAsia="Times New Roman" w:hAnsi="Times New Roman" w:cs="Times New Roman"/>
          <w:bCs/>
          <w:sz w:val="24"/>
          <w:szCs w:val="24"/>
        </w:rPr>
        <w:t xml:space="preserve"> Empirical evidence from this crisis emphasizes that effective risk identification could have prevented or mitigated the catastrophic consequences that followed.</w:t>
      </w:r>
      <w:r w:rsidR="00BD5605" w:rsidRPr="001F0D9C">
        <w:rPr>
          <w:rFonts w:ascii="Times New Roman" w:eastAsia="Times New Roman" w:hAnsi="Times New Roman" w:cs="Times New Roman"/>
          <w:bCs/>
          <w:sz w:val="24"/>
          <w:szCs w:val="24"/>
        </w:rPr>
        <w:t xml:space="preserve"> </w:t>
      </w:r>
      <w:r w:rsidR="0086227D" w:rsidRPr="001F0D9C">
        <w:rPr>
          <w:rFonts w:ascii="Times New Roman" w:eastAsia="Times New Roman" w:hAnsi="Times New Roman" w:cs="Times New Roman"/>
          <w:bCs/>
          <w:sz w:val="24"/>
          <w:szCs w:val="24"/>
        </w:rPr>
        <w:t>Lehman Brothers filed for bankruptcy on September 15, 2008</w:t>
      </w:r>
      <w:r w:rsidR="002F552F" w:rsidRPr="001F0D9C">
        <w:rPr>
          <w:rFonts w:ascii="Times New Roman" w:eastAsia="Times New Roman" w:hAnsi="Times New Roman" w:cs="Times New Roman"/>
          <w:bCs/>
          <w:sz w:val="24"/>
          <w:szCs w:val="24"/>
        </w:rPr>
        <w:t>,</w:t>
      </w:r>
      <w:r w:rsidR="00EF020D" w:rsidRPr="001F0D9C">
        <w:rPr>
          <w:rFonts w:ascii="Times New Roman" w:eastAsia="Times New Roman" w:hAnsi="Times New Roman" w:cs="Times New Roman"/>
          <w:bCs/>
          <w:sz w:val="24"/>
          <w:szCs w:val="24"/>
        </w:rPr>
        <w:t xml:space="preserve"> having a debt of US$613 billion</w:t>
      </w:r>
      <w:r w:rsidR="00DF7885" w:rsidRPr="001F0D9C">
        <w:rPr>
          <w:rFonts w:ascii="Times New Roman" w:eastAsia="Times New Roman" w:hAnsi="Times New Roman" w:cs="Times New Roman"/>
          <w:bCs/>
          <w:sz w:val="24"/>
          <w:szCs w:val="24"/>
        </w:rPr>
        <w:t xml:space="preserve"> on assets of $639 billion (Rodini, 2023).</w:t>
      </w:r>
      <w:r w:rsidR="002F552F" w:rsidRPr="001F0D9C">
        <w:rPr>
          <w:rFonts w:ascii="Times New Roman" w:eastAsia="Times New Roman" w:hAnsi="Times New Roman" w:cs="Times New Roman"/>
          <w:bCs/>
          <w:sz w:val="24"/>
          <w:szCs w:val="24"/>
        </w:rPr>
        <w:t xml:space="preserve"> As a result, AIG, the world’s largest insurance </w:t>
      </w:r>
      <w:r w:rsidR="008D3AB7" w:rsidRPr="001F0D9C">
        <w:rPr>
          <w:rFonts w:ascii="Times New Roman" w:eastAsia="Times New Roman" w:hAnsi="Times New Roman" w:cs="Times New Roman"/>
          <w:bCs/>
          <w:sz w:val="24"/>
          <w:szCs w:val="24"/>
        </w:rPr>
        <w:t>company,</w:t>
      </w:r>
      <w:r w:rsidR="002F552F" w:rsidRPr="001F0D9C">
        <w:rPr>
          <w:rFonts w:ascii="Times New Roman" w:eastAsia="Times New Roman" w:hAnsi="Times New Roman" w:cs="Times New Roman"/>
          <w:bCs/>
          <w:sz w:val="24"/>
          <w:szCs w:val="24"/>
        </w:rPr>
        <w:t xml:space="preserve"> was threatened to collapse due to their holdings in credit swaps of $400 billion with Lehman Brothers</w:t>
      </w:r>
      <w:r w:rsidR="00694B5A" w:rsidRPr="001F0D9C">
        <w:rPr>
          <w:rFonts w:ascii="Times New Roman" w:eastAsia="Times New Roman" w:hAnsi="Times New Roman" w:cs="Times New Roman"/>
          <w:bCs/>
          <w:sz w:val="24"/>
          <w:szCs w:val="24"/>
        </w:rPr>
        <w:t>.</w:t>
      </w:r>
      <w:r w:rsidR="0081179D" w:rsidRPr="001F0D9C">
        <w:rPr>
          <w:rFonts w:ascii="Times New Roman" w:eastAsia="Times New Roman" w:hAnsi="Times New Roman" w:cs="Times New Roman"/>
          <w:bCs/>
          <w:sz w:val="24"/>
          <w:szCs w:val="24"/>
        </w:rPr>
        <w:t xml:space="preserve"> While AIG was trying to get a bailout, the stock market crashed on September 29, 2008</w:t>
      </w:r>
      <w:r w:rsidR="004056BA" w:rsidRPr="001F0D9C">
        <w:rPr>
          <w:rFonts w:ascii="Times New Roman" w:eastAsia="Times New Roman" w:hAnsi="Times New Roman" w:cs="Times New Roman"/>
          <w:bCs/>
          <w:sz w:val="24"/>
          <w:szCs w:val="24"/>
        </w:rPr>
        <w:t>,</w:t>
      </w:r>
      <w:r w:rsidR="0081179D" w:rsidRPr="001F0D9C">
        <w:rPr>
          <w:rFonts w:ascii="Times New Roman" w:eastAsia="Times New Roman" w:hAnsi="Times New Roman" w:cs="Times New Roman"/>
          <w:bCs/>
          <w:sz w:val="24"/>
          <w:szCs w:val="24"/>
        </w:rPr>
        <w:t xml:space="preserve"> affecting Dow Jones Industrial Average (Duignan, 2023).</w:t>
      </w:r>
      <w:r w:rsidR="004056BA" w:rsidRPr="001F0D9C">
        <w:rPr>
          <w:rFonts w:ascii="Times New Roman" w:eastAsia="Times New Roman" w:hAnsi="Times New Roman" w:cs="Times New Roman"/>
          <w:bCs/>
          <w:sz w:val="24"/>
          <w:szCs w:val="24"/>
        </w:rPr>
        <w:t xml:space="preserve"> Duignan (2023)</w:t>
      </w:r>
      <w:r w:rsidR="00446424" w:rsidRPr="001F0D9C">
        <w:rPr>
          <w:rFonts w:ascii="Times New Roman" w:eastAsia="Times New Roman" w:hAnsi="Times New Roman" w:cs="Times New Roman"/>
          <w:bCs/>
          <w:sz w:val="24"/>
          <w:szCs w:val="24"/>
        </w:rPr>
        <w:t xml:space="preserve"> stated that Lehman Brothers engaged in lack of transparency, risky lending, and excessive borrowing thus could not withstand the impact of the global financial crisis.</w:t>
      </w:r>
      <w:r w:rsidR="008E0F7F" w:rsidRPr="001F0D9C">
        <w:rPr>
          <w:rFonts w:ascii="Times New Roman" w:eastAsia="Times New Roman" w:hAnsi="Times New Roman" w:cs="Times New Roman"/>
          <w:bCs/>
          <w:sz w:val="24"/>
          <w:szCs w:val="24"/>
        </w:rPr>
        <w:t xml:space="preserve"> Moreover, mortgages were defaulted by millions of Americans when the interest rates increased</w:t>
      </w:r>
      <w:r w:rsidR="009052E9" w:rsidRPr="001F0D9C">
        <w:rPr>
          <w:rFonts w:ascii="Times New Roman" w:eastAsia="Times New Roman" w:hAnsi="Times New Roman" w:cs="Times New Roman"/>
          <w:bCs/>
          <w:sz w:val="24"/>
          <w:szCs w:val="24"/>
        </w:rPr>
        <w:t xml:space="preserve"> (Duignan, 2023)</w:t>
      </w:r>
      <w:r w:rsidR="008E0F7F" w:rsidRPr="001F0D9C">
        <w:rPr>
          <w:rFonts w:ascii="Times New Roman" w:eastAsia="Times New Roman" w:hAnsi="Times New Roman" w:cs="Times New Roman"/>
          <w:bCs/>
          <w:sz w:val="24"/>
          <w:szCs w:val="24"/>
        </w:rPr>
        <w:t>.</w:t>
      </w:r>
      <w:r w:rsidR="00BD5605" w:rsidRPr="001F0D9C">
        <w:rPr>
          <w:rFonts w:ascii="Times New Roman" w:eastAsia="Times New Roman" w:hAnsi="Times New Roman" w:cs="Times New Roman"/>
          <w:bCs/>
          <w:sz w:val="24"/>
          <w:szCs w:val="24"/>
        </w:rPr>
        <w:t xml:space="preserve"> A comprehensive understanding of the risks associated with complex financial products, as seen in this crisis, is essential to safeguard the financial sector’s stability.</w:t>
      </w:r>
    </w:p>
    <w:p w14:paraId="0005ABD9" w14:textId="77777777" w:rsidR="00D82A35" w:rsidRPr="001F0D9C" w:rsidRDefault="00D82A35" w:rsidP="001F0D9C">
      <w:pPr>
        <w:spacing w:line="276" w:lineRule="auto"/>
        <w:ind w:left="1170"/>
        <w:jc w:val="both"/>
        <w:rPr>
          <w:rFonts w:ascii="Times New Roman" w:eastAsia="Times New Roman" w:hAnsi="Times New Roman" w:cs="Times New Roman"/>
          <w:bCs/>
          <w:sz w:val="24"/>
          <w:szCs w:val="24"/>
        </w:rPr>
      </w:pPr>
    </w:p>
    <w:p w14:paraId="69161E81" w14:textId="709BE165" w:rsidR="00D82A35" w:rsidRPr="001F0D9C" w:rsidRDefault="00D82A35" w:rsidP="001F0D9C">
      <w:pPr>
        <w:spacing w:line="276" w:lineRule="auto"/>
        <w:ind w:left="117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t xml:space="preserve">Operational Risk </w:t>
      </w:r>
    </w:p>
    <w:p w14:paraId="4C533934" w14:textId="526D55BB" w:rsidR="00BC368A" w:rsidRPr="001F0D9C" w:rsidRDefault="00BC368A"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Identify vulnerabilities in operational processes by conducting risk assessments and business impact analyses. </w:t>
      </w:r>
      <w:r w:rsidR="005D0D83" w:rsidRPr="001F0D9C">
        <w:rPr>
          <w:rFonts w:ascii="Times New Roman" w:eastAsia="Times New Roman" w:hAnsi="Times New Roman" w:cs="Times New Roman"/>
          <w:bCs/>
          <w:sz w:val="24"/>
          <w:szCs w:val="24"/>
        </w:rPr>
        <w:t>The Fukushima Daiichi nuclear disaster in 2011 highlighted the need for better operational risk and mitigation within the energy sector.</w:t>
      </w:r>
      <w:r w:rsidR="008D6829" w:rsidRPr="001F0D9C">
        <w:rPr>
          <w:rFonts w:ascii="Times New Roman" w:eastAsia="Times New Roman" w:hAnsi="Times New Roman" w:cs="Times New Roman"/>
          <w:bCs/>
          <w:sz w:val="24"/>
          <w:szCs w:val="24"/>
        </w:rPr>
        <w:t xml:space="preserve"> </w:t>
      </w:r>
      <w:r w:rsidR="00A66CDD" w:rsidRPr="001F0D9C">
        <w:rPr>
          <w:rFonts w:ascii="Times New Roman" w:eastAsia="Times New Roman" w:hAnsi="Times New Roman" w:cs="Times New Roman"/>
          <w:bCs/>
          <w:sz w:val="24"/>
          <w:szCs w:val="24"/>
        </w:rPr>
        <w:t>Following</w:t>
      </w:r>
      <w:r w:rsidR="008D6829" w:rsidRPr="001F0D9C">
        <w:rPr>
          <w:rFonts w:ascii="Times New Roman" w:eastAsia="Times New Roman" w:hAnsi="Times New Roman" w:cs="Times New Roman"/>
          <w:bCs/>
          <w:sz w:val="24"/>
          <w:szCs w:val="24"/>
        </w:rPr>
        <w:t xml:space="preserve"> the </w:t>
      </w:r>
      <w:r w:rsidR="00734BD6" w:rsidRPr="001F0D9C">
        <w:rPr>
          <w:rFonts w:ascii="Times New Roman" w:eastAsia="Times New Roman" w:hAnsi="Times New Roman" w:cs="Times New Roman"/>
          <w:bCs/>
          <w:sz w:val="24"/>
          <w:szCs w:val="24"/>
        </w:rPr>
        <w:t>two-phase</w:t>
      </w:r>
      <w:r w:rsidR="008D6829" w:rsidRPr="001F0D9C">
        <w:rPr>
          <w:rFonts w:ascii="Times New Roman" w:eastAsia="Times New Roman" w:hAnsi="Times New Roman" w:cs="Times New Roman"/>
          <w:bCs/>
          <w:sz w:val="24"/>
          <w:szCs w:val="24"/>
        </w:rPr>
        <w:t xml:space="preserve"> disasters [tsunami and earthquake], a major accident [categorized as Level 7] happened at the Fukushima Daiichi.</w:t>
      </w:r>
      <w:r w:rsidR="00AE3A0E" w:rsidRPr="001F0D9C">
        <w:rPr>
          <w:rFonts w:ascii="Times New Roman" w:eastAsia="Times New Roman" w:hAnsi="Times New Roman" w:cs="Times New Roman"/>
          <w:bCs/>
          <w:sz w:val="24"/>
          <w:szCs w:val="24"/>
        </w:rPr>
        <w:t xml:space="preserve"> There were teams that constantly had to </w:t>
      </w:r>
      <w:r w:rsidR="00DE35D5" w:rsidRPr="001F0D9C">
        <w:rPr>
          <w:rFonts w:ascii="Times New Roman" w:eastAsia="Times New Roman" w:hAnsi="Times New Roman" w:cs="Times New Roman"/>
          <w:bCs/>
          <w:sz w:val="24"/>
          <w:szCs w:val="24"/>
        </w:rPr>
        <w:lastRenderedPageBreak/>
        <w:t>assess</w:t>
      </w:r>
      <w:r w:rsidR="00AE3A0E" w:rsidRPr="001F0D9C">
        <w:rPr>
          <w:rFonts w:ascii="Times New Roman" w:eastAsia="Times New Roman" w:hAnsi="Times New Roman" w:cs="Times New Roman"/>
          <w:bCs/>
          <w:sz w:val="24"/>
          <w:szCs w:val="24"/>
        </w:rPr>
        <w:t xml:space="preserve"> radiological levels and evaluat</w:t>
      </w:r>
      <w:r w:rsidR="006B2ED3" w:rsidRPr="001F0D9C">
        <w:rPr>
          <w:rFonts w:ascii="Times New Roman" w:eastAsia="Times New Roman" w:hAnsi="Times New Roman" w:cs="Times New Roman"/>
          <w:bCs/>
          <w:sz w:val="24"/>
          <w:szCs w:val="24"/>
        </w:rPr>
        <w:t>e</w:t>
      </w:r>
      <w:r w:rsidR="00AE3A0E" w:rsidRPr="001F0D9C">
        <w:rPr>
          <w:rFonts w:ascii="Times New Roman" w:eastAsia="Times New Roman" w:hAnsi="Times New Roman" w:cs="Times New Roman"/>
          <w:bCs/>
          <w:sz w:val="24"/>
          <w:szCs w:val="24"/>
        </w:rPr>
        <w:t xml:space="preserve"> ke</w:t>
      </w:r>
      <w:r w:rsidR="00A66CDD" w:rsidRPr="001F0D9C">
        <w:rPr>
          <w:rFonts w:ascii="Times New Roman" w:eastAsia="Times New Roman" w:hAnsi="Times New Roman" w:cs="Times New Roman"/>
          <w:bCs/>
          <w:sz w:val="24"/>
          <w:szCs w:val="24"/>
        </w:rPr>
        <w:t>y</w:t>
      </w:r>
      <w:r w:rsidR="00AE3A0E" w:rsidRPr="001F0D9C">
        <w:rPr>
          <w:rFonts w:ascii="Times New Roman" w:eastAsia="Times New Roman" w:hAnsi="Times New Roman" w:cs="Times New Roman"/>
          <w:bCs/>
          <w:sz w:val="24"/>
          <w:szCs w:val="24"/>
        </w:rPr>
        <w:t xml:space="preserve"> nuclear</w:t>
      </w:r>
      <w:r w:rsidR="00A66CDD" w:rsidRPr="001F0D9C">
        <w:rPr>
          <w:rFonts w:ascii="Times New Roman" w:eastAsia="Times New Roman" w:hAnsi="Times New Roman" w:cs="Times New Roman"/>
          <w:bCs/>
          <w:sz w:val="24"/>
          <w:szCs w:val="24"/>
        </w:rPr>
        <w:t xml:space="preserve"> safety elements</w:t>
      </w:r>
      <w:r w:rsidR="006B2ED3" w:rsidRPr="001F0D9C">
        <w:rPr>
          <w:rFonts w:ascii="Times New Roman" w:eastAsia="Times New Roman" w:hAnsi="Times New Roman" w:cs="Times New Roman"/>
          <w:bCs/>
          <w:sz w:val="24"/>
          <w:szCs w:val="24"/>
        </w:rPr>
        <w:t xml:space="preserve"> (International Atomic Energy Agency, 2021)</w:t>
      </w:r>
      <w:r w:rsidR="00A66CDD" w:rsidRPr="001F0D9C">
        <w:rPr>
          <w:rFonts w:ascii="Times New Roman" w:eastAsia="Times New Roman" w:hAnsi="Times New Roman" w:cs="Times New Roman"/>
          <w:bCs/>
          <w:sz w:val="24"/>
          <w:szCs w:val="24"/>
        </w:rPr>
        <w:t>.</w:t>
      </w:r>
      <w:r w:rsidR="006B2ED3" w:rsidRPr="001F0D9C">
        <w:rPr>
          <w:rFonts w:ascii="Times New Roman" w:eastAsia="Times New Roman" w:hAnsi="Times New Roman" w:cs="Times New Roman"/>
          <w:bCs/>
          <w:sz w:val="24"/>
          <w:szCs w:val="24"/>
        </w:rPr>
        <w:t xml:space="preserve"> This allowed the International Nuclear and Radiological Event Scale (</w:t>
      </w:r>
      <w:r w:rsidR="00BF0BF5" w:rsidRPr="001F0D9C">
        <w:rPr>
          <w:rFonts w:ascii="Times New Roman" w:eastAsia="Times New Roman" w:hAnsi="Times New Roman" w:cs="Times New Roman"/>
          <w:bCs/>
          <w:sz w:val="24"/>
          <w:szCs w:val="24"/>
        </w:rPr>
        <w:t>IAEA) to</w:t>
      </w:r>
      <w:r w:rsidR="006B2ED3" w:rsidRPr="001F0D9C">
        <w:rPr>
          <w:rFonts w:ascii="Times New Roman" w:eastAsia="Times New Roman" w:hAnsi="Times New Roman" w:cs="Times New Roman"/>
          <w:bCs/>
          <w:sz w:val="24"/>
          <w:szCs w:val="24"/>
        </w:rPr>
        <w:t xml:space="preserve"> develop an action plan in September 2011 with the intention of ensuring nuclear safety </w:t>
      </w:r>
      <w:r w:rsidR="00BF0BF5" w:rsidRPr="001F0D9C">
        <w:rPr>
          <w:rFonts w:ascii="Times New Roman" w:eastAsia="Times New Roman" w:hAnsi="Times New Roman" w:cs="Times New Roman"/>
          <w:bCs/>
          <w:sz w:val="24"/>
          <w:szCs w:val="24"/>
        </w:rPr>
        <w:t xml:space="preserve">is established as a response to the accident. The IAEA used the European Stress Test to help improve safety requirements. </w:t>
      </w:r>
      <w:r w:rsidR="006B2ED3" w:rsidRPr="001F0D9C">
        <w:rPr>
          <w:rFonts w:ascii="Times New Roman" w:eastAsia="Times New Roman" w:hAnsi="Times New Roman" w:cs="Times New Roman"/>
          <w:bCs/>
          <w:sz w:val="24"/>
          <w:szCs w:val="24"/>
        </w:rPr>
        <w:t xml:space="preserve"> </w:t>
      </w:r>
    </w:p>
    <w:p w14:paraId="4C632B11" w14:textId="4488B0D3" w:rsidR="000251E1" w:rsidRPr="001F0D9C" w:rsidRDefault="000251E1"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The </w:t>
      </w:r>
      <w:r w:rsidR="003E638B" w:rsidRPr="001F0D9C">
        <w:rPr>
          <w:rFonts w:ascii="Times New Roman" w:eastAsia="Times New Roman" w:hAnsi="Times New Roman" w:cs="Times New Roman"/>
          <w:bCs/>
          <w:sz w:val="24"/>
          <w:szCs w:val="24"/>
        </w:rPr>
        <w:t xml:space="preserve">BP Deepwater Horizon oil spill served as a stark reminder of the importance of risk identification. </w:t>
      </w:r>
      <w:r w:rsidR="00534EE3" w:rsidRPr="001F0D9C">
        <w:rPr>
          <w:rFonts w:ascii="Times New Roman" w:eastAsia="Times New Roman" w:hAnsi="Times New Roman" w:cs="Times New Roman"/>
          <w:bCs/>
          <w:sz w:val="24"/>
          <w:szCs w:val="24"/>
        </w:rPr>
        <w:t>BP failed</w:t>
      </w:r>
      <w:r w:rsidR="003E638B" w:rsidRPr="001F0D9C">
        <w:rPr>
          <w:rFonts w:ascii="Times New Roman" w:eastAsia="Times New Roman" w:hAnsi="Times New Roman" w:cs="Times New Roman"/>
          <w:bCs/>
          <w:sz w:val="24"/>
          <w:szCs w:val="24"/>
        </w:rPr>
        <w:t xml:space="preserve"> to adequately identify the risks associated with deep-sea drilling, resulting in one the largest environmental disasters in history (Nationa</w:t>
      </w:r>
      <w:r w:rsidR="00534EE3" w:rsidRPr="001F0D9C">
        <w:rPr>
          <w:rFonts w:ascii="Times New Roman" w:eastAsia="Times New Roman" w:hAnsi="Times New Roman" w:cs="Times New Roman"/>
          <w:bCs/>
          <w:sz w:val="24"/>
          <w:szCs w:val="24"/>
        </w:rPr>
        <w:t>l Commission on the BP Deepwater Horizon Oil Spill and Offshore Drilling, 2011). The aftermath had devastating financial repercussions for BP and its stakeholders, including shareholders and the affected communities.</w:t>
      </w:r>
      <w:r w:rsidR="00CB39C6" w:rsidRPr="001F0D9C">
        <w:rPr>
          <w:rFonts w:ascii="Times New Roman" w:eastAsia="Times New Roman" w:hAnsi="Times New Roman" w:cs="Times New Roman"/>
          <w:bCs/>
          <w:sz w:val="24"/>
          <w:szCs w:val="24"/>
        </w:rPr>
        <w:t xml:space="preserve"> This real-life example underscores the need for thorough risk identification to protect not only an organization’s financial health but also the broader interests of stakeholders.</w:t>
      </w:r>
    </w:p>
    <w:p w14:paraId="43D57C68" w14:textId="77777777" w:rsidR="00933D83" w:rsidRPr="001F0D9C" w:rsidRDefault="00933D83" w:rsidP="001F0D9C">
      <w:pPr>
        <w:spacing w:line="276" w:lineRule="auto"/>
        <w:ind w:left="1170" w:firstLine="270"/>
        <w:jc w:val="both"/>
        <w:rPr>
          <w:rFonts w:ascii="Times New Roman" w:eastAsia="Times New Roman" w:hAnsi="Times New Roman" w:cs="Times New Roman"/>
          <w:bCs/>
          <w:sz w:val="24"/>
          <w:szCs w:val="24"/>
        </w:rPr>
      </w:pPr>
    </w:p>
    <w:p w14:paraId="0FF23660" w14:textId="3BB9FAED" w:rsidR="00933D83" w:rsidRPr="001F0D9C" w:rsidRDefault="00933D83"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Beyond individual organizations, risk identification is vital for maintaining economic stability at the national level. The Great Depression, 2008 global financial risk, fueled </w:t>
      </w:r>
      <w:r w:rsidR="00617BC6" w:rsidRPr="001F0D9C">
        <w:rPr>
          <w:rFonts w:ascii="Times New Roman" w:eastAsia="Times New Roman" w:hAnsi="Times New Roman" w:cs="Times New Roman"/>
          <w:bCs/>
          <w:sz w:val="24"/>
          <w:szCs w:val="24"/>
        </w:rPr>
        <w:t>by a lack of risk identification in various financial institutions, led to a severe global recession</w:t>
      </w:r>
      <w:r w:rsidR="00AD24E6" w:rsidRPr="001F0D9C">
        <w:rPr>
          <w:rFonts w:ascii="Times New Roman" w:eastAsia="Times New Roman" w:hAnsi="Times New Roman" w:cs="Times New Roman"/>
          <w:bCs/>
          <w:sz w:val="24"/>
          <w:szCs w:val="24"/>
        </w:rPr>
        <w:t xml:space="preserve"> (Financial Crisis Inquiry Commission, 2011)</w:t>
      </w:r>
      <w:r w:rsidR="00617BC6" w:rsidRPr="001F0D9C">
        <w:rPr>
          <w:rFonts w:ascii="Times New Roman" w:eastAsia="Times New Roman" w:hAnsi="Times New Roman" w:cs="Times New Roman"/>
          <w:bCs/>
          <w:sz w:val="24"/>
          <w:szCs w:val="24"/>
        </w:rPr>
        <w:t xml:space="preserve">. This empirical evidence underscores that failures in risk identification can have far-reaching economic </w:t>
      </w:r>
      <w:r w:rsidR="00E51928" w:rsidRPr="001F0D9C">
        <w:rPr>
          <w:rFonts w:ascii="Times New Roman" w:eastAsia="Times New Roman" w:hAnsi="Times New Roman" w:cs="Times New Roman"/>
          <w:bCs/>
          <w:sz w:val="24"/>
          <w:szCs w:val="24"/>
        </w:rPr>
        <w:t>consequences</w:t>
      </w:r>
      <w:r w:rsidR="00617BC6" w:rsidRPr="001F0D9C">
        <w:rPr>
          <w:rFonts w:ascii="Times New Roman" w:eastAsia="Times New Roman" w:hAnsi="Times New Roman" w:cs="Times New Roman"/>
          <w:bCs/>
          <w:sz w:val="24"/>
          <w:szCs w:val="24"/>
        </w:rPr>
        <w:t xml:space="preserve">, affecting not only individual businesses but entire economies. Robust risk identification practices </w:t>
      </w:r>
      <w:r w:rsidR="001F0407" w:rsidRPr="001F0D9C">
        <w:rPr>
          <w:rFonts w:ascii="Times New Roman" w:eastAsia="Times New Roman" w:hAnsi="Times New Roman" w:cs="Times New Roman"/>
          <w:bCs/>
          <w:sz w:val="24"/>
          <w:szCs w:val="24"/>
        </w:rPr>
        <w:t>are essential to ensure that financial systems remain resilient in the face of unexpected shocks.</w:t>
      </w:r>
    </w:p>
    <w:p w14:paraId="01997B66" w14:textId="77777777" w:rsidR="00700F23" w:rsidRPr="001F0D9C" w:rsidRDefault="00700F23" w:rsidP="001F0D9C">
      <w:pPr>
        <w:spacing w:line="276" w:lineRule="auto"/>
        <w:ind w:left="1170" w:firstLine="270"/>
        <w:jc w:val="both"/>
        <w:rPr>
          <w:rFonts w:ascii="Times New Roman" w:eastAsia="Times New Roman" w:hAnsi="Times New Roman" w:cs="Times New Roman"/>
          <w:bCs/>
          <w:sz w:val="24"/>
          <w:szCs w:val="24"/>
        </w:rPr>
      </w:pPr>
    </w:p>
    <w:p w14:paraId="7004A919" w14:textId="3B7B54EC" w:rsidR="00700F23" w:rsidRPr="001F0D9C" w:rsidRDefault="00700F23"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In summary, risk identification is a critical element of risk financing and treasury management, with real-life examples and empirical evidence highlighting its indispensable role in preventing financial catastrophes, protecting </w:t>
      </w:r>
      <w:r w:rsidR="00611873" w:rsidRPr="001F0D9C">
        <w:rPr>
          <w:rFonts w:ascii="Times New Roman" w:eastAsia="Times New Roman" w:hAnsi="Times New Roman" w:cs="Times New Roman"/>
          <w:bCs/>
          <w:sz w:val="24"/>
          <w:szCs w:val="24"/>
        </w:rPr>
        <w:t>stakeholders’</w:t>
      </w:r>
      <w:r w:rsidRPr="001F0D9C">
        <w:rPr>
          <w:rFonts w:ascii="Times New Roman" w:eastAsia="Times New Roman" w:hAnsi="Times New Roman" w:cs="Times New Roman"/>
          <w:bCs/>
          <w:sz w:val="24"/>
          <w:szCs w:val="24"/>
        </w:rPr>
        <w:t xml:space="preserve"> interests, and maintaining economic stability. These examples </w:t>
      </w:r>
      <w:r w:rsidR="00611873" w:rsidRPr="001F0D9C">
        <w:rPr>
          <w:rFonts w:ascii="Times New Roman" w:eastAsia="Times New Roman" w:hAnsi="Times New Roman" w:cs="Times New Roman"/>
          <w:bCs/>
          <w:sz w:val="24"/>
          <w:szCs w:val="24"/>
        </w:rPr>
        <w:t>emphasize that comprehensive risk identification practices are important for organizations and economies to thrive in an increasingly complex and uncertain world.</w:t>
      </w:r>
    </w:p>
    <w:p w14:paraId="3163A553" w14:textId="7D6A987F" w:rsidR="00927CCB" w:rsidRPr="001F0D9C" w:rsidRDefault="00737D0A" w:rsidP="001F0D9C">
      <w:pPr>
        <w:spacing w:line="276" w:lineRule="auto"/>
        <w:ind w:left="408"/>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ab/>
      </w:r>
    </w:p>
    <w:p w14:paraId="6EC72CD3" w14:textId="66E60639" w:rsidR="00161877" w:rsidRPr="001F0D9C" w:rsidRDefault="00D82A35" w:rsidP="001F0D9C">
      <w:pPr>
        <w:pStyle w:val="Heading3"/>
        <w:numPr>
          <w:ilvl w:val="1"/>
          <w:numId w:val="3"/>
        </w:numPr>
        <w:spacing w:line="276" w:lineRule="auto"/>
        <w:jc w:val="both"/>
        <w:rPr>
          <w:rFonts w:ascii="Times New Roman" w:hAnsi="Times New Roman" w:cs="Times New Roman"/>
          <w:sz w:val="24"/>
          <w:szCs w:val="24"/>
          <w:u w:val="single"/>
        </w:rPr>
      </w:pPr>
      <w:bookmarkStart w:id="13" w:name="_Toc146481279"/>
      <w:r w:rsidRPr="001F0D9C">
        <w:rPr>
          <w:rFonts w:ascii="Times New Roman" w:hAnsi="Times New Roman" w:cs="Times New Roman"/>
          <w:sz w:val="24"/>
          <w:szCs w:val="24"/>
          <w:u w:val="single"/>
        </w:rPr>
        <w:t>Risk Assessment</w:t>
      </w:r>
      <w:bookmarkEnd w:id="13"/>
    </w:p>
    <w:p w14:paraId="2B689F87" w14:textId="17919464" w:rsidR="00FF150F" w:rsidRPr="001F0D9C" w:rsidRDefault="00893E09" w:rsidP="001F0D9C">
      <w:pPr>
        <w:spacing w:line="276" w:lineRule="auto"/>
        <w:ind w:left="11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The need for risk assessment in risk financing and treasury management, encompassing quantitative analysis and scenario analysis, is paramount for ensuring </w:t>
      </w:r>
      <w:r w:rsidRPr="001F0D9C">
        <w:rPr>
          <w:rFonts w:ascii="Times New Roman" w:eastAsia="Times New Roman" w:hAnsi="Times New Roman" w:cs="Times New Roman"/>
          <w:bCs/>
          <w:sz w:val="24"/>
          <w:szCs w:val="24"/>
        </w:rPr>
        <w:lastRenderedPageBreak/>
        <w:t>financial stability and mitigating potential threats. Real-life examples and empirical evidence underscore the significance of these methodologies in effective risk management.</w:t>
      </w:r>
      <w:r w:rsidR="00FF150F" w:rsidRPr="001F0D9C">
        <w:rPr>
          <w:rFonts w:ascii="Times New Roman" w:eastAsia="Times New Roman" w:hAnsi="Times New Roman" w:cs="Times New Roman"/>
          <w:bCs/>
          <w:sz w:val="24"/>
          <w:szCs w:val="24"/>
        </w:rPr>
        <w:t xml:space="preserve"> For instance, the collapse of Enron in 2001 provides an example of the consequences of inadequate risk assessment. Enron’s failure was due, in part, to a lack of proper risk assessment and financial transparency (Segal, 2023). This real-life case demonstrates that failing to conduct comprehensive risk analysis can lead to catastrophic consequences for organizations and their stakeholders. Empirical evidence from Enron’s downfall emphasizes the need for rigorous risk assessment as a foundation for effective risk mitigation.</w:t>
      </w:r>
    </w:p>
    <w:p w14:paraId="6955F3DD" w14:textId="77777777" w:rsidR="00893E09" w:rsidRPr="001F0D9C" w:rsidRDefault="00893E09" w:rsidP="001F0D9C">
      <w:pPr>
        <w:spacing w:line="276" w:lineRule="auto"/>
        <w:ind w:left="1170"/>
        <w:jc w:val="both"/>
        <w:rPr>
          <w:rFonts w:ascii="Times New Roman" w:eastAsia="Times New Roman" w:hAnsi="Times New Roman" w:cs="Times New Roman"/>
          <w:bCs/>
          <w:sz w:val="24"/>
          <w:szCs w:val="24"/>
        </w:rPr>
      </w:pPr>
    </w:p>
    <w:p w14:paraId="64DFFA0E" w14:textId="3977C433" w:rsidR="00A26344" w:rsidRPr="001F0D9C" w:rsidRDefault="00A26344" w:rsidP="001F0D9C">
      <w:pPr>
        <w:spacing w:line="276" w:lineRule="auto"/>
        <w:ind w:left="117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t>Quantitative Analysis</w:t>
      </w:r>
    </w:p>
    <w:p w14:paraId="06C417A8" w14:textId="2C8E449F" w:rsidR="00C664F6" w:rsidRPr="001F0D9C" w:rsidRDefault="0086289A"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Quantitative analysis </w:t>
      </w:r>
      <w:r w:rsidR="00575B8A" w:rsidRPr="001F0D9C">
        <w:rPr>
          <w:rFonts w:ascii="Times New Roman" w:eastAsia="Times New Roman" w:hAnsi="Times New Roman" w:cs="Times New Roman"/>
          <w:bCs/>
          <w:sz w:val="24"/>
          <w:szCs w:val="24"/>
        </w:rPr>
        <w:t>employs</w:t>
      </w:r>
      <w:r w:rsidR="004D62ED" w:rsidRPr="001F0D9C">
        <w:rPr>
          <w:rFonts w:ascii="Times New Roman" w:eastAsia="Times New Roman" w:hAnsi="Times New Roman" w:cs="Times New Roman"/>
          <w:bCs/>
          <w:sz w:val="24"/>
          <w:szCs w:val="24"/>
        </w:rPr>
        <w:t xml:space="preserve"> statistical models and data analysis to assess risks quantitatively. For instance, Value at Risk (VaR) models were widely used in the financial industry to assess potential losses during the 2008 global financial crisis. The VaR is a statistical metric used by commercial and investment banks to quantify the extent </w:t>
      </w:r>
      <w:r w:rsidR="003F5018" w:rsidRPr="001F0D9C">
        <w:rPr>
          <w:rFonts w:ascii="Times New Roman" w:eastAsia="Times New Roman" w:hAnsi="Times New Roman" w:cs="Times New Roman"/>
          <w:bCs/>
          <w:sz w:val="24"/>
          <w:szCs w:val="24"/>
        </w:rPr>
        <w:t>of potential losses in their institutional portfolios and provide their probabilities (Kenton, 2023)</w:t>
      </w:r>
      <w:r w:rsidR="00FC6FB3" w:rsidRPr="001F0D9C">
        <w:rPr>
          <w:rFonts w:ascii="Times New Roman" w:eastAsia="Times New Roman" w:hAnsi="Times New Roman" w:cs="Times New Roman"/>
          <w:bCs/>
          <w:sz w:val="24"/>
          <w:szCs w:val="24"/>
        </w:rPr>
        <w:t xml:space="preserve">. Kenton (2023) explained that these models are used to provide a measurement of the level of risk exposure and ensure that it is controlled. </w:t>
      </w:r>
    </w:p>
    <w:p w14:paraId="04CA156F" w14:textId="630EDE41" w:rsidR="00C664F6" w:rsidRPr="001F0D9C" w:rsidRDefault="00FC6FB3"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The formula used</w:t>
      </w:r>
      <w:r w:rsidR="00B901FA" w:rsidRPr="001F0D9C">
        <w:rPr>
          <w:rFonts w:ascii="Times New Roman" w:eastAsia="Times New Roman" w:hAnsi="Times New Roman" w:cs="Times New Roman"/>
          <w:bCs/>
          <w:sz w:val="24"/>
          <w:szCs w:val="24"/>
        </w:rPr>
        <w:t xml:space="preserve"> [historical method]</w:t>
      </w:r>
      <w:r w:rsidRPr="001F0D9C">
        <w:rPr>
          <w:rFonts w:ascii="Times New Roman" w:eastAsia="Times New Roman" w:hAnsi="Times New Roman" w:cs="Times New Roman"/>
          <w:bCs/>
          <w:sz w:val="24"/>
          <w:szCs w:val="24"/>
        </w:rPr>
        <w:t xml:space="preserve"> to calculate VaR is </w:t>
      </w:r>
      <m:oMath>
        <m:r>
          <w:rPr>
            <w:rFonts w:ascii="Cambria Math" w:eastAsia="Times New Roman" w:hAnsi="Cambria Math" w:cs="Times New Roman"/>
            <w:sz w:val="24"/>
            <w:szCs w:val="24"/>
          </w:rPr>
          <m:t>VaR=</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n</m:t>
            </m:r>
          </m:sub>
        </m:sSub>
        <m:d>
          <m:dPr>
            <m:ctrlPr>
              <w:rPr>
                <w:rFonts w:ascii="Cambria Math" w:eastAsia="Times New Roman" w:hAnsi="Cambria Math" w:cs="Times New Roman"/>
                <w:bCs/>
                <w:i/>
                <w:sz w:val="24"/>
                <w:szCs w:val="24"/>
              </w:rPr>
            </m:ctrlPr>
          </m:dPr>
          <m:e>
            <m:f>
              <m:fPr>
                <m:ctrlPr>
                  <w:rPr>
                    <w:rFonts w:ascii="Cambria Math" w:eastAsia="Times New Roman" w:hAnsi="Cambria Math" w:cs="Times New Roman"/>
                    <w:bCs/>
                    <w:i/>
                    <w:sz w:val="24"/>
                    <w:szCs w:val="24"/>
                  </w:rPr>
                </m:ctrlPr>
              </m:fPr>
              <m:num>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p</m:t>
                    </m:r>
                  </m:sub>
                </m:sSub>
              </m:num>
              <m:den>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p-1</m:t>
                    </m:r>
                  </m:sub>
                </m:sSub>
              </m:den>
            </m:f>
          </m:e>
        </m:d>
        <m:r>
          <w:rPr>
            <w:rFonts w:ascii="Cambria Math" w:eastAsia="Times New Roman" w:hAnsi="Cambria Math" w:cs="Times New Roman"/>
            <w:sz w:val="24"/>
            <w:szCs w:val="24"/>
          </w:rPr>
          <m:t xml:space="preserve">; </m:t>
        </m:r>
      </m:oMath>
      <w:r w:rsidRPr="001F0D9C">
        <w:rPr>
          <w:rFonts w:ascii="Times New Roman" w:eastAsia="Times New Roman" w:hAnsi="Times New Roman" w:cs="Times New Roman"/>
          <w:bCs/>
          <w:sz w:val="24"/>
          <w:szCs w:val="24"/>
        </w:rPr>
        <w:t xml:space="preserve">where </w:t>
      </w:r>
      <w:r w:rsidR="00B901FA" w:rsidRPr="001F0D9C">
        <w:rPr>
          <w:rFonts w:ascii="Times New Roman" w:eastAsia="Times New Roman" w:hAnsi="Times New Roman" w:cs="Times New Roman"/>
          <w:bCs/>
          <w:sz w:val="24"/>
          <w:szCs w:val="24"/>
        </w:rPr>
        <w:t xml:space="preserve">n is number days reflecting the historical timeframe the data was obtained for, and </w:t>
      </w:r>
      <m:oMath>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p</m:t>
            </m:r>
          </m:sub>
        </m:sSub>
        <m:r>
          <w:rPr>
            <w:rFonts w:ascii="Cambria Math" w:eastAsia="Times New Roman" w:hAnsi="Cambria Math" w:cs="Times New Roman"/>
            <w:sz w:val="24"/>
            <w:szCs w:val="24"/>
          </w:rPr>
          <m:t xml:space="preserve"> </m:t>
        </m:r>
      </m:oMath>
      <w:r w:rsidR="00B901FA" w:rsidRPr="001F0D9C">
        <w:rPr>
          <w:rFonts w:ascii="Times New Roman" w:eastAsia="Times New Roman" w:hAnsi="Times New Roman" w:cs="Times New Roman"/>
          <w:bCs/>
          <w:sz w:val="24"/>
          <w:szCs w:val="24"/>
        </w:rPr>
        <w:t>is the number of variables on day p</w:t>
      </w:r>
      <w:r w:rsidR="003D3E1C" w:rsidRPr="001F0D9C">
        <w:rPr>
          <w:rFonts w:ascii="Times New Roman" w:eastAsia="Times New Roman" w:hAnsi="Times New Roman" w:cs="Times New Roman"/>
          <w:bCs/>
          <w:sz w:val="24"/>
          <w:szCs w:val="24"/>
        </w:rPr>
        <w:t xml:space="preserve"> (Jassy, 2023). T</w:t>
      </w:r>
      <w:r w:rsidR="00B901FA" w:rsidRPr="001F0D9C">
        <w:rPr>
          <w:rFonts w:ascii="Times New Roman" w:eastAsia="Times New Roman" w:hAnsi="Times New Roman" w:cs="Times New Roman"/>
          <w:bCs/>
          <w:sz w:val="24"/>
          <w:szCs w:val="24"/>
        </w:rPr>
        <w:t xml:space="preserve">his formula provides the calculate </w:t>
      </w:r>
      <w:r w:rsidR="00170548">
        <w:rPr>
          <w:rFonts w:ascii="Times New Roman" w:eastAsia="Times New Roman" w:hAnsi="Times New Roman" w:cs="Times New Roman"/>
          <w:bCs/>
          <w:sz w:val="24"/>
          <w:szCs w:val="24"/>
        </w:rPr>
        <w:t xml:space="preserve">the </w:t>
      </w:r>
      <w:r w:rsidR="00B901FA" w:rsidRPr="001F0D9C">
        <w:rPr>
          <w:rFonts w:ascii="Times New Roman" w:eastAsia="Times New Roman" w:hAnsi="Times New Roman" w:cs="Times New Roman"/>
          <w:bCs/>
          <w:sz w:val="24"/>
          <w:szCs w:val="24"/>
        </w:rPr>
        <w:t>change</w:t>
      </w:r>
      <w:r w:rsidR="00170548">
        <w:rPr>
          <w:rFonts w:ascii="Times New Roman" w:eastAsia="Times New Roman" w:hAnsi="Times New Roman" w:cs="Times New Roman"/>
          <w:bCs/>
          <w:sz w:val="24"/>
          <w:szCs w:val="24"/>
        </w:rPr>
        <w:t xml:space="preserve"> in </w:t>
      </w:r>
      <w:r w:rsidR="00170548" w:rsidRPr="001F0D9C">
        <w:rPr>
          <w:rFonts w:ascii="Times New Roman" w:eastAsia="Times New Roman" w:hAnsi="Times New Roman" w:cs="Times New Roman"/>
          <w:bCs/>
          <w:sz w:val="24"/>
          <w:szCs w:val="24"/>
        </w:rPr>
        <w:t>percent</w:t>
      </w:r>
      <w:r w:rsidR="00170548">
        <w:rPr>
          <w:rFonts w:ascii="Times New Roman" w:eastAsia="Times New Roman" w:hAnsi="Times New Roman" w:cs="Times New Roman"/>
          <w:bCs/>
          <w:sz w:val="24"/>
          <w:szCs w:val="24"/>
        </w:rPr>
        <w:t xml:space="preserve"> </w:t>
      </w:r>
      <w:r w:rsidR="00170548" w:rsidRPr="001F0D9C">
        <w:rPr>
          <w:rFonts w:ascii="Times New Roman" w:eastAsia="Times New Roman" w:hAnsi="Times New Roman" w:cs="Times New Roman"/>
          <w:bCs/>
          <w:sz w:val="24"/>
          <w:szCs w:val="24"/>
        </w:rPr>
        <w:t>for the past 252 trading days [in a year]</w:t>
      </w:r>
      <w:r w:rsidR="00170548">
        <w:rPr>
          <w:rFonts w:ascii="Times New Roman" w:eastAsia="Times New Roman" w:hAnsi="Times New Roman" w:cs="Times New Roman"/>
          <w:bCs/>
          <w:sz w:val="24"/>
          <w:szCs w:val="24"/>
        </w:rPr>
        <w:t xml:space="preserve"> associated with </w:t>
      </w:r>
      <w:r w:rsidR="00B901FA" w:rsidRPr="001F0D9C">
        <w:rPr>
          <w:rFonts w:ascii="Times New Roman" w:eastAsia="Times New Roman" w:hAnsi="Times New Roman" w:cs="Times New Roman"/>
          <w:bCs/>
          <w:sz w:val="24"/>
          <w:szCs w:val="24"/>
        </w:rPr>
        <w:t>each risk factor corresponding to 252 scenarios for the security’s future value (Jassy, 2023).</w:t>
      </w:r>
      <w:r w:rsidR="000C72AF" w:rsidRPr="001F0D9C">
        <w:rPr>
          <w:rFonts w:ascii="Times New Roman" w:eastAsia="Times New Roman" w:hAnsi="Times New Roman" w:cs="Times New Roman"/>
          <w:bCs/>
          <w:sz w:val="24"/>
          <w:szCs w:val="24"/>
        </w:rPr>
        <w:t xml:space="preserve"> This model indicates the </w:t>
      </w:r>
      <w:r w:rsidR="00025C7F" w:rsidRPr="001F0D9C">
        <w:rPr>
          <w:rFonts w:ascii="Times New Roman" w:eastAsia="Times New Roman" w:hAnsi="Times New Roman" w:cs="Times New Roman"/>
          <w:bCs/>
          <w:sz w:val="24"/>
          <w:szCs w:val="24"/>
        </w:rPr>
        <w:t>likely loss to be experienced on an investment</w:t>
      </w:r>
      <w:r w:rsidR="000C72AF" w:rsidRPr="001F0D9C">
        <w:rPr>
          <w:rFonts w:ascii="Times New Roman" w:eastAsia="Times New Roman" w:hAnsi="Times New Roman" w:cs="Times New Roman"/>
          <w:bCs/>
          <w:sz w:val="24"/>
          <w:szCs w:val="24"/>
        </w:rPr>
        <w:t xml:space="preserve"> at various confidence intervals</w:t>
      </w:r>
      <w:r w:rsidR="00025C7F" w:rsidRPr="001F0D9C">
        <w:rPr>
          <w:rFonts w:ascii="Times New Roman" w:eastAsia="Times New Roman" w:hAnsi="Times New Roman" w:cs="Times New Roman"/>
          <w:bCs/>
          <w:sz w:val="24"/>
          <w:szCs w:val="24"/>
        </w:rPr>
        <w:t>. When a calculated VaR is high it implies that investors are more likely to be confident in the projected outcome for their investments. Conversely, a high projected outcome according to Jassy (2023) implies avoid investments because the possible dollar loss is higher.</w:t>
      </w:r>
      <w:r w:rsidR="00C664F6" w:rsidRPr="001F0D9C">
        <w:rPr>
          <w:rFonts w:ascii="Times New Roman" w:eastAsia="Times New Roman" w:hAnsi="Times New Roman" w:cs="Times New Roman"/>
          <w:bCs/>
          <w:sz w:val="24"/>
          <w:szCs w:val="24"/>
        </w:rPr>
        <w:t xml:space="preserve"> </w:t>
      </w:r>
    </w:p>
    <w:p w14:paraId="7E5FAA62" w14:textId="2B564FE5" w:rsidR="004D62ED" w:rsidRPr="001F0D9C" w:rsidRDefault="00C664F6"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The internal VaR estimates for seven large international banks when examined during 2007-2009 financial crisis were found to have inaccuracies (Ha Tran &amp; Mai Tran, 2023). These values were mostly overstated and indicated mixed performance and expected outcomes.</w:t>
      </w:r>
      <w:r w:rsidR="00DA0D13" w:rsidRPr="001F0D9C">
        <w:rPr>
          <w:rFonts w:ascii="Times New Roman" w:eastAsia="Times New Roman" w:hAnsi="Times New Roman" w:cs="Times New Roman"/>
          <w:bCs/>
          <w:sz w:val="24"/>
          <w:szCs w:val="24"/>
        </w:rPr>
        <w:t xml:space="preserve"> Consequently, these banks performed very poorly due to their choice of faulty VaR models.</w:t>
      </w:r>
    </w:p>
    <w:p w14:paraId="402EF227" w14:textId="77777777" w:rsidR="00A26344" w:rsidRPr="001F0D9C" w:rsidRDefault="00A26344" w:rsidP="001F0D9C">
      <w:pPr>
        <w:spacing w:line="276" w:lineRule="auto"/>
        <w:ind w:left="1170"/>
        <w:jc w:val="both"/>
        <w:rPr>
          <w:rFonts w:ascii="Times New Roman" w:eastAsia="Times New Roman" w:hAnsi="Times New Roman" w:cs="Times New Roman"/>
          <w:bCs/>
          <w:sz w:val="24"/>
          <w:szCs w:val="24"/>
        </w:rPr>
      </w:pPr>
    </w:p>
    <w:p w14:paraId="51E3D4BE" w14:textId="1385BBE9" w:rsidR="00A26344" w:rsidRPr="001F0D9C" w:rsidRDefault="00A26344" w:rsidP="001F0D9C">
      <w:pPr>
        <w:spacing w:line="276" w:lineRule="auto"/>
        <w:ind w:left="117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lastRenderedPageBreak/>
        <w:t>Scenario Analysis</w:t>
      </w:r>
    </w:p>
    <w:p w14:paraId="388A61E3" w14:textId="77777777" w:rsidR="002677F2" w:rsidRPr="001F0D9C" w:rsidRDefault="0086289A"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Scenario analysis creates scenarios to understand how different events may impact your organization</w:t>
      </w:r>
      <w:r w:rsidR="005B2D1C" w:rsidRPr="001F0D9C">
        <w:rPr>
          <w:rFonts w:ascii="Times New Roman" w:eastAsia="Times New Roman" w:hAnsi="Times New Roman" w:cs="Times New Roman"/>
          <w:bCs/>
          <w:sz w:val="24"/>
          <w:szCs w:val="24"/>
        </w:rPr>
        <w:t>.</w:t>
      </w:r>
      <w:r w:rsidRPr="001F0D9C">
        <w:rPr>
          <w:rFonts w:ascii="Times New Roman" w:eastAsia="Times New Roman" w:hAnsi="Times New Roman" w:cs="Times New Roman"/>
          <w:bCs/>
          <w:sz w:val="24"/>
          <w:szCs w:val="24"/>
        </w:rPr>
        <w:t xml:space="preserve"> A notable example is </w:t>
      </w:r>
      <w:r w:rsidR="00522D08" w:rsidRPr="001F0D9C">
        <w:rPr>
          <w:rFonts w:ascii="Times New Roman" w:eastAsia="Times New Roman" w:hAnsi="Times New Roman" w:cs="Times New Roman"/>
          <w:bCs/>
          <w:sz w:val="24"/>
          <w:szCs w:val="24"/>
        </w:rPr>
        <w:t xml:space="preserve">the “Black Swan” scenario, where unforeseen events have a significant impact, as seen in the COVID-19 pandemic. Taleb (2010) </w:t>
      </w:r>
      <w:r w:rsidR="003832BF" w:rsidRPr="001F0D9C">
        <w:rPr>
          <w:rFonts w:ascii="Times New Roman" w:eastAsia="Times New Roman" w:hAnsi="Times New Roman" w:cs="Times New Roman"/>
          <w:bCs/>
          <w:sz w:val="24"/>
          <w:szCs w:val="24"/>
        </w:rPr>
        <w:t xml:space="preserve">a well-known finance professor shared that </w:t>
      </w:r>
      <w:r w:rsidR="00E7755A" w:rsidRPr="001F0D9C">
        <w:rPr>
          <w:rFonts w:ascii="Times New Roman" w:eastAsia="Times New Roman" w:hAnsi="Times New Roman" w:cs="Times New Roman"/>
          <w:bCs/>
          <w:sz w:val="24"/>
          <w:szCs w:val="24"/>
        </w:rPr>
        <w:t xml:space="preserve">the 2008 global financial crisis is categorized as a Black Swan event because it is rare and impossible to predict but usually </w:t>
      </w:r>
      <w:r w:rsidR="00141663" w:rsidRPr="001F0D9C">
        <w:rPr>
          <w:rFonts w:ascii="Times New Roman" w:eastAsia="Times New Roman" w:hAnsi="Times New Roman" w:cs="Times New Roman"/>
          <w:bCs/>
          <w:sz w:val="24"/>
          <w:szCs w:val="24"/>
        </w:rPr>
        <w:t>has</w:t>
      </w:r>
      <w:r w:rsidR="00E7755A" w:rsidRPr="001F0D9C">
        <w:rPr>
          <w:rFonts w:ascii="Times New Roman" w:eastAsia="Times New Roman" w:hAnsi="Times New Roman" w:cs="Times New Roman"/>
          <w:bCs/>
          <w:sz w:val="24"/>
          <w:szCs w:val="24"/>
        </w:rPr>
        <w:t xml:space="preserve"> a catastrophic impact when it occurs. This crisis gravely impacted the global financial landscape including JP Morgan Chase investment and Lehman </w:t>
      </w:r>
      <w:r w:rsidR="00141663" w:rsidRPr="001F0D9C">
        <w:rPr>
          <w:rFonts w:ascii="Times New Roman" w:eastAsia="Times New Roman" w:hAnsi="Times New Roman" w:cs="Times New Roman"/>
          <w:bCs/>
          <w:sz w:val="24"/>
          <w:szCs w:val="24"/>
        </w:rPr>
        <w:t>brothers’</w:t>
      </w:r>
      <w:r w:rsidR="00E7755A" w:rsidRPr="001F0D9C">
        <w:rPr>
          <w:rFonts w:ascii="Times New Roman" w:eastAsia="Times New Roman" w:hAnsi="Times New Roman" w:cs="Times New Roman"/>
          <w:bCs/>
          <w:sz w:val="24"/>
          <w:szCs w:val="24"/>
        </w:rPr>
        <w:t xml:space="preserve"> which </w:t>
      </w:r>
      <w:r w:rsidR="00141663" w:rsidRPr="001F0D9C">
        <w:rPr>
          <w:rFonts w:ascii="Times New Roman" w:eastAsia="Times New Roman" w:hAnsi="Times New Roman" w:cs="Times New Roman"/>
          <w:bCs/>
          <w:sz w:val="24"/>
          <w:szCs w:val="24"/>
        </w:rPr>
        <w:t xml:space="preserve">crashed. The Investopedia Team (2022) also shared that Zimbabwe saw its worst case of hyperinflation in 2008 resulting from the Great Depression where the rate peaked at al least 79.6 billion percent. </w:t>
      </w:r>
    </w:p>
    <w:p w14:paraId="65C7EF89" w14:textId="7CECBAD5" w:rsidR="005B2D1C" w:rsidRPr="001F0D9C" w:rsidRDefault="00141663"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The most recent Black Swan event experienced globally was the COVID-19 in 2020 which turned the whole world upside down causing governments to restrict travelling and shutdown various activities in their countries as a risk mitigation mechanism to curtail the spread of the virus. </w:t>
      </w:r>
      <w:r w:rsidR="002677F2" w:rsidRPr="001F0D9C">
        <w:rPr>
          <w:rFonts w:ascii="Times New Roman" w:eastAsia="Times New Roman" w:hAnsi="Times New Roman" w:cs="Times New Roman"/>
          <w:bCs/>
          <w:sz w:val="24"/>
          <w:szCs w:val="24"/>
        </w:rPr>
        <w:t>Thus,</w:t>
      </w:r>
      <w:r w:rsidRPr="001F0D9C">
        <w:rPr>
          <w:rFonts w:ascii="Times New Roman" w:eastAsia="Times New Roman" w:hAnsi="Times New Roman" w:cs="Times New Roman"/>
          <w:bCs/>
          <w:sz w:val="24"/>
          <w:szCs w:val="24"/>
        </w:rPr>
        <w:t xml:space="preserve"> causing disruptions of various economies and financial markets across the world.</w:t>
      </w:r>
      <w:r w:rsidR="002677F2" w:rsidRPr="001F0D9C">
        <w:rPr>
          <w:rFonts w:ascii="Times New Roman" w:eastAsia="Times New Roman" w:hAnsi="Times New Roman" w:cs="Times New Roman"/>
          <w:bCs/>
          <w:sz w:val="24"/>
          <w:szCs w:val="24"/>
        </w:rPr>
        <w:t xml:space="preserve"> This pandemic serves as a compelling illustration for scenario analysis in risk assessment. Organizations that had conducted scenario planning for pandemics were better equipped to respond swiftly and effectively to the crisis.</w:t>
      </w:r>
      <w:r w:rsidR="00975AD5" w:rsidRPr="001F0D9C">
        <w:rPr>
          <w:rFonts w:ascii="Times New Roman" w:eastAsia="Times New Roman" w:hAnsi="Times New Roman" w:cs="Times New Roman"/>
          <w:bCs/>
          <w:sz w:val="24"/>
          <w:szCs w:val="24"/>
        </w:rPr>
        <w:t xml:space="preserve"> For instance, the U.S. Centers for Disease Control and Prevention (CDC) had developed pandemic response scenarios, enabling a coordinated and data-driven response (Centers for Disease Control and Prevention, 202</w:t>
      </w:r>
      <w:r w:rsidR="008E7F35" w:rsidRPr="001F0D9C">
        <w:rPr>
          <w:rFonts w:ascii="Times New Roman" w:eastAsia="Times New Roman" w:hAnsi="Times New Roman" w:cs="Times New Roman"/>
          <w:bCs/>
          <w:sz w:val="24"/>
          <w:szCs w:val="24"/>
        </w:rPr>
        <w:t>2</w:t>
      </w:r>
      <w:r w:rsidR="00975AD5" w:rsidRPr="001F0D9C">
        <w:rPr>
          <w:rFonts w:ascii="Times New Roman" w:eastAsia="Times New Roman" w:hAnsi="Times New Roman" w:cs="Times New Roman"/>
          <w:bCs/>
          <w:sz w:val="24"/>
          <w:szCs w:val="24"/>
        </w:rPr>
        <w:t>).</w:t>
      </w:r>
      <w:r w:rsidR="006126D5" w:rsidRPr="001F0D9C">
        <w:rPr>
          <w:rFonts w:ascii="Times New Roman" w:eastAsia="Times New Roman" w:hAnsi="Times New Roman" w:cs="Times New Roman"/>
          <w:bCs/>
          <w:sz w:val="24"/>
          <w:szCs w:val="24"/>
        </w:rPr>
        <w:t xml:space="preserve"> This </w:t>
      </w:r>
      <w:r w:rsidR="00481A94" w:rsidRPr="001F0D9C">
        <w:rPr>
          <w:rFonts w:ascii="Times New Roman" w:eastAsia="Times New Roman" w:hAnsi="Times New Roman" w:cs="Times New Roman"/>
          <w:bCs/>
          <w:sz w:val="24"/>
          <w:szCs w:val="24"/>
        </w:rPr>
        <w:t>evidence underscores the critical role of scenario analysis in anticipating and preparing for unforeseen events.</w:t>
      </w:r>
    </w:p>
    <w:p w14:paraId="07370DA8" w14:textId="77777777" w:rsidR="002B418C" w:rsidRPr="001F0D9C" w:rsidRDefault="002B418C" w:rsidP="001F0D9C">
      <w:pPr>
        <w:spacing w:line="276" w:lineRule="auto"/>
        <w:jc w:val="both"/>
        <w:rPr>
          <w:rFonts w:ascii="Times New Roman" w:eastAsia="Times New Roman" w:hAnsi="Times New Roman" w:cs="Times New Roman"/>
          <w:bCs/>
          <w:sz w:val="24"/>
          <w:szCs w:val="24"/>
        </w:rPr>
      </w:pPr>
    </w:p>
    <w:p w14:paraId="78E58486" w14:textId="632015DE" w:rsidR="00D72B83" w:rsidRPr="001F0D9C" w:rsidRDefault="00A26344" w:rsidP="001F0D9C">
      <w:pPr>
        <w:pStyle w:val="Heading3"/>
        <w:numPr>
          <w:ilvl w:val="1"/>
          <w:numId w:val="3"/>
        </w:numPr>
        <w:spacing w:line="276" w:lineRule="auto"/>
        <w:jc w:val="both"/>
        <w:rPr>
          <w:rFonts w:ascii="Times New Roman" w:hAnsi="Times New Roman" w:cs="Times New Roman"/>
          <w:sz w:val="24"/>
          <w:szCs w:val="24"/>
          <w:u w:val="single"/>
        </w:rPr>
      </w:pPr>
      <w:bookmarkStart w:id="14" w:name="_Toc146481280"/>
      <w:r w:rsidRPr="001F0D9C">
        <w:rPr>
          <w:rFonts w:ascii="Times New Roman" w:hAnsi="Times New Roman" w:cs="Times New Roman"/>
          <w:sz w:val="24"/>
          <w:szCs w:val="24"/>
          <w:u w:val="single"/>
        </w:rPr>
        <w:t>Risk Mitigation</w:t>
      </w:r>
      <w:bookmarkEnd w:id="14"/>
    </w:p>
    <w:p w14:paraId="279681AA" w14:textId="320A882A" w:rsidR="002F74A3" w:rsidRPr="001F0D9C" w:rsidRDefault="00D86751"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The need for risk mitigation in risk financing and treasury management is essential for safeguarding financial stability and protecting organizations and economies from potential harm. </w:t>
      </w:r>
      <w:r w:rsidR="00035A95" w:rsidRPr="001F0D9C">
        <w:rPr>
          <w:rFonts w:ascii="Times New Roman" w:eastAsia="Times New Roman" w:hAnsi="Times New Roman" w:cs="Times New Roman"/>
          <w:bCs/>
          <w:sz w:val="24"/>
          <w:szCs w:val="24"/>
        </w:rPr>
        <w:t>Risk mitigation is known to prevent catastrophic financial losses. For example, during the 2008 financial crisis</w:t>
      </w:r>
      <w:r w:rsidR="00C16DDF">
        <w:rPr>
          <w:rFonts w:ascii="Times New Roman" w:eastAsia="Times New Roman" w:hAnsi="Times New Roman" w:cs="Times New Roman"/>
          <w:bCs/>
          <w:sz w:val="24"/>
          <w:szCs w:val="24"/>
        </w:rPr>
        <w:t xml:space="preserve"> </w:t>
      </w:r>
      <w:r w:rsidR="00C16DDF" w:rsidRPr="001F0D9C">
        <w:rPr>
          <w:rFonts w:ascii="Times New Roman" w:eastAsia="Times New Roman" w:hAnsi="Times New Roman" w:cs="Times New Roman"/>
          <w:bCs/>
          <w:sz w:val="24"/>
          <w:szCs w:val="24"/>
        </w:rPr>
        <w:t>the collapse of Lehman Brothers</w:t>
      </w:r>
      <w:r w:rsidR="00035A95" w:rsidRPr="001F0D9C">
        <w:rPr>
          <w:rFonts w:ascii="Times New Roman" w:eastAsia="Times New Roman" w:hAnsi="Times New Roman" w:cs="Times New Roman"/>
          <w:bCs/>
          <w:sz w:val="24"/>
          <w:szCs w:val="24"/>
        </w:rPr>
        <w:t xml:space="preserve"> serves as a s</w:t>
      </w:r>
      <w:r w:rsidR="002F6C7F">
        <w:rPr>
          <w:rFonts w:ascii="Times New Roman" w:eastAsia="Times New Roman" w:hAnsi="Times New Roman" w:cs="Times New Roman"/>
          <w:bCs/>
          <w:sz w:val="24"/>
          <w:szCs w:val="24"/>
        </w:rPr>
        <w:t>heer</w:t>
      </w:r>
      <w:r w:rsidR="00035A95" w:rsidRPr="001F0D9C">
        <w:rPr>
          <w:rFonts w:ascii="Times New Roman" w:eastAsia="Times New Roman" w:hAnsi="Times New Roman" w:cs="Times New Roman"/>
          <w:bCs/>
          <w:sz w:val="24"/>
          <w:szCs w:val="24"/>
        </w:rPr>
        <w:t xml:space="preserve"> reminder of the importance of risk mitigation. Lehman Brother’s failure and far-reaching consequences</w:t>
      </w:r>
      <w:r w:rsidR="0009117D" w:rsidRPr="001F0D9C">
        <w:rPr>
          <w:rFonts w:ascii="Times New Roman" w:eastAsia="Times New Roman" w:hAnsi="Times New Roman" w:cs="Times New Roman"/>
          <w:bCs/>
          <w:sz w:val="24"/>
          <w:szCs w:val="24"/>
        </w:rPr>
        <w:t>, contributing to the global financial meltdown. This real-life scenario illustrates that inadequate risk mitigation can lead to catastrophic financial losses not only for the organization itself but also for the broader financial system. Empirical evidence from this crisis underscores the need for proactive risk mitigation to prevent such severe repercussions.</w:t>
      </w:r>
    </w:p>
    <w:p w14:paraId="07678653" w14:textId="70661198" w:rsidR="00035A95" w:rsidRPr="001F0D9C" w:rsidRDefault="002F74A3"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lastRenderedPageBreak/>
        <w:t xml:space="preserve">Risk mitigation strategies have also been known to facilitate a safeguard of stakeholder interests. For example, the 2010 BP Deepwater Horizon oil spill is a powerful illustration of the need for risk mitigation in protecting stakeholder interests. BP’s failure to adequately mitigate the risks of deep-sea drilling led to one the largest environmental disasters in history. The financial and reputational damage inflicted on BP emphasized the importance of robust risk mitigation strategies to safeguard not only shareholder value but also </w:t>
      </w:r>
      <w:r w:rsidR="001D7EA9" w:rsidRPr="001F0D9C">
        <w:rPr>
          <w:rFonts w:ascii="Times New Roman" w:eastAsia="Times New Roman" w:hAnsi="Times New Roman" w:cs="Times New Roman"/>
          <w:bCs/>
          <w:sz w:val="24"/>
          <w:szCs w:val="24"/>
        </w:rPr>
        <w:t>the</w:t>
      </w:r>
      <w:r w:rsidRPr="001F0D9C">
        <w:rPr>
          <w:rFonts w:ascii="Times New Roman" w:eastAsia="Times New Roman" w:hAnsi="Times New Roman" w:cs="Times New Roman"/>
          <w:bCs/>
          <w:sz w:val="24"/>
          <w:szCs w:val="24"/>
        </w:rPr>
        <w:t xml:space="preserve"> well-being </w:t>
      </w:r>
      <w:r w:rsidR="001D7EA9" w:rsidRPr="001F0D9C">
        <w:rPr>
          <w:rFonts w:ascii="Times New Roman" w:eastAsia="Times New Roman" w:hAnsi="Times New Roman" w:cs="Times New Roman"/>
          <w:bCs/>
          <w:sz w:val="24"/>
          <w:szCs w:val="24"/>
        </w:rPr>
        <w:t>of</w:t>
      </w:r>
      <w:r w:rsidRPr="001F0D9C">
        <w:rPr>
          <w:rFonts w:ascii="Times New Roman" w:eastAsia="Times New Roman" w:hAnsi="Times New Roman" w:cs="Times New Roman"/>
          <w:bCs/>
          <w:sz w:val="24"/>
          <w:szCs w:val="24"/>
        </w:rPr>
        <w:t xml:space="preserve"> the communities affected. Empirical evidence from this incident underscores that the consequences of inadequate risk mitigation can extend far beyond financial losses.</w:t>
      </w:r>
      <w:r w:rsidR="00035A95" w:rsidRPr="001F0D9C">
        <w:rPr>
          <w:rFonts w:ascii="Times New Roman" w:eastAsia="Times New Roman" w:hAnsi="Times New Roman" w:cs="Times New Roman"/>
          <w:bCs/>
          <w:sz w:val="24"/>
          <w:szCs w:val="24"/>
        </w:rPr>
        <w:t xml:space="preserve"> </w:t>
      </w:r>
    </w:p>
    <w:p w14:paraId="60930AED" w14:textId="3F96FEF0" w:rsidR="00086538" w:rsidRPr="001F0D9C" w:rsidRDefault="00086538"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Moreover, risk mitigation is needed to enhance economic stability. The COVID-19 pandemic demonstrated the critical role of risk mitigation in maintaining economic stability. Countries that implemented effective risk mitigation measures, such as lockdowns and vaccination campaigns, were better able to limit the economic impact of the pandemic. Empirical evidence from various nations’ responses highlights risk mitigation is essential for preserving economic stability and ensuring that economies can withstand unexpected shocks.</w:t>
      </w:r>
    </w:p>
    <w:p w14:paraId="292E9ED1" w14:textId="55390451" w:rsidR="002B418C" w:rsidRPr="001F0D9C" w:rsidRDefault="00035A95"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Other real-life examples and empirical evidence below emphasize the significance of robust risk mitigation strategies in financial management.</w:t>
      </w:r>
    </w:p>
    <w:p w14:paraId="352212AD" w14:textId="77777777" w:rsidR="002C575C" w:rsidRPr="001F0D9C" w:rsidRDefault="002C575C" w:rsidP="001F0D9C">
      <w:pPr>
        <w:spacing w:line="276" w:lineRule="auto"/>
        <w:ind w:left="1170"/>
        <w:jc w:val="both"/>
        <w:rPr>
          <w:rFonts w:ascii="Times New Roman" w:eastAsia="Times New Roman" w:hAnsi="Times New Roman" w:cs="Times New Roman"/>
          <w:bCs/>
          <w:sz w:val="24"/>
          <w:szCs w:val="24"/>
        </w:rPr>
      </w:pPr>
    </w:p>
    <w:p w14:paraId="02BDE7CF" w14:textId="5DEC714E" w:rsidR="00A26344" w:rsidRPr="001F0D9C" w:rsidRDefault="00A26344" w:rsidP="001F0D9C">
      <w:pPr>
        <w:spacing w:line="276" w:lineRule="auto"/>
        <w:ind w:left="117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t>Diversification</w:t>
      </w:r>
    </w:p>
    <w:p w14:paraId="59750982" w14:textId="77777777" w:rsidR="00EC35EC" w:rsidRPr="001F0D9C" w:rsidRDefault="002C575C"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Diversification involves the spread of investments across different industries</w:t>
      </w:r>
      <w:r w:rsidR="007D79A4" w:rsidRPr="001F0D9C">
        <w:rPr>
          <w:rFonts w:ascii="Times New Roman" w:eastAsia="Times New Roman" w:hAnsi="Times New Roman" w:cs="Times New Roman"/>
          <w:bCs/>
          <w:sz w:val="24"/>
          <w:szCs w:val="24"/>
        </w:rPr>
        <w:t xml:space="preserve"> [sectors], geographical regions,</w:t>
      </w:r>
      <w:r w:rsidRPr="001F0D9C">
        <w:rPr>
          <w:rFonts w:ascii="Times New Roman" w:eastAsia="Times New Roman" w:hAnsi="Times New Roman" w:cs="Times New Roman"/>
          <w:bCs/>
          <w:sz w:val="24"/>
          <w:szCs w:val="24"/>
        </w:rPr>
        <w:t xml:space="preserve"> or assets to reduce risk concentration</w:t>
      </w:r>
      <w:r w:rsidR="007D79A4" w:rsidRPr="001F0D9C">
        <w:rPr>
          <w:rFonts w:ascii="Times New Roman" w:eastAsia="Times New Roman" w:hAnsi="Times New Roman" w:cs="Times New Roman"/>
          <w:bCs/>
          <w:sz w:val="24"/>
          <w:szCs w:val="24"/>
        </w:rPr>
        <w:t xml:space="preserve"> [overall risk exposure]</w:t>
      </w:r>
      <w:r w:rsidRPr="001F0D9C">
        <w:rPr>
          <w:rFonts w:ascii="Times New Roman" w:eastAsia="Times New Roman" w:hAnsi="Times New Roman" w:cs="Times New Roman"/>
          <w:bCs/>
          <w:sz w:val="24"/>
          <w:szCs w:val="24"/>
        </w:rPr>
        <w:t xml:space="preserve">. </w:t>
      </w:r>
    </w:p>
    <w:p w14:paraId="67B820AA" w14:textId="77777777" w:rsidR="00F14109" w:rsidRPr="001F0D9C" w:rsidRDefault="00F14109" w:rsidP="001F0D9C">
      <w:pPr>
        <w:spacing w:line="276" w:lineRule="auto"/>
        <w:ind w:left="1170" w:firstLine="270"/>
        <w:jc w:val="both"/>
        <w:rPr>
          <w:rFonts w:ascii="Times New Roman" w:eastAsia="Times New Roman" w:hAnsi="Times New Roman" w:cs="Times New Roman"/>
          <w:bCs/>
          <w:sz w:val="24"/>
          <w:szCs w:val="24"/>
        </w:rPr>
      </w:pPr>
    </w:p>
    <w:p w14:paraId="1EEC84BA" w14:textId="27D81AF5" w:rsidR="00EC35EC" w:rsidRPr="001F0D9C" w:rsidRDefault="00EC35EC" w:rsidP="001F0D9C">
      <w:pPr>
        <w:spacing w:line="276" w:lineRule="auto"/>
        <w:ind w:left="1170"/>
        <w:jc w:val="both"/>
        <w:rPr>
          <w:rFonts w:ascii="Times New Roman" w:eastAsia="Times New Roman" w:hAnsi="Times New Roman" w:cs="Times New Roman"/>
          <w:b/>
          <w:i/>
          <w:iCs/>
          <w:sz w:val="24"/>
          <w:szCs w:val="24"/>
          <w:u w:val="single"/>
        </w:rPr>
      </w:pPr>
      <w:r w:rsidRPr="001F0D9C">
        <w:rPr>
          <w:rFonts w:ascii="Times New Roman" w:eastAsia="Times New Roman" w:hAnsi="Times New Roman" w:cs="Times New Roman"/>
          <w:b/>
          <w:i/>
          <w:iCs/>
          <w:sz w:val="24"/>
          <w:szCs w:val="24"/>
          <w:u w:val="single"/>
        </w:rPr>
        <w:t xml:space="preserve">Investment Diversification in Portfolio Management </w:t>
      </w:r>
    </w:p>
    <w:p w14:paraId="37A7A732" w14:textId="30B98C0A" w:rsidR="00A26344" w:rsidRPr="001F0D9C" w:rsidRDefault="00550F77" w:rsidP="001F0D9C">
      <w:pPr>
        <w:spacing w:line="276" w:lineRule="auto"/>
        <w:ind w:left="1170" w:firstLine="27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w:t>
      </w:r>
      <w:r w:rsidR="002C575C" w:rsidRPr="001F0D9C">
        <w:rPr>
          <w:rFonts w:ascii="Times New Roman" w:eastAsia="Times New Roman" w:hAnsi="Times New Roman" w:cs="Times New Roman"/>
          <w:bCs/>
          <w:sz w:val="24"/>
          <w:szCs w:val="24"/>
        </w:rPr>
        <w:t xml:space="preserve"> well-diversified investment portfolio can mitigate the impact of a </w:t>
      </w:r>
      <w:r w:rsidR="00A005FE" w:rsidRPr="001F0D9C">
        <w:rPr>
          <w:rFonts w:ascii="Times New Roman" w:eastAsia="Times New Roman" w:hAnsi="Times New Roman" w:cs="Times New Roman"/>
          <w:bCs/>
          <w:sz w:val="24"/>
          <w:szCs w:val="24"/>
        </w:rPr>
        <w:t>downturn</w:t>
      </w:r>
      <w:r w:rsidR="002C575C" w:rsidRPr="001F0D9C">
        <w:rPr>
          <w:rFonts w:ascii="Times New Roman" w:eastAsia="Times New Roman" w:hAnsi="Times New Roman" w:cs="Times New Roman"/>
          <w:bCs/>
          <w:sz w:val="24"/>
          <w:szCs w:val="24"/>
        </w:rPr>
        <w:t xml:space="preserve"> in a specific sector.</w:t>
      </w:r>
      <w:r w:rsidR="007D79A4" w:rsidRPr="001F0D9C">
        <w:rPr>
          <w:rFonts w:ascii="Times New Roman" w:eastAsia="Times New Roman" w:hAnsi="Times New Roman" w:cs="Times New Roman"/>
          <w:bCs/>
          <w:sz w:val="24"/>
          <w:szCs w:val="24"/>
        </w:rPr>
        <w:t xml:space="preserve"> For</w:t>
      </w:r>
      <w:r>
        <w:rPr>
          <w:rFonts w:ascii="Times New Roman" w:eastAsia="Times New Roman" w:hAnsi="Times New Roman" w:cs="Times New Roman"/>
          <w:bCs/>
          <w:sz w:val="24"/>
          <w:szCs w:val="24"/>
        </w:rPr>
        <w:t xml:space="preserve"> instance</w:t>
      </w:r>
      <w:r w:rsidR="007D79A4" w:rsidRPr="001F0D9C">
        <w:rPr>
          <w:rFonts w:ascii="Times New Roman" w:eastAsia="Times New Roman" w:hAnsi="Times New Roman" w:cs="Times New Roman"/>
          <w:bCs/>
          <w:sz w:val="24"/>
          <w:szCs w:val="24"/>
        </w:rPr>
        <w:t>, the California Public Employees’ Retirement System (CalPERS) is one of the largest pension funds globally. CalPERS employs diversification as a core risk mitigation strategy. By investing in a broad array of asset classes, including real estate, bonds, stocks, and private equity, CalPERS aims to reduce its portfolio’s risk while pursuing long-term returns</w:t>
      </w:r>
      <w:r w:rsidR="00AE6334" w:rsidRPr="001F0D9C">
        <w:rPr>
          <w:rFonts w:ascii="Times New Roman" w:eastAsia="Times New Roman" w:hAnsi="Times New Roman" w:cs="Times New Roman"/>
          <w:bCs/>
          <w:sz w:val="24"/>
          <w:szCs w:val="24"/>
        </w:rPr>
        <w:t xml:space="preserve"> for the next 80 years</w:t>
      </w:r>
      <w:r w:rsidR="00903313" w:rsidRPr="001F0D9C">
        <w:rPr>
          <w:rFonts w:ascii="Times New Roman" w:eastAsia="Times New Roman" w:hAnsi="Times New Roman" w:cs="Times New Roman"/>
          <w:bCs/>
          <w:sz w:val="24"/>
          <w:szCs w:val="24"/>
        </w:rPr>
        <w:t xml:space="preserve"> (CalPERS, 2021)</w:t>
      </w:r>
      <w:r w:rsidR="007D79A4" w:rsidRPr="001F0D9C">
        <w:rPr>
          <w:rFonts w:ascii="Times New Roman" w:eastAsia="Times New Roman" w:hAnsi="Times New Roman" w:cs="Times New Roman"/>
          <w:bCs/>
          <w:sz w:val="24"/>
          <w:szCs w:val="24"/>
        </w:rPr>
        <w:t xml:space="preserve">. </w:t>
      </w:r>
      <w:r w:rsidR="00903313" w:rsidRPr="001F0D9C">
        <w:rPr>
          <w:rFonts w:ascii="Times New Roman" w:eastAsia="Times New Roman" w:hAnsi="Times New Roman" w:cs="Times New Roman"/>
          <w:bCs/>
          <w:sz w:val="24"/>
          <w:szCs w:val="24"/>
        </w:rPr>
        <w:t xml:space="preserve">Empirical evidence shows that diversified portfolios like CalPERS have historically demonstrated more stable returns over time. CalPERS has been </w:t>
      </w:r>
      <w:r w:rsidR="00903313" w:rsidRPr="001F0D9C">
        <w:rPr>
          <w:rFonts w:ascii="Times New Roman" w:eastAsia="Times New Roman" w:hAnsi="Times New Roman" w:cs="Times New Roman"/>
          <w:bCs/>
          <w:sz w:val="24"/>
          <w:szCs w:val="24"/>
        </w:rPr>
        <w:lastRenderedPageBreak/>
        <w:t xml:space="preserve">known to have over millions of members and was found to be in value of </w:t>
      </w:r>
      <w:r w:rsidR="00903313" w:rsidRPr="001F0D9C">
        <w:rPr>
          <w:rFonts w:ascii="Times New Roman" w:eastAsia="Times New Roman" w:hAnsi="Times New Roman" w:cs="Times New Roman"/>
          <w:sz w:val="24"/>
          <w:szCs w:val="24"/>
        </w:rPr>
        <w:t xml:space="preserve">US$485.2 million by </w:t>
      </w:r>
      <w:r w:rsidR="00481F69" w:rsidRPr="001F0D9C">
        <w:rPr>
          <w:rFonts w:ascii="Times New Roman" w:eastAsia="Times New Roman" w:hAnsi="Times New Roman" w:cs="Times New Roman"/>
          <w:sz w:val="24"/>
          <w:szCs w:val="24"/>
        </w:rPr>
        <w:t>December</w:t>
      </w:r>
      <w:r w:rsidR="00903313" w:rsidRPr="001F0D9C">
        <w:rPr>
          <w:rFonts w:ascii="Times New Roman" w:eastAsia="Times New Roman" w:hAnsi="Times New Roman" w:cs="Times New Roman"/>
          <w:sz w:val="24"/>
          <w:szCs w:val="24"/>
        </w:rPr>
        <w:t xml:space="preserve"> 202</w:t>
      </w:r>
      <w:r w:rsidR="00481F69" w:rsidRPr="001F0D9C">
        <w:rPr>
          <w:rFonts w:ascii="Times New Roman" w:eastAsia="Times New Roman" w:hAnsi="Times New Roman" w:cs="Times New Roman"/>
          <w:sz w:val="24"/>
          <w:szCs w:val="24"/>
        </w:rPr>
        <w:t>1</w:t>
      </w:r>
      <w:r w:rsidR="00903313" w:rsidRPr="001F0D9C">
        <w:rPr>
          <w:rFonts w:ascii="Times New Roman" w:eastAsia="Times New Roman" w:hAnsi="Times New Roman" w:cs="Times New Roman"/>
          <w:sz w:val="24"/>
          <w:szCs w:val="24"/>
        </w:rPr>
        <w:t xml:space="preserve"> </w:t>
      </w:r>
      <w:r w:rsidR="00903313" w:rsidRPr="001F0D9C">
        <w:rPr>
          <w:rFonts w:ascii="Times New Roman" w:eastAsia="Times New Roman" w:hAnsi="Times New Roman" w:cs="Times New Roman"/>
          <w:bCs/>
          <w:sz w:val="24"/>
          <w:szCs w:val="24"/>
        </w:rPr>
        <w:t xml:space="preserve">(CalPERS, 2021). </w:t>
      </w:r>
      <w:r w:rsidR="00903313" w:rsidRPr="001F0D9C">
        <w:rPr>
          <w:rFonts w:ascii="Times New Roman" w:eastAsia="Times New Roman" w:hAnsi="Times New Roman" w:cs="Times New Roman"/>
          <w:sz w:val="24"/>
          <w:szCs w:val="24"/>
        </w:rPr>
        <w:t xml:space="preserve"> </w:t>
      </w:r>
    </w:p>
    <w:p w14:paraId="0DB7FAF8" w14:textId="77777777" w:rsidR="00F80C43" w:rsidRPr="001F0D9C" w:rsidRDefault="00F80C43" w:rsidP="001F0D9C">
      <w:pPr>
        <w:spacing w:line="276" w:lineRule="auto"/>
        <w:ind w:left="1170"/>
        <w:jc w:val="both"/>
        <w:rPr>
          <w:rFonts w:ascii="Times New Roman" w:eastAsia="Times New Roman" w:hAnsi="Times New Roman" w:cs="Times New Roman"/>
          <w:sz w:val="24"/>
          <w:szCs w:val="24"/>
        </w:rPr>
      </w:pPr>
    </w:p>
    <w:p w14:paraId="0235C42A" w14:textId="1E4D2C68" w:rsidR="00F80C43" w:rsidRPr="001F0D9C" w:rsidRDefault="00F80C43" w:rsidP="001F0D9C">
      <w:pPr>
        <w:spacing w:line="276" w:lineRule="auto"/>
        <w:ind w:left="1170"/>
        <w:jc w:val="both"/>
        <w:rPr>
          <w:rFonts w:ascii="Times New Roman" w:eastAsia="Times New Roman" w:hAnsi="Times New Roman" w:cs="Times New Roman"/>
          <w:b/>
          <w:bCs/>
          <w:i/>
          <w:iCs/>
          <w:sz w:val="24"/>
          <w:szCs w:val="24"/>
          <w:u w:val="single"/>
        </w:rPr>
      </w:pPr>
      <w:r w:rsidRPr="001F0D9C">
        <w:rPr>
          <w:rFonts w:ascii="Times New Roman" w:eastAsia="Times New Roman" w:hAnsi="Times New Roman" w:cs="Times New Roman"/>
          <w:b/>
          <w:bCs/>
          <w:i/>
          <w:iCs/>
          <w:sz w:val="24"/>
          <w:szCs w:val="24"/>
          <w:u w:val="single"/>
        </w:rPr>
        <w:t>Geographic Diversification in the International Business</w:t>
      </w:r>
    </w:p>
    <w:p w14:paraId="35E39945" w14:textId="1D5F49A3" w:rsidR="00F80C43" w:rsidRPr="001F0D9C" w:rsidRDefault="00F80C43" w:rsidP="001F0D9C">
      <w:pPr>
        <w:spacing w:line="276" w:lineRule="auto"/>
        <w:ind w:left="1170" w:firstLine="27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Multinational corporations often utilize geographic diversification to mitigate business risks.</w:t>
      </w:r>
      <w:r w:rsidR="00FB2570" w:rsidRPr="001F0D9C">
        <w:rPr>
          <w:rFonts w:ascii="Times New Roman" w:eastAsia="Times New Roman" w:hAnsi="Times New Roman" w:cs="Times New Roman"/>
          <w:sz w:val="24"/>
          <w:szCs w:val="24"/>
        </w:rPr>
        <w:t xml:space="preserve"> They seek diversification in order to generate more revenues while being exposed to less economic risk, avoiding business decline and exploiting potential synergies</w:t>
      </w:r>
      <w:r w:rsidR="00F060E8" w:rsidRPr="001F0D9C">
        <w:rPr>
          <w:rFonts w:ascii="Times New Roman" w:eastAsia="Times New Roman" w:hAnsi="Times New Roman" w:cs="Times New Roman"/>
          <w:sz w:val="24"/>
          <w:szCs w:val="24"/>
        </w:rPr>
        <w:t xml:space="preserve"> (</w:t>
      </w:r>
      <w:r w:rsidR="00326E68" w:rsidRPr="001F0D9C">
        <w:rPr>
          <w:rFonts w:ascii="Times New Roman" w:eastAsia="Times New Roman" w:hAnsi="Times New Roman" w:cs="Times New Roman"/>
          <w:sz w:val="24"/>
          <w:szCs w:val="24"/>
        </w:rPr>
        <w:t>Williams, 2023</w:t>
      </w:r>
      <w:r w:rsidR="00F060E8" w:rsidRPr="001F0D9C">
        <w:rPr>
          <w:rFonts w:ascii="Times New Roman" w:eastAsia="Times New Roman" w:hAnsi="Times New Roman" w:cs="Times New Roman"/>
          <w:sz w:val="24"/>
          <w:szCs w:val="24"/>
        </w:rPr>
        <w:t>)</w:t>
      </w:r>
      <w:r w:rsidR="00FB2570" w:rsidRPr="001F0D9C">
        <w:rPr>
          <w:rFonts w:ascii="Times New Roman" w:eastAsia="Times New Roman" w:hAnsi="Times New Roman" w:cs="Times New Roman"/>
          <w:sz w:val="24"/>
          <w:szCs w:val="24"/>
        </w:rPr>
        <w:t>.</w:t>
      </w:r>
      <w:r w:rsidRPr="001F0D9C">
        <w:rPr>
          <w:rFonts w:ascii="Times New Roman" w:eastAsia="Times New Roman" w:hAnsi="Times New Roman" w:cs="Times New Roman"/>
          <w:sz w:val="24"/>
          <w:szCs w:val="24"/>
        </w:rPr>
        <w:t xml:space="preserve"> Apple Inc. is an exemplar of this strategy. By manufacturing products in various countries, Apple mitigates supply chain risks associated with localized disruptions.</w:t>
      </w:r>
      <w:r w:rsidR="009224E7" w:rsidRPr="001F0D9C">
        <w:rPr>
          <w:rFonts w:ascii="Times New Roman" w:eastAsia="Times New Roman" w:hAnsi="Times New Roman" w:cs="Times New Roman"/>
          <w:sz w:val="24"/>
          <w:szCs w:val="24"/>
        </w:rPr>
        <w:t xml:space="preserve"> In the 1990s, Apple struggled to stay afloat due to Microsoft software flooding the market providing cheaper and easier to use PC models (</w:t>
      </w:r>
      <w:r w:rsidR="00326E68" w:rsidRPr="001F0D9C">
        <w:rPr>
          <w:rFonts w:ascii="Times New Roman" w:eastAsia="Times New Roman" w:hAnsi="Times New Roman" w:cs="Times New Roman"/>
          <w:sz w:val="24"/>
          <w:szCs w:val="24"/>
        </w:rPr>
        <w:t>Williams, 2023</w:t>
      </w:r>
      <w:r w:rsidR="009224E7" w:rsidRPr="001F0D9C">
        <w:rPr>
          <w:rFonts w:ascii="Times New Roman" w:eastAsia="Times New Roman" w:hAnsi="Times New Roman" w:cs="Times New Roman"/>
          <w:sz w:val="24"/>
          <w:szCs w:val="24"/>
        </w:rPr>
        <w:t>). However, d</w:t>
      </w:r>
      <w:r w:rsidRPr="001F0D9C">
        <w:rPr>
          <w:rFonts w:ascii="Times New Roman" w:eastAsia="Times New Roman" w:hAnsi="Times New Roman" w:cs="Times New Roman"/>
          <w:sz w:val="24"/>
          <w:szCs w:val="24"/>
        </w:rPr>
        <w:t xml:space="preserve">uring the </w:t>
      </w:r>
      <w:r w:rsidR="009224E7" w:rsidRPr="001F0D9C">
        <w:rPr>
          <w:rFonts w:ascii="Times New Roman" w:eastAsia="Times New Roman" w:hAnsi="Times New Roman" w:cs="Times New Roman"/>
          <w:sz w:val="24"/>
          <w:szCs w:val="24"/>
        </w:rPr>
        <w:t>early years of 2000s</w:t>
      </w:r>
      <w:r w:rsidRPr="001F0D9C">
        <w:rPr>
          <w:rFonts w:ascii="Times New Roman" w:eastAsia="Times New Roman" w:hAnsi="Times New Roman" w:cs="Times New Roman"/>
          <w:sz w:val="24"/>
          <w:szCs w:val="24"/>
        </w:rPr>
        <w:t xml:space="preserve">, Apple’s </w:t>
      </w:r>
      <w:r w:rsidR="009224E7" w:rsidRPr="001F0D9C">
        <w:rPr>
          <w:rFonts w:ascii="Times New Roman" w:eastAsia="Times New Roman" w:hAnsi="Times New Roman" w:cs="Times New Roman"/>
          <w:sz w:val="24"/>
          <w:szCs w:val="24"/>
        </w:rPr>
        <w:t xml:space="preserve">development of </w:t>
      </w:r>
      <w:r w:rsidRPr="001F0D9C">
        <w:rPr>
          <w:rFonts w:ascii="Times New Roman" w:eastAsia="Times New Roman" w:hAnsi="Times New Roman" w:cs="Times New Roman"/>
          <w:sz w:val="24"/>
          <w:szCs w:val="24"/>
        </w:rPr>
        <w:t xml:space="preserve">diversified supply chain </w:t>
      </w:r>
      <w:r w:rsidR="009224E7" w:rsidRPr="001F0D9C">
        <w:rPr>
          <w:rFonts w:ascii="Times New Roman" w:eastAsia="Times New Roman" w:hAnsi="Times New Roman" w:cs="Times New Roman"/>
          <w:sz w:val="24"/>
          <w:szCs w:val="24"/>
        </w:rPr>
        <w:t xml:space="preserve">[which included </w:t>
      </w:r>
      <w:r w:rsidR="00622538" w:rsidRPr="001F0D9C">
        <w:rPr>
          <w:rFonts w:ascii="Times New Roman" w:eastAsia="Times New Roman" w:hAnsi="Times New Roman" w:cs="Times New Roman"/>
          <w:sz w:val="24"/>
          <w:szCs w:val="24"/>
        </w:rPr>
        <w:t xml:space="preserve">iPod and iTunes software in 2003 followed by the emergence of the iPhone in 2007] </w:t>
      </w:r>
      <w:r w:rsidR="001D5E88" w:rsidRPr="001F0D9C">
        <w:rPr>
          <w:rFonts w:ascii="Times New Roman" w:eastAsia="Times New Roman" w:hAnsi="Times New Roman" w:cs="Times New Roman"/>
          <w:sz w:val="24"/>
          <w:szCs w:val="24"/>
        </w:rPr>
        <w:t>helped it navigate</w:t>
      </w:r>
      <w:r w:rsidRPr="001F0D9C">
        <w:rPr>
          <w:rFonts w:ascii="Times New Roman" w:eastAsia="Times New Roman" w:hAnsi="Times New Roman" w:cs="Times New Roman"/>
          <w:sz w:val="24"/>
          <w:szCs w:val="24"/>
        </w:rPr>
        <w:t xml:space="preserve"> challenges, ensuring product availability and mitigating financial losses</w:t>
      </w:r>
      <w:r w:rsidR="00DD37C0" w:rsidRPr="001F0D9C">
        <w:rPr>
          <w:rFonts w:ascii="Times New Roman" w:eastAsia="Times New Roman" w:hAnsi="Times New Roman" w:cs="Times New Roman"/>
          <w:sz w:val="24"/>
          <w:szCs w:val="24"/>
        </w:rPr>
        <w:t xml:space="preserve"> (</w:t>
      </w:r>
      <w:r w:rsidR="00326E68" w:rsidRPr="001F0D9C">
        <w:rPr>
          <w:rFonts w:ascii="Times New Roman" w:eastAsia="Times New Roman" w:hAnsi="Times New Roman" w:cs="Times New Roman"/>
          <w:sz w:val="24"/>
          <w:szCs w:val="24"/>
        </w:rPr>
        <w:t>Williams, 2023</w:t>
      </w:r>
      <w:r w:rsidR="00DD37C0" w:rsidRPr="001F0D9C">
        <w:rPr>
          <w:rFonts w:ascii="Times New Roman" w:eastAsia="Times New Roman" w:hAnsi="Times New Roman" w:cs="Times New Roman"/>
          <w:sz w:val="24"/>
          <w:szCs w:val="24"/>
        </w:rPr>
        <w:t>)</w:t>
      </w:r>
      <w:r w:rsidRPr="001F0D9C">
        <w:rPr>
          <w:rFonts w:ascii="Times New Roman" w:eastAsia="Times New Roman" w:hAnsi="Times New Roman" w:cs="Times New Roman"/>
          <w:sz w:val="24"/>
          <w:szCs w:val="24"/>
        </w:rPr>
        <w:t>.</w:t>
      </w:r>
      <w:r w:rsidR="00DD37C0" w:rsidRPr="001F0D9C">
        <w:rPr>
          <w:rFonts w:ascii="Times New Roman" w:eastAsia="Times New Roman" w:hAnsi="Times New Roman" w:cs="Times New Roman"/>
          <w:sz w:val="24"/>
          <w:szCs w:val="24"/>
        </w:rPr>
        <w:t xml:space="preserve"> Presently, </w:t>
      </w:r>
      <w:r w:rsidR="00D622B4" w:rsidRPr="001F0D9C">
        <w:rPr>
          <w:rFonts w:ascii="Times New Roman" w:eastAsia="Times New Roman" w:hAnsi="Times New Roman" w:cs="Times New Roman"/>
          <w:sz w:val="24"/>
          <w:szCs w:val="24"/>
        </w:rPr>
        <w:t xml:space="preserve">Apple </w:t>
      </w:r>
      <w:r w:rsidR="00DD37C0" w:rsidRPr="001F0D9C">
        <w:rPr>
          <w:rFonts w:ascii="Times New Roman" w:eastAsia="Times New Roman" w:hAnsi="Times New Roman" w:cs="Times New Roman"/>
          <w:sz w:val="24"/>
          <w:szCs w:val="24"/>
        </w:rPr>
        <w:t>has become even more diversified with assets such as watchers, electric vehicles, tables, and smart-audio.</w:t>
      </w:r>
      <w:r w:rsidR="00D622B4" w:rsidRPr="001F0D9C">
        <w:rPr>
          <w:rFonts w:ascii="Times New Roman" w:eastAsia="Times New Roman" w:hAnsi="Times New Roman" w:cs="Times New Roman"/>
          <w:sz w:val="24"/>
          <w:szCs w:val="24"/>
        </w:rPr>
        <w:t xml:space="preserve"> </w:t>
      </w:r>
      <w:r w:rsidR="00326E68" w:rsidRPr="001F0D9C">
        <w:rPr>
          <w:rFonts w:ascii="Times New Roman" w:eastAsia="Times New Roman" w:hAnsi="Times New Roman" w:cs="Times New Roman"/>
          <w:sz w:val="24"/>
          <w:szCs w:val="24"/>
        </w:rPr>
        <w:t>Therefore,</w:t>
      </w:r>
      <w:r w:rsidR="00D622B4" w:rsidRPr="001F0D9C">
        <w:rPr>
          <w:rFonts w:ascii="Times New Roman" w:eastAsia="Times New Roman" w:hAnsi="Times New Roman" w:cs="Times New Roman"/>
          <w:sz w:val="24"/>
          <w:szCs w:val="24"/>
        </w:rPr>
        <w:t xml:space="preserve"> Apple is known as one the world’s biggest corporations.</w:t>
      </w:r>
    </w:p>
    <w:p w14:paraId="4265E2B2" w14:textId="77777777" w:rsidR="00F80C43" w:rsidRPr="001F0D9C" w:rsidRDefault="00F80C43" w:rsidP="001F0D9C">
      <w:pPr>
        <w:spacing w:line="276" w:lineRule="auto"/>
        <w:ind w:left="1170"/>
        <w:jc w:val="both"/>
        <w:rPr>
          <w:rFonts w:ascii="Times New Roman" w:eastAsia="Times New Roman" w:hAnsi="Times New Roman" w:cs="Times New Roman"/>
          <w:sz w:val="24"/>
          <w:szCs w:val="24"/>
        </w:rPr>
      </w:pPr>
    </w:p>
    <w:p w14:paraId="4EF03E42" w14:textId="55767038" w:rsidR="00F80C43" w:rsidRPr="001F0D9C" w:rsidRDefault="00F80C43" w:rsidP="001F0D9C">
      <w:pPr>
        <w:spacing w:line="276" w:lineRule="auto"/>
        <w:ind w:left="1170"/>
        <w:jc w:val="both"/>
        <w:rPr>
          <w:rFonts w:ascii="Times New Roman" w:eastAsia="Times New Roman" w:hAnsi="Times New Roman" w:cs="Times New Roman"/>
          <w:b/>
          <w:bCs/>
          <w:i/>
          <w:iCs/>
          <w:sz w:val="24"/>
          <w:szCs w:val="24"/>
          <w:u w:val="single"/>
        </w:rPr>
      </w:pPr>
      <w:r w:rsidRPr="001F0D9C">
        <w:rPr>
          <w:rFonts w:ascii="Times New Roman" w:eastAsia="Times New Roman" w:hAnsi="Times New Roman" w:cs="Times New Roman"/>
          <w:b/>
          <w:bCs/>
          <w:i/>
          <w:iCs/>
          <w:sz w:val="24"/>
          <w:szCs w:val="24"/>
          <w:u w:val="single"/>
        </w:rPr>
        <w:t>Sectoral Diversification in Investment Funds</w:t>
      </w:r>
    </w:p>
    <w:p w14:paraId="08CB92A6" w14:textId="4B0BBA52" w:rsidR="00320A6A" w:rsidRPr="001F0D9C" w:rsidRDefault="00501B4F" w:rsidP="001F0D9C">
      <w:pPr>
        <w:spacing w:line="276" w:lineRule="auto"/>
        <w:ind w:left="1170" w:firstLine="27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Exchange-Traded Funds (ETFs) are an accessible way to retail investors to employ sectoral diversification. The Vanguard Information Technology EFT (VGT) is an ETF that focuses on the technology sector. By investing in a diversified basket of tech-related companies, VGT offers investors exposure to the sector while spreading risk (Vanguard, 2023). As of Friday, September 22, 2023, VGT’s YTD returns (MP) is 30.53% and its YTD returns (NAV)</w:t>
      </w:r>
      <w:r w:rsidR="006A2F7F" w:rsidRPr="001F0D9C">
        <w:rPr>
          <w:rFonts w:ascii="Times New Roman" w:eastAsia="Times New Roman" w:hAnsi="Times New Roman" w:cs="Times New Roman"/>
          <w:sz w:val="24"/>
          <w:szCs w:val="24"/>
        </w:rPr>
        <w:t xml:space="preserve"> is 30.51% and </w:t>
      </w:r>
      <w:r w:rsidR="000F21CF" w:rsidRPr="001F0D9C">
        <w:rPr>
          <w:rFonts w:ascii="Times New Roman" w:eastAsia="Times New Roman" w:hAnsi="Times New Roman" w:cs="Times New Roman"/>
          <w:sz w:val="24"/>
          <w:szCs w:val="24"/>
        </w:rPr>
        <w:t>having a fund total net assets of $62.4 billion</w:t>
      </w:r>
      <w:r w:rsidR="00314DAA" w:rsidRPr="001F0D9C">
        <w:rPr>
          <w:rFonts w:ascii="Times New Roman" w:eastAsia="Times New Roman" w:hAnsi="Times New Roman" w:cs="Times New Roman"/>
          <w:sz w:val="24"/>
          <w:szCs w:val="24"/>
        </w:rPr>
        <w:t xml:space="preserve"> </w:t>
      </w:r>
      <w:r w:rsidR="00962FB1" w:rsidRPr="001F0D9C">
        <w:rPr>
          <w:rFonts w:ascii="Times New Roman" w:eastAsia="Times New Roman" w:hAnsi="Times New Roman" w:cs="Times New Roman"/>
          <w:sz w:val="24"/>
          <w:szCs w:val="24"/>
        </w:rPr>
        <w:t>[</w:t>
      </w:r>
      <w:r w:rsidR="00314DAA" w:rsidRPr="001F0D9C">
        <w:rPr>
          <w:rFonts w:ascii="Times New Roman" w:eastAsia="Times New Roman" w:hAnsi="Times New Roman" w:cs="Times New Roman"/>
          <w:sz w:val="24"/>
          <w:szCs w:val="24"/>
        </w:rPr>
        <w:t>seen in Figure 9</w:t>
      </w:r>
      <w:r w:rsidR="00962FB1" w:rsidRPr="001F0D9C">
        <w:rPr>
          <w:rFonts w:ascii="Times New Roman" w:eastAsia="Times New Roman" w:hAnsi="Times New Roman" w:cs="Times New Roman"/>
          <w:sz w:val="24"/>
          <w:szCs w:val="24"/>
        </w:rPr>
        <w:t>]</w:t>
      </w:r>
      <w:r w:rsidR="000F21CF" w:rsidRPr="001F0D9C">
        <w:rPr>
          <w:rFonts w:ascii="Times New Roman" w:eastAsia="Times New Roman" w:hAnsi="Times New Roman" w:cs="Times New Roman"/>
          <w:sz w:val="24"/>
          <w:szCs w:val="24"/>
        </w:rPr>
        <w:t xml:space="preserve"> (Vanguard, 2023).</w:t>
      </w:r>
      <w:r w:rsidR="008767C5" w:rsidRPr="001F0D9C">
        <w:rPr>
          <w:rFonts w:ascii="Times New Roman" w:eastAsia="Times New Roman" w:hAnsi="Times New Roman" w:cs="Times New Roman"/>
          <w:sz w:val="24"/>
          <w:szCs w:val="24"/>
        </w:rPr>
        <w:t xml:space="preserve"> This example illustrates how sectoral diversification within investment funds can help retail investors reduce risk while participating in specific industry growth.</w:t>
      </w:r>
    </w:p>
    <w:p w14:paraId="6E80646C" w14:textId="38C67EC5" w:rsidR="006A2F7F" w:rsidRPr="001F0D9C" w:rsidRDefault="006A2F7F" w:rsidP="001F0D9C">
      <w:pPr>
        <w:spacing w:line="276" w:lineRule="auto"/>
        <w:ind w:left="11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noProof/>
          <w:sz w:val="24"/>
          <w:szCs w:val="24"/>
        </w:rPr>
        <w:lastRenderedPageBreak/>
        <w:drawing>
          <wp:inline distT="0" distB="0" distL="0" distR="0" wp14:anchorId="31FA25B5" wp14:editId="43D75EEF">
            <wp:extent cx="4968240" cy="4404360"/>
            <wp:effectExtent l="0" t="0" r="3810" b="0"/>
            <wp:docPr id="1955540708"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0708" name="Picture 1" descr="A screenshot of a report&#10;&#10;Description automatically generated"/>
                    <pic:cNvPicPr/>
                  </pic:nvPicPr>
                  <pic:blipFill rotWithShape="1">
                    <a:blip r:embed="rId17"/>
                    <a:srcRect l="1782" t="3020" r="6539"/>
                    <a:stretch/>
                  </pic:blipFill>
                  <pic:spPr bwMode="auto">
                    <a:xfrm>
                      <a:off x="0" y="0"/>
                      <a:ext cx="4968672" cy="4404743"/>
                    </a:xfrm>
                    <a:prstGeom prst="rect">
                      <a:avLst/>
                    </a:prstGeom>
                    <a:ln>
                      <a:noFill/>
                    </a:ln>
                    <a:extLst>
                      <a:ext uri="{53640926-AAD7-44D8-BBD7-CCE9431645EC}">
                        <a14:shadowObscured xmlns:a14="http://schemas.microsoft.com/office/drawing/2010/main"/>
                      </a:ext>
                    </a:extLst>
                  </pic:spPr>
                </pic:pic>
              </a:graphicData>
            </a:graphic>
          </wp:inline>
        </w:drawing>
      </w:r>
    </w:p>
    <w:p w14:paraId="74F3F847" w14:textId="076453EB" w:rsidR="003755DE" w:rsidRPr="001F0D9C" w:rsidRDefault="006A2F7F" w:rsidP="001F0D9C">
      <w:pPr>
        <w:pStyle w:val="Caption"/>
        <w:spacing w:line="276" w:lineRule="auto"/>
        <w:ind w:left="450" w:firstLine="720"/>
        <w:jc w:val="both"/>
        <w:rPr>
          <w:rFonts w:ascii="Times New Roman" w:hAnsi="Times New Roman" w:cs="Times New Roman"/>
          <w:b/>
          <w:bCs/>
          <w:i w:val="0"/>
          <w:iCs w:val="0"/>
          <w:color w:val="auto"/>
        </w:rPr>
      </w:pPr>
      <w:bookmarkStart w:id="15" w:name="_Toc146481301"/>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00044724" w:rsidRPr="001F0D9C">
        <w:rPr>
          <w:rFonts w:ascii="Times New Roman" w:hAnsi="Times New Roman" w:cs="Times New Roman"/>
          <w:b/>
          <w:bCs/>
          <w:i w:val="0"/>
          <w:iCs w:val="0"/>
          <w:noProof/>
          <w:color w:val="auto"/>
        </w:rPr>
        <w:t>9</w:t>
      </w:r>
      <w:bookmarkEnd w:id="15"/>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7F327770" w14:textId="6B494549" w:rsidR="006A2F7F" w:rsidRPr="001F0D9C" w:rsidRDefault="006A2F7F" w:rsidP="001F0D9C">
      <w:pPr>
        <w:pStyle w:val="Caption"/>
        <w:spacing w:line="276" w:lineRule="auto"/>
        <w:ind w:left="450" w:firstLine="720"/>
        <w:jc w:val="both"/>
        <w:rPr>
          <w:rFonts w:ascii="Times New Roman" w:eastAsia="Times New Roman" w:hAnsi="Times New Roman" w:cs="Times New Roman"/>
          <w:bCs/>
          <w:color w:val="auto"/>
          <w:sz w:val="24"/>
          <w:szCs w:val="24"/>
        </w:rPr>
      </w:pPr>
      <w:r w:rsidRPr="001F0D9C">
        <w:rPr>
          <w:rFonts w:ascii="Times New Roman" w:hAnsi="Times New Roman" w:cs="Times New Roman"/>
          <w:color w:val="auto"/>
        </w:rPr>
        <w:t>VGT Portfolio Composition Characteristics as of August 31, 2023 (Vanguard, 2023)</w:t>
      </w:r>
    </w:p>
    <w:p w14:paraId="066364D9" w14:textId="77777777" w:rsidR="002C575C" w:rsidRPr="001F0D9C" w:rsidRDefault="002C575C" w:rsidP="001F0D9C">
      <w:pPr>
        <w:spacing w:line="276" w:lineRule="auto"/>
        <w:ind w:left="1170"/>
        <w:jc w:val="both"/>
        <w:rPr>
          <w:rFonts w:ascii="Times New Roman" w:eastAsia="Times New Roman" w:hAnsi="Times New Roman" w:cs="Times New Roman"/>
          <w:bCs/>
          <w:sz w:val="24"/>
          <w:szCs w:val="24"/>
        </w:rPr>
      </w:pPr>
    </w:p>
    <w:p w14:paraId="23BFE089" w14:textId="7A4212BF" w:rsidR="009D5A90" w:rsidRPr="001F0D9C" w:rsidRDefault="009D5A90"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Diversification is a well-established risk mitigation strategy, supported by empirical evidence and real-life examples. It demonstrates how spreading risk across various assets, geographies, or sectors can reduce overall risk exposure, enhance financial stability, and </w:t>
      </w:r>
      <w:r w:rsidR="00F13BEC" w:rsidRPr="001F0D9C">
        <w:rPr>
          <w:rFonts w:ascii="Times New Roman" w:eastAsia="Times New Roman" w:hAnsi="Times New Roman" w:cs="Times New Roman"/>
          <w:bCs/>
          <w:sz w:val="24"/>
          <w:szCs w:val="24"/>
        </w:rPr>
        <w:t>potentially</w:t>
      </w:r>
      <w:r w:rsidRPr="001F0D9C">
        <w:rPr>
          <w:rFonts w:ascii="Times New Roman" w:eastAsia="Times New Roman" w:hAnsi="Times New Roman" w:cs="Times New Roman"/>
          <w:bCs/>
          <w:sz w:val="24"/>
          <w:szCs w:val="24"/>
        </w:rPr>
        <w:t xml:space="preserve"> lead to more consistent returns. Whether in pension fund management, international business, or individual investments, diversification remains a key approach for risk mitigation in risk</w:t>
      </w:r>
      <w:r w:rsidR="00790C9A" w:rsidRPr="001F0D9C">
        <w:rPr>
          <w:rFonts w:ascii="Times New Roman" w:eastAsia="Times New Roman" w:hAnsi="Times New Roman" w:cs="Times New Roman"/>
          <w:bCs/>
          <w:sz w:val="24"/>
          <w:szCs w:val="24"/>
        </w:rPr>
        <w:t xml:space="preserve"> financing and treasury</w:t>
      </w:r>
      <w:r w:rsidRPr="001F0D9C">
        <w:rPr>
          <w:rFonts w:ascii="Times New Roman" w:eastAsia="Times New Roman" w:hAnsi="Times New Roman" w:cs="Times New Roman"/>
          <w:bCs/>
          <w:sz w:val="24"/>
          <w:szCs w:val="24"/>
        </w:rPr>
        <w:t xml:space="preserve"> </w:t>
      </w:r>
      <w:r w:rsidR="00790C9A" w:rsidRPr="001F0D9C">
        <w:rPr>
          <w:rFonts w:ascii="Times New Roman" w:eastAsia="Times New Roman" w:hAnsi="Times New Roman" w:cs="Times New Roman"/>
          <w:bCs/>
          <w:sz w:val="24"/>
          <w:szCs w:val="24"/>
        </w:rPr>
        <w:t>management.</w:t>
      </w:r>
      <w:r w:rsidR="00AC1733" w:rsidRPr="001F0D9C">
        <w:rPr>
          <w:rFonts w:ascii="Times New Roman" w:eastAsia="Times New Roman" w:hAnsi="Times New Roman" w:cs="Times New Roman"/>
          <w:bCs/>
          <w:sz w:val="24"/>
          <w:szCs w:val="24"/>
        </w:rPr>
        <w:t xml:space="preserve"> Diversification not only </w:t>
      </w:r>
      <w:r w:rsidR="00E37503" w:rsidRPr="001F0D9C">
        <w:rPr>
          <w:rFonts w:ascii="Times New Roman" w:eastAsia="Times New Roman" w:hAnsi="Times New Roman" w:cs="Times New Roman"/>
          <w:bCs/>
          <w:sz w:val="24"/>
          <w:szCs w:val="24"/>
        </w:rPr>
        <w:t>contributes</w:t>
      </w:r>
      <w:r w:rsidR="00AC1733" w:rsidRPr="001F0D9C">
        <w:rPr>
          <w:rFonts w:ascii="Times New Roman" w:eastAsia="Times New Roman" w:hAnsi="Times New Roman" w:cs="Times New Roman"/>
          <w:bCs/>
          <w:sz w:val="24"/>
          <w:szCs w:val="24"/>
        </w:rPr>
        <w:t xml:space="preserve"> to financial </w:t>
      </w:r>
      <w:r w:rsidR="00E37503" w:rsidRPr="001F0D9C">
        <w:rPr>
          <w:rFonts w:ascii="Times New Roman" w:eastAsia="Times New Roman" w:hAnsi="Times New Roman" w:cs="Times New Roman"/>
          <w:bCs/>
          <w:sz w:val="24"/>
          <w:szCs w:val="24"/>
        </w:rPr>
        <w:t>stability,</w:t>
      </w:r>
      <w:r w:rsidR="00AC1733" w:rsidRPr="001F0D9C">
        <w:rPr>
          <w:rFonts w:ascii="Times New Roman" w:eastAsia="Times New Roman" w:hAnsi="Times New Roman" w:cs="Times New Roman"/>
          <w:bCs/>
          <w:sz w:val="24"/>
          <w:szCs w:val="24"/>
        </w:rPr>
        <w:t xml:space="preserve"> but human capital development and economic growth based on the principles discussed in Chapter 1: Introduction to Human Capital and Economic Growth.</w:t>
      </w:r>
      <w:r w:rsidR="00E37503" w:rsidRPr="001F0D9C">
        <w:rPr>
          <w:rFonts w:ascii="Times New Roman" w:eastAsia="Times New Roman" w:hAnsi="Times New Roman" w:cs="Times New Roman"/>
          <w:bCs/>
          <w:sz w:val="24"/>
          <w:szCs w:val="24"/>
        </w:rPr>
        <w:t xml:space="preserve"> Just as diversification spreads risk across various assets to safeguard financial resources, investments in education, healthcare, and workforce development diversify human capital, enhancing skills and </w:t>
      </w:r>
      <w:r w:rsidR="00E37503" w:rsidRPr="001F0D9C">
        <w:rPr>
          <w:rFonts w:ascii="Times New Roman" w:eastAsia="Times New Roman" w:hAnsi="Times New Roman" w:cs="Times New Roman"/>
          <w:bCs/>
          <w:sz w:val="24"/>
          <w:szCs w:val="24"/>
        </w:rPr>
        <w:lastRenderedPageBreak/>
        <w:t>capabilities. This parallels the idea that a well-rounded and diversified workforce is essential for driving economic growth. By managing risk effectively through diversification, organizations and economies can allocate resources consistently to human capital investments, fostering the development of a skilled and healthy workforce, which is fundamental to sustainable economic growth.</w:t>
      </w:r>
    </w:p>
    <w:p w14:paraId="21AFB131" w14:textId="77777777" w:rsidR="009D5A90" w:rsidRPr="001F0D9C" w:rsidRDefault="009D5A90" w:rsidP="001F0D9C">
      <w:pPr>
        <w:spacing w:line="276" w:lineRule="auto"/>
        <w:ind w:left="1170"/>
        <w:jc w:val="both"/>
        <w:rPr>
          <w:rFonts w:ascii="Times New Roman" w:eastAsia="Times New Roman" w:hAnsi="Times New Roman" w:cs="Times New Roman"/>
          <w:bCs/>
          <w:sz w:val="24"/>
          <w:szCs w:val="24"/>
        </w:rPr>
      </w:pPr>
    </w:p>
    <w:p w14:paraId="09C41FA6" w14:textId="4FA368FF" w:rsidR="00A26344" w:rsidRPr="001F0D9C" w:rsidRDefault="00A26344" w:rsidP="001F0D9C">
      <w:pPr>
        <w:spacing w:line="276" w:lineRule="auto"/>
        <w:ind w:left="117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t>Hedging</w:t>
      </w:r>
    </w:p>
    <w:p w14:paraId="7EA75E05" w14:textId="3E4C0C66" w:rsidR="00C76F1A" w:rsidRPr="001F0D9C" w:rsidRDefault="0000227D"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Hedging</w:t>
      </w:r>
      <w:r w:rsidR="009D6E5A" w:rsidRPr="001F0D9C">
        <w:rPr>
          <w:rFonts w:ascii="Times New Roman" w:eastAsia="Times New Roman" w:hAnsi="Times New Roman" w:cs="Times New Roman"/>
          <w:bCs/>
          <w:sz w:val="24"/>
          <w:szCs w:val="24"/>
        </w:rPr>
        <w:t xml:space="preserve"> is a widely used risk mitigation strategy</w:t>
      </w:r>
      <w:r w:rsidR="00256DB7" w:rsidRPr="001F0D9C">
        <w:rPr>
          <w:rFonts w:ascii="Times New Roman" w:eastAsia="Times New Roman" w:hAnsi="Times New Roman" w:cs="Times New Roman"/>
          <w:bCs/>
          <w:sz w:val="24"/>
          <w:szCs w:val="24"/>
        </w:rPr>
        <w:t xml:space="preserve"> in risk financing and treasuring management,</w:t>
      </w:r>
      <w:r w:rsidR="009D6E5A" w:rsidRPr="001F0D9C">
        <w:rPr>
          <w:rFonts w:ascii="Times New Roman" w:eastAsia="Times New Roman" w:hAnsi="Times New Roman" w:cs="Times New Roman"/>
          <w:bCs/>
          <w:sz w:val="24"/>
          <w:szCs w:val="24"/>
        </w:rPr>
        <w:t xml:space="preserve"> which</w:t>
      </w:r>
      <w:r w:rsidRPr="001F0D9C">
        <w:rPr>
          <w:rFonts w:ascii="Times New Roman" w:eastAsia="Times New Roman" w:hAnsi="Times New Roman" w:cs="Times New Roman"/>
          <w:bCs/>
          <w:sz w:val="24"/>
          <w:szCs w:val="24"/>
        </w:rPr>
        <w:t xml:space="preserve"> requires the use of financial instruments like derivatives to protect against adverse price movements.</w:t>
      </w:r>
      <w:r w:rsidR="00256DB7" w:rsidRPr="001F0D9C">
        <w:rPr>
          <w:rFonts w:ascii="Times New Roman" w:eastAsia="Times New Roman" w:hAnsi="Times New Roman" w:cs="Times New Roman"/>
          <w:bCs/>
          <w:sz w:val="24"/>
          <w:szCs w:val="24"/>
        </w:rPr>
        <w:t xml:space="preserve"> In other words, it aims to reduce exposure to price fluctuations or adverse events. For instance,</w:t>
      </w:r>
      <w:r w:rsidRPr="001F0D9C">
        <w:rPr>
          <w:rFonts w:ascii="Times New Roman" w:eastAsia="Times New Roman" w:hAnsi="Times New Roman" w:cs="Times New Roman"/>
          <w:bCs/>
          <w:sz w:val="24"/>
          <w:szCs w:val="24"/>
        </w:rPr>
        <w:t xml:space="preserve"> Airlines often use fuel price hedges to mitigate the risk of rising fuel costs.</w:t>
      </w:r>
      <w:r w:rsidR="00E43146" w:rsidRPr="001F0D9C">
        <w:rPr>
          <w:rFonts w:ascii="Times New Roman" w:eastAsia="Times New Roman" w:hAnsi="Times New Roman" w:cs="Times New Roman"/>
          <w:bCs/>
          <w:sz w:val="24"/>
          <w:szCs w:val="24"/>
        </w:rPr>
        <w:t xml:space="preserve"> Harbourfront Technologies (2023) shared that this is done to “counter the impact of fuel price volatility”. This involves airlines </w:t>
      </w:r>
      <w:r w:rsidR="00075149" w:rsidRPr="001F0D9C">
        <w:rPr>
          <w:rFonts w:ascii="Times New Roman" w:eastAsia="Times New Roman" w:hAnsi="Times New Roman" w:cs="Times New Roman"/>
          <w:bCs/>
          <w:sz w:val="24"/>
          <w:szCs w:val="24"/>
        </w:rPr>
        <w:t>entering</w:t>
      </w:r>
      <w:r w:rsidR="00E43146" w:rsidRPr="001F0D9C">
        <w:rPr>
          <w:rFonts w:ascii="Times New Roman" w:eastAsia="Times New Roman" w:hAnsi="Times New Roman" w:cs="Times New Roman"/>
          <w:bCs/>
          <w:sz w:val="24"/>
          <w:szCs w:val="24"/>
        </w:rPr>
        <w:t xml:space="preserve"> financial contract</w:t>
      </w:r>
      <w:r w:rsidR="00DD5A57" w:rsidRPr="001F0D9C">
        <w:rPr>
          <w:rFonts w:ascii="Times New Roman" w:eastAsia="Times New Roman" w:hAnsi="Times New Roman" w:cs="Times New Roman"/>
          <w:bCs/>
          <w:sz w:val="24"/>
          <w:szCs w:val="24"/>
        </w:rPr>
        <w:t>s such as futures contracts</w:t>
      </w:r>
      <w:r w:rsidR="00075149" w:rsidRPr="001F0D9C">
        <w:rPr>
          <w:rFonts w:ascii="Times New Roman" w:eastAsia="Times New Roman" w:hAnsi="Times New Roman" w:cs="Times New Roman"/>
          <w:bCs/>
          <w:sz w:val="24"/>
          <w:szCs w:val="24"/>
        </w:rPr>
        <w:t xml:space="preserve"> where the fuel cost is calculated at predetermined prices thereby addressing [mitigating] the vulnerability associated with any sudden spikes in fuel costs (Harbourfront Technologies, 2023). </w:t>
      </w:r>
      <w:r w:rsidR="00716FAB" w:rsidRPr="001F0D9C">
        <w:rPr>
          <w:rFonts w:ascii="Times New Roman" w:eastAsia="Times New Roman" w:hAnsi="Times New Roman" w:cs="Times New Roman"/>
          <w:bCs/>
          <w:sz w:val="24"/>
          <w:szCs w:val="24"/>
        </w:rPr>
        <w:t>Therefore,</w:t>
      </w:r>
      <w:r w:rsidR="00075149" w:rsidRPr="001F0D9C">
        <w:rPr>
          <w:rFonts w:ascii="Times New Roman" w:eastAsia="Times New Roman" w:hAnsi="Times New Roman" w:cs="Times New Roman"/>
          <w:bCs/>
          <w:sz w:val="24"/>
          <w:szCs w:val="24"/>
        </w:rPr>
        <w:t xml:space="preserve"> the airlines can better manage economic challenges that </w:t>
      </w:r>
      <w:r w:rsidR="00C76F1A" w:rsidRPr="001F0D9C">
        <w:rPr>
          <w:rFonts w:ascii="Times New Roman" w:eastAsia="Times New Roman" w:hAnsi="Times New Roman" w:cs="Times New Roman"/>
          <w:bCs/>
          <w:sz w:val="24"/>
          <w:szCs w:val="24"/>
        </w:rPr>
        <w:t>are likely to arise</w:t>
      </w:r>
      <w:r w:rsidR="00075149" w:rsidRPr="001F0D9C">
        <w:rPr>
          <w:rFonts w:ascii="Times New Roman" w:eastAsia="Times New Roman" w:hAnsi="Times New Roman" w:cs="Times New Roman"/>
          <w:bCs/>
          <w:sz w:val="24"/>
          <w:szCs w:val="24"/>
        </w:rPr>
        <w:t xml:space="preserve"> </w:t>
      </w:r>
      <w:r w:rsidR="00C76F1A" w:rsidRPr="001F0D9C">
        <w:rPr>
          <w:rFonts w:ascii="Times New Roman" w:eastAsia="Times New Roman" w:hAnsi="Times New Roman" w:cs="Times New Roman"/>
          <w:bCs/>
          <w:sz w:val="24"/>
          <w:szCs w:val="24"/>
        </w:rPr>
        <w:t>because of</w:t>
      </w:r>
      <w:r w:rsidR="00075149" w:rsidRPr="001F0D9C">
        <w:rPr>
          <w:rFonts w:ascii="Times New Roman" w:eastAsia="Times New Roman" w:hAnsi="Times New Roman" w:cs="Times New Roman"/>
          <w:bCs/>
          <w:sz w:val="24"/>
          <w:szCs w:val="24"/>
        </w:rPr>
        <w:t xml:space="preserve"> the fluctuation of fuel costs while ensuring stability in their operational planning and budgeting (Harbourfront Technologies, 2023).</w:t>
      </w:r>
      <w:r w:rsidR="00C76F1A" w:rsidRPr="001F0D9C">
        <w:rPr>
          <w:rFonts w:ascii="Times New Roman" w:eastAsia="Times New Roman" w:hAnsi="Times New Roman" w:cs="Times New Roman"/>
          <w:bCs/>
          <w:sz w:val="24"/>
          <w:szCs w:val="24"/>
        </w:rPr>
        <w:t xml:space="preserve"> Below are other real-life examples that illustrate how hedging has been effectively employed.</w:t>
      </w:r>
    </w:p>
    <w:p w14:paraId="78897043" w14:textId="77777777" w:rsidR="00C76F1A" w:rsidRPr="001F0D9C" w:rsidRDefault="00C76F1A" w:rsidP="001F0D9C">
      <w:pPr>
        <w:spacing w:line="276" w:lineRule="auto"/>
        <w:ind w:left="1170"/>
        <w:jc w:val="both"/>
        <w:rPr>
          <w:rFonts w:ascii="Times New Roman" w:eastAsia="Times New Roman" w:hAnsi="Times New Roman" w:cs="Times New Roman"/>
          <w:bCs/>
          <w:sz w:val="24"/>
          <w:szCs w:val="24"/>
        </w:rPr>
      </w:pPr>
    </w:p>
    <w:p w14:paraId="0322AEDF" w14:textId="3E211AD1" w:rsidR="00C76F1A" w:rsidRPr="001F0D9C" w:rsidRDefault="00C76F1A" w:rsidP="001F0D9C">
      <w:pPr>
        <w:spacing w:line="276" w:lineRule="auto"/>
        <w:ind w:left="117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t xml:space="preserve">Currency hedging in International Business </w:t>
      </w:r>
    </w:p>
    <w:p w14:paraId="24E23EE8" w14:textId="423142DA" w:rsidR="00C76F1A" w:rsidRPr="001F0D9C" w:rsidRDefault="00C76F1A" w:rsidP="009861A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Toyota Motor Corporation, a Japanese automaker with substantial international operations, employs currency hedging to mitigate exchange rate risks. Toyota produces vehicles in various countries and sells them globally, which exposes it to fluctuations in exchange rates. To minimize the impact of currency movements on its financial results, Toyota engages in forward contracts and options to hedge against unfavourable exchange rate shifts</w:t>
      </w:r>
      <w:r w:rsidR="00496858" w:rsidRPr="001F0D9C">
        <w:rPr>
          <w:rFonts w:ascii="Times New Roman" w:eastAsia="Times New Roman" w:hAnsi="Times New Roman" w:cs="Times New Roman"/>
          <w:bCs/>
          <w:sz w:val="24"/>
          <w:szCs w:val="24"/>
        </w:rPr>
        <w:t xml:space="preserve"> (Pan, 2023; US Securities and Exchange Commission, 2010)</w:t>
      </w:r>
      <w:r w:rsidRPr="001F0D9C">
        <w:rPr>
          <w:rFonts w:ascii="Times New Roman" w:eastAsia="Times New Roman" w:hAnsi="Times New Roman" w:cs="Times New Roman"/>
          <w:bCs/>
          <w:sz w:val="24"/>
          <w:szCs w:val="24"/>
        </w:rPr>
        <w:t>. This strategy helps stabilize earnings and supports consistent investments in development, research, and workforce development.</w:t>
      </w:r>
    </w:p>
    <w:p w14:paraId="24C5C9CA" w14:textId="77777777" w:rsidR="00BF7D37" w:rsidRPr="001F0D9C" w:rsidRDefault="00BF7D37" w:rsidP="001F0D9C">
      <w:pPr>
        <w:spacing w:line="276" w:lineRule="auto"/>
        <w:ind w:left="1170"/>
        <w:jc w:val="both"/>
        <w:rPr>
          <w:rFonts w:ascii="Times New Roman" w:eastAsia="Times New Roman" w:hAnsi="Times New Roman" w:cs="Times New Roman"/>
          <w:bCs/>
          <w:sz w:val="24"/>
          <w:szCs w:val="24"/>
        </w:rPr>
      </w:pPr>
    </w:p>
    <w:p w14:paraId="12F98754" w14:textId="0D2C88FB" w:rsidR="00191CCB" w:rsidRPr="001F0D9C" w:rsidRDefault="00191CCB" w:rsidP="001F0D9C">
      <w:pPr>
        <w:spacing w:line="276" w:lineRule="auto"/>
        <w:ind w:left="1170"/>
        <w:jc w:val="both"/>
        <w:rPr>
          <w:rFonts w:ascii="Times New Roman" w:eastAsia="Times New Roman" w:hAnsi="Times New Roman" w:cs="Times New Roman"/>
          <w:b/>
          <w:i/>
          <w:iCs/>
          <w:sz w:val="24"/>
          <w:szCs w:val="24"/>
          <w:u w:val="single"/>
        </w:rPr>
      </w:pPr>
      <w:r w:rsidRPr="001F0D9C">
        <w:rPr>
          <w:rFonts w:ascii="Times New Roman" w:eastAsia="Times New Roman" w:hAnsi="Times New Roman" w:cs="Times New Roman"/>
          <w:b/>
          <w:i/>
          <w:iCs/>
          <w:sz w:val="24"/>
          <w:szCs w:val="24"/>
          <w:u w:val="single"/>
        </w:rPr>
        <w:t xml:space="preserve">Commodity </w:t>
      </w:r>
      <w:r w:rsidR="00D61CDA" w:rsidRPr="001F0D9C">
        <w:rPr>
          <w:rFonts w:ascii="Times New Roman" w:eastAsia="Times New Roman" w:hAnsi="Times New Roman" w:cs="Times New Roman"/>
          <w:b/>
          <w:i/>
          <w:iCs/>
          <w:sz w:val="24"/>
          <w:szCs w:val="24"/>
          <w:u w:val="single"/>
        </w:rPr>
        <w:t>H</w:t>
      </w:r>
      <w:r w:rsidRPr="001F0D9C">
        <w:rPr>
          <w:rFonts w:ascii="Times New Roman" w:eastAsia="Times New Roman" w:hAnsi="Times New Roman" w:cs="Times New Roman"/>
          <w:b/>
          <w:i/>
          <w:iCs/>
          <w:sz w:val="24"/>
          <w:szCs w:val="24"/>
          <w:u w:val="single"/>
        </w:rPr>
        <w:t>edging in Agriculture</w:t>
      </w:r>
    </w:p>
    <w:p w14:paraId="012CED85" w14:textId="6B9376CA" w:rsidR="00191CCB" w:rsidRPr="001F0D9C" w:rsidRDefault="00191CCB" w:rsidP="009861A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lastRenderedPageBreak/>
        <w:t xml:space="preserve">Archer Daniels Midland Company (ADM), a major player in the agricultural industry, utilizes commodity hedging to manage price volatility. </w:t>
      </w:r>
      <w:r w:rsidR="002B2FC5" w:rsidRPr="001F0D9C">
        <w:rPr>
          <w:rFonts w:ascii="Times New Roman" w:eastAsia="Times New Roman" w:hAnsi="Times New Roman" w:cs="Times New Roman"/>
          <w:bCs/>
          <w:sz w:val="24"/>
          <w:szCs w:val="24"/>
        </w:rPr>
        <w:t>ADM processes and trades agricultural commodities to factors like weather and supply-demand dynamics, ADM employs futures and options contracts to hedge against unfavourable price movements</w:t>
      </w:r>
      <w:r w:rsidR="00604411" w:rsidRPr="001F0D9C">
        <w:rPr>
          <w:rFonts w:ascii="Times New Roman" w:eastAsia="Times New Roman" w:hAnsi="Times New Roman" w:cs="Times New Roman"/>
          <w:bCs/>
          <w:sz w:val="24"/>
          <w:szCs w:val="24"/>
        </w:rPr>
        <w:t xml:space="preserve"> (</w:t>
      </w:r>
      <w:r w:rsidR="00F612BA" w:rsidRPr="001F0D9C">
        <w:rPr>
          <w:rFonts w:ascii="Times New Roman" w:eastAsia="Times New Roman" w:hAnsi="Times New Roman" w:cs="Times New Roman"/>
          <w:bCs/>
          <w:sz w:val="24"/>
          <w:szCs w:val="24"/>
        </w:rPr>
        <w:t>US Securities and Exchange Commission, 2021</w:t>
      </w:r>
      <w:r w:rsidR="00604411" w:rsidRPr="001F0D9C">
        <w:rPr>
          <w:rFonts w:ascii="Times New Roman" w:eastAsia="Times New Roman" w:hAnsi="Times New Roman" w:cs="Times New Roman"/>
          <w:bCs/>
          <w:sz w:val="24"/>
          <w:szCs w:val="24"/>
        </w:rPr>
        <w:t>)</w:t>
      </w:r>
      <w:r w:rsidR="002B2FC5" w:rsidRPr="001F0D9C">
        <w:rPr>
          <w:rFonts w:ascii="Times New Roman" w:eastAsia="Times New Roman" w:hAnsi="Times New Roman" w:cs="Times New Roman"/>
          <w:bCs/>
          <w:sz w:val="24"/>
          <w:szCs w:val="24"/>
        </w:rPr>
        <w:t>. Effective hedging ensures stable revenues, enabling ADM to sustain investments in technology and employee training.</w:t>
      </w:r>
    </w:p>
    <w:p w14:paraId="2FD659D7" w14:textId="77777777" w:rsidR="002C575C" w:rsidRPr="001F0D9C" w:rsidRDefault="002C575C" w:rsidP="001F0D9C">
      <w:pPr>
        <w:spacing w:line="276" w:lineRule="auto"/>
        <w:ind w:left="1170"/>
        <w:jc w:val="both"/>
        <w:rPr>
          <w:rFonts w:ascii="Times New Roman" w:eastAsia="Times New Roman" w:hAnsi="Times New Roman" w:cs="Times New Roman"/>
          <w:bCs/>
          <w:sz w:val="24"/>
          <w:szCs w:val="24"/>
        </w:rPr>
      </w:pPr>
    </w:p>
    <w:p w14:paraId="42DCDBD0" w14:textId="493D3DC5" w:rsidR="00DF0C79" w:rsidRPr="001F0D9C" w:rsidRDefault="00DF0C79" w:rsidP="001F0D9C">
      <w:pPr>
        <w:spacing w:line="276" w:lineRule="auto"/>
        <w:ind w:left="1170"/>
        <w:jc w:val="both"/>
        <w:rPr>
          <w:rFonts w:ascii="Times New Roman" w:eastAsia="Times New Roman" w:hAnsi="Times New Roman" w:cs="Times New Roman"/>
          <w:b/>
          <w:i/>
          <w:iCs/>
          <w:sz w:val="24"/>
          <w:szCs w:val="24"/>
          <w:u w:val="single"/>
        </w:rPr>
      </w:pPr>
      <w:r w:rsidRPr="001F0D9C">
        <w:rPr>
          <w:rFonts w:ascii="Times New Roman" w:eastAsia="Times New Roman" w:hAnsi="Times New Roman" w:cs="Times New Roman"/>
          <w:b/>
          <w:i/>
          <w:iCs/>
          <w:sz w:val="24"/>
          <w:szCs w:val="24"/>
          <w:u w:val="single"/>
        </w:rPr>
        <w:t xml:space="preserve">Interest Rate Hedging in Financial Institutions </w:t>
      </w:r>
    </w:p>
    <w:p w14:paraId="7E7966C9" w14:textId="5B114136" w:rsidR="00DF0C79" w:rsidRPr="001F0D9C" w:rsidRDefault="00DF0C79"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Wells Fargo, one of the largest US banks, uses interest rate hedging to manage the impact of fluctuating interest rates on its balance sheet. Wells Fargo offers a variety of financial products and services, making it sensitive to changes in interest rates</w:t>
      </w:r>
      <w:r w:rsidR="007171AD" w:rsidRPr="001F0D9C">
        <w:rPr>
          <w:rFonts w:ascii="Times New Roman" w:eastAsia="Times New Roman" w:hAnsi="Times New Roman" w:cs="Times New Roman"/>
          <w:bCs/>
          <w:sz w:val="24"/>
          <w:szCs w:val="24"/>
        </w:rPr>
        <w:t xml:space="preserve"> (Wells Fargo corporate &amp; investment banking, 2023)</w:t>
      </w:r>
      <w:r w:rsidRPr="001F0D9C">
        <w:rPr>
          <w:rFonts w:ascii="Times New Roman" w:eastAsia="Times New Roman" w:hAnsi="Times New Roman" w:cs="Times New Roman"/>
          <w:bCs/>
          <w:sz w:val="24"/>
          <w:szCs w:val="24"/>
        </w:rPr>
        <w:t>. To mitigate this risk, the bank engages in interest rate swaps and options to offset potential losses due to interest rate fluctuations. Effective interest rate hedging supports Wells Fargo’s financial stability, enabling it to continue lending and supporting economic activities.</w:t>
      </w:r>
    </w:p>
    <w:p w14:paraId="68CC04D3" w14:textId="77777777" w:rsidR="00DF0C79" w:rsidRPr="001F0D9C" w:rsidRDefault="00DF0C79" w:rsidP="001F0D9C">
      <w:pPr>
        <w:spacing w:line="276" w:lineRule="auto"/>
        <w:ind w:left="1170"/>
        <w:jc w:val="both"/>
        <w:rPr>
          <w:rFonts w:ascii="Times New Roman" w:eastAsia="Times New Roman" w:hAnsi="Times New Roman" w:cs="Times New Roman"/>
          <w:bCs/>
          <w:sz w:val="24"/>
          <w:szCs w:val="24"/>
        </w:rPr>
      </w:pPr>
    </w:p>
    <w:p w14:paraId="1D40D176" w14:textId="5FE857D4" w:rsidR="000400DC" w:rsidRPr="001F0D9C" w:rsidRDefault="00027ED3"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Heding in risk financing and treasury management is a prudent strategy that reduces the impact of adverse events or market fluctuations. </w:t>
      </w:r>
      <w:r w:rsidR="000400DC" w:rsidRPr="001F0D9C">
        <w:rPr>
          <w:rFonts w:ascii="Times New Roman" w:eastAsia="Times New Roman" w:hAnsi="Times New Roman" w:cs="Times New Roman"/>
          <w:bCs/>
          <w:sz w:val="24"/>
          <w:szCs w:val="24"/>
        </w:rPr>
        <w:t>By mitigating financial risks, such as commodity price volatility, or interest rate shifts, or currency fluctuations, organizations ensure a stable financial foundation. This stability enables them to allocate resources consistently to human capital development, including healthcare, education, and workforce training and innovation. Just as hedging safeguards financial assets, it directly supports the development of a skilled workforce -essential elements for sustained economic growth. The ability to manage financial risks through hedging aligns with the broader goal of fostering a resilient economy driven by a robust human capital base, as explored in Chapter 1.</w:t>
      </w:r>
    </w:p>
    <w:p w14:paraId="39F0586C" w14:textId="77777777" w:rsidR="000400DC" w:rsidRPr="001F0D9C" w:rsidRDefault="000400DC" w:rsidP="001F0D9C">
      <w:pPr>
        <w:spacing w:line="276" w:lineRule="auto"/>
        <w:ind w:left="1170"/>
        <w:jc w:val="both"/>
        <w:rPr>
          <w:rFonts w:ascii="Times New Roman" w:eastAsia="Times New Roman" w:hAnsi="Times New Roman" w:cs="Times New Roman"/>
          <w:bCs/>
          <w:sz w:val="24"/>
          <w:szCs w:val="24"/>
        </w:rPr>
      </w:pPr>
    </w:p>
    <w:p w14:paraId="2F075300" w14:textId="66500CF1" w:rsidR="00A26344" w:rsidRPr="001F0D9C" w:rsidRDefault="00A26344" w:rsidP="001F0D9C">
      <w:pPr>
        <w:spacing w:line="276" w:lineRule="auto"/>
        <w:ind w:left="1170"/>
        <w:jc w:val="both"/>
        <w:rPr>
          <w:rFonts w:ascii="Times New Roman" w:eastAsia="Times New Roman" w:hAnsi="Times New Roman" w:cs="Times New Roman"/>
          <w:b/>
          <w:i/>
          <w:iCs/>
          <w:sz w:val="24"/>
          <w:szCs w:val="24"/>
        </w:rPr>
      </w:pPr>
      <w:r w:rsidRPr="001F0D9C">
        <w:rPr>
          <w:rFonts w:ascii="Times New Roman" w:eastAsia="Times New Roman" w:hAnsi="Times New Roman" w:cs="Times New Roman"/>
          <w:b/>
          <w:i/>
          <w:iCs/>
          <w:sz w:val="24"/>
          <w:szCs w:val="24"/>
        </w:rPr>
        <w:t>Insurance</w:t>
      </w:r>
    </w:p>
    <w:p w14:paraId="04E816DE" w14:textId="1B148E2D" w:rsidR="0021670F" w:rsidRPr="001F0D9C" w:rsidRDefault="00324CE6" w:rsidP="001F0D9C">
      <w:pPr>
        <w:spacing w:line="276" w:lineRule="auto"/>
        <w:ind w:left="1080" w:firstLine="36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Insurance is a well-established risk mitigation strategy in risk financing and treasury management, offering protection against various types of risks. </w:t>
      </w:r>
      <w:r w:rsidR="00D86751" w:rsidRPr="001F0D9C">
        <w:rPr>
          <w:rFonts w:ascii="Times New Roman" w:eastAsia="Times New Roman" w:hAnsi="Times New Roman" w:cs="Times New Roman"/>
          <w:bCs/>
          <w:sz w:val="24"/>
          <w:szCs w:val="24"/>
        </w:rPr>
        <w:t xml:space="preserve">Insurance facilitates the transfer of risks to insurance companies across the world. For instance, </w:t>
      </w:r>
      <w:r w:rsidR="00D86751" w:rsidRPr="001F0D9C">
        <w:rPr>
          <w:rFonts w:ascii="Times New Roman" w:eastAsia="Times New Roman" w:hAnsi="Times New Roman" w:cs="Times New Roman"/>
          <w:bCs/>
          <w:sz w:val="24"/>
          <w:szCs w:val="24"/>
        </w:rPr>
        <w:lastRenderedPageBreak/>
        <w:t>property owners purchase insurance to mitigate the financial impact of events like natural disasters</w:t>
      </w:r>
      <w:r w:rsidR="005A6594" w:rsidRPr="001F0D9C">
        <w:rPr>
          <w:rFonts w:ascii="Times New Roman" w:eastAsia="Times New Roman" w:hAnsi="Times New Roman" w:cs="Times New Roman"/>
          <w:bCs/>
          <w:sz w:val="24"/>
          <w:szCs w:val="24"/>
        </w:rPr>
        <w:t>.</w:t>
      </w:r>
    </w:p>
    <w:p w14:paraId="047E2755" w14:textId="77777777" w:rsidR="00577F52" w:rsidRPr="001F0D9C" w:rsidRDefault="00577F52" w:rsidP="001F0D9C">
      <w:pPr>
        <w:spacing w:line="276" w:lineRule="auto"/>
        <w:ind w:left="1170"/>
        <w:jc w:val="both"/>
        <w:rPr>
          <w:rFonts w:ascii="Times New Roman" w:eastAsia="Times New Roman" w:hAnsi="Times New Roman" w:cs="Times New Roman"/>
          <w:bCs/>
          <w:sz w:val="24"/>
          <w:szCs w:val="24"/>
        </w:rPr>
      </w:pPr>
    </w:p>
    <w:p w14:paraId="7F23E360" w14:textId="49C63EC8" w:rsidR="00676466" w:rsidRPr="001F0D9C" w:rsidRDefault="00676466" w:rsidP="001F0D9C">
      <w:pPr>
        <w:spacing w:line="276" w:lineRule="auto"/>
        <w:ind w:left="1170"/>
        <w:jc w:val="both"/>
        <w:rPr>
          <w:rFonts w:ascii="Times New Roman" w:eastAsia="Times New Roman" w:hAnsi="Times New Roman" w:cs="Times New Roman"/>
          <w:b/>
          <w:i/>
          <w:iCs/>
          <w:sz w:val="24"/>
          <w:szCs w:val="24"/>
          <w:u w:val="single"/>
        </w:rPr>
      </w:pPr>
      <w:r w:rsidRPr="001F0D9C">
        <w:rPr>
          <w:rFonts w:ascii="Times New Roman" w:eastAsia="Times New Roman" w:hAnsi="Times New Roman" w:cs="Times New Roman"/>
          <w:b/>
          <w:i/>
          <w:iCs/>
          <w:sz w:val="24"/>
          <w:szCs w:val="24"/>
          <w:u w:val="single"/>
        </w:rPr>
        <w:t>Property and Casualty Insurance for Businesses</w:t>
      </w:r>
    </w:p>
    <w:p w14:paraId="6251CEC2" w14:textId="0372F521" w:rsidR="00676466" w:rsidRPr="001F0D9C" w:rsidRDefault="00676466"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General Electric (GE), a multinational conglomerate, utilizes property and casualty insurance to manage risks associated with its vast global operations. GE’s diverse business units, including aviation, healthcare, and renewable energy, are exposed to various risks, such as property damage, liability claims, and supply chain disruptions</w:t>
      </w:r>
      <w:r w:rsidR="00B67AC4" w:rsidRPr="001F0D9C">
        <w:rPr>
          <w:rFonts w:ascii="Times New Roman" w:eastAsia="Times New Roman" w:hAnsi="Times New Roman" w:cs="Times New Roman"/>
          <w:bCs/>
          <w:sz w:val="24"/>
          <w:szCs w:val="24"/>
        </w:rPr>
        <w:t xml:space="preserve"> (General Electric Company, 2022)</w:t>
      </w:r>
      <w:r w:rsidRPr="001F0D9C">
        <w:rPr>
          <w:rFonts w:ascii="Times New Roman" w:eastAsia="Times New Roman" w:hAnsi="Times New Roman" w:cs="Times New Roman"/>
          <w:bCs/>
          <w:sz w:val="24"/>
          <w:szCs w:val="24"/>
        </w:rPr>
        <w:t>. By maintaining comprehensive insurance coverage, GE mitigates these risks and protects its financial resources. This enables the company to focus on investments in innovation, employee development, and research.</w:t>
      </w:r>
    </w:p>
    <w:p w14:paraId="6DDE98FC" w14:textId="77777777" w:rsidR="00291AB2" w:rsidRPr="001F0D9C" w:rsidRDefault="00291AB2" w:rsidP="001F0D9C">
      <w:pPr>
        <w:spacing w:line="276" w:lineRule="auto"/>
        <w:ind w:left="1170"/>
        <w:jc w:val="both"/>
        <w:rPr>
          <w:rFonts w:ascii="Times New Roman" w:eastAsia="Times New Roman" w:hAnsi="Times New Roman" w:cs="Times New Roman"/>
          <w:bCs/>
          <w:sz w:val="24"/>
          <w:szCs w:val="24"/>
        </w:rPr>
      </w:pPr>
    </w:p>
    <w:p w14:paraId="02EF3B86" w14:textId="79C61694" w:rsidR="00291AB2" w:rsidRPr="001F0D9C" w:rsidRDefault="00291AB2" w:rsidP="001F0D9C">
      <w:pPr>
        <w:spacing w:line="276" w:lineRule="auto"/>
        <w:ind w:left="1170"/>
        <w:jc w:val="both"/>
        <w:rPr>
          <w:rFonts w:ascii="Times New Roman" w:eastAsia="Times New Roman" w:hAnsi="Times New Roman" w:cs="Times New Roman"/>
          <w:b/>
          <w:i/>
          <w:iCs/>
          <w:sz w:val="24"/>
          <w:szCs w:val="24"/>
          <w:u w:val="single"/>
        </w:rPr>
      </w:pPr>
      <w:r w:rsidRPr="001F0D9C">
        <w:rPr>
          <w:rFonts w:ascii="Times New Roman" w:eastAsia="Times New Roman" w:hAnsi="Times New Roman" w:cs="Times New Roman"/>
          <w:b/>
          <w:i/>
          <w:iCs/>
          <w:sz w:val="24"/>
          <w:szCs w:val="24"/>
          <w:u w:val="single"/>
        </w:rPr>
        <w:t>Health Insurance for Workforce Well-being</w:t>
      </w:r>
    </w:p>
    <w:p w14:paraId="38B815D4" w14:textId="40125F2F" w:rsidR="00EC2637" w:rsidRPr="001F0D9C" w:rsidRDefault="00EC2637"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Google, a global technology company, offers comprehensive health insurance benefits to its employees</w:t>
      </w:r>
      <w:r w:rsidR="005A37BE" w:rsidRPr="001F0D9C">
        <w:rPr>
          <w:rFonts w:ascii="Times New Roman" w:eastAsia="Times New Roman" w:hAnsi="Times New Roman" w:cs="Times New Roman"/>
          <w:bCs/>
          <w:sz w:val="24"/>
          <w:szCs w:val="24"/>
        </w:rPr>
        <w:t xml:space="preserve"> (Google LLC, 2023)</w:t>
      </w:r>
      <w:r w:rsidRPr="001F0D9C">
        <w:rPr>
          <w:rFonts w:ascii="Times New Roman" w:eastAsia="Times New Roman" w:hAnsi="Times New Roman" w:cs="Times New Roman"/>
          <w:bCs/>
          <w:sz w:val="24"/>
          <w:szCs w:val="24"/>
        </w:rPr>
        <w:t>. This commitment to employee health mitigates the risk of workforce health</w:t>
      </w:r>
      <w:r w:rsidR="005A37BE" w:rsidRPr="001F0D9C">
        <w:rPr>
          <w:rFonts w:ascii="Times New Roman" w:eastAsia="Times New Roman" w:hAnsi="Times New Roman" w:cs="Times New Roman"/>
          <w:bCs/>
          <w:sz w:val="24"/>
          <w:szCs w:val="24"/>
        </w:rPr>
        <w:t>-related issues disrupting operations. Google’s health insurance coverage not only supports the well-being of its workforce but also helps retain and attract top talent. This real-life example demonstrates how health insurance contributes to a healthy and productive workforce, indirectly supporting the company’s growth and innovation.</w:t>
      </w:r>
    </w:p>
    <w:p w14:paraId="06320E4D" w14:textId="77777777" w:rsidR="00132AF8" w:rsidRPr="001F0D9C" w:rsidRDefault="00132AF8" w:rsidP="001F0D9C">
      <w:pPr>
        <w:spacing w:line="276" w:lineRule="auto"/>
        <w:ind w:left="1170"/>
        <w:jc w:val="both"/>
        <w:rPr>
          <w:rFonts w:ascii="Times New Roman" w:eastAsia="Times New Roman" w:hAnsi="Times New Roman" w:cs="Times New Roman"/>
          <w:bCs/>
          <w:sz w:val="24"/>
          <w:szCs w:val="24"/>
        </w:rPr>
      </w:pPr>
    </w:p>
    <w:p w14:paraId="51691FC2" w14:textId="3CCEB8AF" w:rsidR="00132AF8" w:rsidRPr="001F0D9C" w:rsidRDefault="00132AF8" w:rsidP="001F0D9C">
      <w:pPr>
        <w:spacing w:line="276" w:lineRule="auto"/>
        <w:ind w:left="1170"/>
        <w:jc w:val="both"/>
        <w:rPr>
          <w:rFonts w:ascii="Times New Roman" w:eastAsia="Times New Roman" w:hAnsi="Times New Roman" w:cs="Times New Roman"/>
          <w:b/>
          <w:i/>
          <w:iCs/>
          <w:sz w:val="24"/>
          <w:szCs w:val="24"/>
          <w:u w:val="single"/>
        </w:rPr>
      </w:pPr>
      <w:r w:rsidRPr="001F0D9C">
        <w:rPr>
          <w:rFonts w:ascii="Times New Roman" w:eastAsia="Times New Roman" w:hAnsi="Times New Roman" w:cs="Times New Roman"/>
          <w:b/>
          <w:i/>
          <w:iCs/>
          <w:sz w:val="24"/>
          <w:szCs w:val="24"/>
          <w:u w:val="single"/>
        </w:rPr>
        <w:t>Trade Credit Insurance for Exporters</w:t>
      </w:r>
    </w:p>
    <w:p w14:paraId="6A32C893" w14:textId="34CD3CAB" w:rsidR="00132AF8" w:rsidRPr="001F0D9C" w:rsidRDefault="00132AF8"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The Export-Import Bank of the United States of America provides trade credit insurance to U.S. exporters. This insurance mitigates the risk of non-payment by foreign buyers, enabling American businesses to expand</w:t>
      </w:r>
      <w:r w:rsidR="00504248" w:rsidRPr="001F0D9C">
        <w:rPr>
          <w:rFonts w:ascii="Times New Roman" w:eastAsia="Times New Roman" w:hAnsi="Times New Roman" w:cs="Times New Roman"/>
          <w:bCs/>
          <w:sz w:val="24"/>
          <w:szCs w:val="24"/>
        </w:rPr>
        <w:t xml:space="preserve"> their export activities</w:t>
      </w:r>
      <w:r w:rsidR="00733BEA" w:rsidRPr="001F0D9C">
        <w:rPr>
          <w:rFonts w:ascii="Times New Roman" w:eastAsia="Times New Roman" w:hAnsi="Times New Roman" w:cs="Times New Roman"/>
          <w:bCs/>
          <w:sz w:val="24"/>
          <w:szCs w:val="24"/>
        </w:rPr>
        <w:t xml:space="preserve"> (International Trade Administration, 2023)</w:t>
      </w:r>
      <w:r w:rsidR="00504248" w:rsidRPr="001F0D9C">
        <w:rPr>
          <w:rFonts w:ascii="Times New Roman" w:eastAsia="Times New Roman" w:hAnsi="Times New Roman" w:cs="Times New Roman"/>
          <w:bCs/>
          <w:sz w:val="24"/>
          <w:szCs w:val="24"/>
        </w:rPr>
        <w:t>. By offering this coverage, the government supports economic growth by encouraging international trade and empowering businesses to invest in product development and market expansion.</w:t>
      </w:r>
    </w:p>
    <w:p w14:paraId="71BD99AC" w14:textId="77777777" w:rsidR="00291AB2" w:rsidRPr="001F0D9C" w:rsidRDefault="00291AB2" w:rsidP="001F0D9C">
      <w:pPr>
        <w:spacing w:line="276" w:lineRule="auto"/>
        <w:ind w:left="1170"/>
        <w:jc w:val="both"/>
        <w:rPr>
          <w:rFonts w:ascii="Times New Roman" w:eastAsia="Times New Roman" w:hAnsi="Times New Roman" w:cs="Times New Roman"/>
          <w:bCs/>
          <w:sz w:val="24"/>
          <w:szCs w:val="24"/>
        </w:rPr>
      </w:pPr>
    </w:p>
    <w:p w14:paraId="1C324A5C" w14:textId="7AD8D979" w:rsidR="00733BEA" w:rsidRPr="001F0D9C" w:rsidRDefault="00003169" w:rsidP="001F0D9C">
      <w:pPr>
        <w:spacing w:line="276" w:lineRule="auto"/>
        <w:ind w:left="1170" w:firstLine="270"/>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Insurance in risk financing and treasury management aligns with the principles</w:t>
      </w:r>
      <w:r w:rsidR="005D541E" w:rsidRPr="001F0D9C">
        <w:rPr>
          <w:rFonts w:ascii="Times New Roman" w:eastAsia="Times New Roman" w:hAnsi="Times New Roman" w:cs="Times New Roman"/>
          <w:bCs/>
          <w:sz w:val="24"/>
          <w:szCs w:val="24"/>
        </w:rPr>
        <w:t xml:space="preserve"> discussed in Chapter 1: Introduction to Human Capital and Economic Growth by </w:t>
      </w:r>
      <w:r w:rsidR="005D541E" w:rsidRPr="001F0D9C">
        <w:rPr>
          <w:rFonts w:ascii="Times New Roman" w:eastAsia="Times New Roman" w:hAnsi="Times New Roman" w:cs="Times New Roman"/>
          <w:bCs/>
          <w:sz w:val="24"/>
          <w:szCs w:val="24"/>
        </w:rPr>
        <w:lastRenderedPageBreak/>
        <w:t>providing financial security. It ensures that organizations have a safety net to manage any unexpected events and losses, enabling them to allocate resources to areas like healthcare, education, and workforce development, which are pivotal for sustained economic growth. By mitigating various risks through insurance, organizations safeguard their financial stability, reinforcing their capacity to invest in human capital and drive economic prosperity.</w:t>
      </w:r>
    </w:p>
    <w:p w14:paraId="54FC38C3" w14:textId="77777777" w:rsidR="00484834" w:rsidRPr="001F0D9C" w:rsidRDefault="00484834" w:rsidP="001F0D9C">
      <w:pPr>
        <w:spacing w:line="276" w:lineRule="auto"/>
        <w:ind w:left="1170"/>
        <w:jc w:val="both"/>
        <w:rPr>
          <w:rFonts w:ascii="Times New Roman" w:eastAsia="Times New Roman" w:hAnsi="Times New Roman" w:cs="Times New Roman"/>
          <w:bCs/>
          <w:sz w:val="24"/>
          <w:szCs w:val="24"/>
        </w:rPr>
      </w:pPr>
    </w:p>
    <w:p w14:paraId="0B98891A" w14:textId="77777777" w:rsidR="00D72B83" w:rsidRPr="001F0D9C" w:rsidRDefault="00D72B83" w:rsidP="001F0D9C">
      <w:pPr>
        <w:spacing w:line="276" w:lineRule="auto"/>
        <w:jc w:val="both"/>
        <w:rPr>
          <w:rFonts w:ascii="Times New Roman" w:eastAsia="Times New Roman" w:hAnsi="Times New Roman" w:cs="Times New Roman"/>
          <w:bCs/>
          <w:sz w:val="24"/>
          <w:szCs w:val="24"/>
        </w:rPr>
      </w:pPr>
    </w:p>
    <w:p w14:paraId="000000A2" w14:textId="173939AF" w:rsidR="00186D9A" w:rsidRPr="001F0D9C" w:rsidRDefault="00FA2968" w:rsidP="001F0D9C">
      <w:pPr>
        <w:pStyle w:val="Heading1"/>
        <w:numPr>
          <w:ilvl w:val="0"/>
          <w:numId w:val="3"/>
        </w:numPr>
        <w:spacing w:line="276" w:lineRule="auto"/>
        <w:jc w:val="both"/>
        <w:rPr>
          <w:rFonts w:ascii="Times New Roman" w:eastAsia="Times New Roman" w:hAnsi="Times New Roman" w:cs="Times New Roman"/>
          <w:b/>
          <w:color w:val="000000"/>
        </w:rPr>
      </w:pPr>
      <w:bookmarkStart w:id="16" w:name="_Toc146481281"/>
      <w:r w:rsidRPr="001F0D9C">
        <w:rPr>
          <w:rFonts w:ascii="Times New Roman" w:eastAsia="Times New Roman" w:hAnsi="Times New Roman" w:cs="Times New Roman"/>
          <w:b/>
          <w:color w:val="000000"/>
        </w:rPr>
        <w:t>Managing Risks Through Treasury Operations</w:t>
      </w:r>
      <w:bookmarkEnd w:id="16"/>
    </w:p>
    <w:p w14:paraId="000000A3" w14:textId="77777777" w:rsidR="00186D9A" w:rsidRPr="001F0D9C" w:rsidRDefault="00186D9A" w:rsidP="001F0D9C">
      <w:pPr>
        <w:spacing w:line="276" w:lineRule="auto"/>
        <w:ind w:left="408"/>
        <w:jc w:val="both"/>
        <w:rPr>
          <w:rFonts w:ascii="Times New Roman" w:eastAsia="Times New Roman" w:hAnsi="Times New Roman" w:cs="Times New Roman"/>
          <w:bCs/>
          <w:sz w:val="24"/>
          <w:szCs w:val="24"/>
        </w:rPr>
      </w:pPr>
    </w:p>
    <w:p w14:paraId="17F4E049" w14:textId="5B2B7869" w:rsidR="00032276" w:rsidRPr="001F0D9C" w:rsidRDefault="001565F2" w:rsidP="001F0D9C">
      <w:pPr>
        <w:spacing w:line="276" w:lineRule="auto"/>
        <w:ind w:left="408" w:firstLine="312"/>
        <w:jc w:val="both"/>
        <w:rPr>
          <w:rFonts w:ascii="Times New Roman" w:eastAsia="Times New Roman" w:hAnsi="Times New Roman" w:cs="Times New Roman"/>
          <w:bCs/>
          <w:sz w:val="24"/>
          <w:szCs w:val="24"/>
        </w:rPr>
      </w:pPr>
      <w:r w:rsidRPr="001F0D9C">
        <w:rPr>
          <w:rFonts w:ascii="Times New Roman" w:eastAsia="Times New Roman" w:hAnsi="Times New Roman" w:cs="Times New Roman"/>
          <w:bCs/>
          <w:sz w:val="24"/>
          <w:szCs w:val="24"/>
        </w:rPr>
        <w:t xml:space="preserve">Managing risks through treasury operations is a critical pillar in the field of risk financing and </w:t>
      </w:r>
      <w:r w:rsidR="00B11465" w:rsidRPr="001F0D9C">
        <w:rPr>
          <w:rFonts w:ascii="Times New Roman" w:eastAsia="Times New Roman" w:hAnsi="Times New Roman" w:cs="Times New Roman"/>
          <w:bCs/>
          <w:sz w:val="24"/>
          <w:szCs w:val="24"/>
        </w:rPr>
        <w:t>treasury management, serving as the financial guardian of organizations in a dynamic and unpredictable world</w:t>
      </w:r>
      <w:r w:rsidR="00051DC3" w:rsidRPr="001F0D9C">
        <w:rPr>
          <w:rFonts w:ascii="Times New Roman" w:eastAsia="Times New Roman" w:hAnsi="Times New Roman" w:cs="Times New Roman"/>
          <w:bCs/>
          <w:sz w:val="24"/>
          <w:szCs w:val="24"/>
        </w:rPr>
        <w:t>.</w:t>
      </w:r>
      <w:r w:rsidR="00B11465" w:rsidRPr="001F0D9C">
        <w:rPr>
          <w:rFonts w:ascii="Times New Roman" w:eastAsia="Times New Roman" w:hAnsi="Times New Roman" w:cs="Times New Roman"/>
          <w:bCs/>
          <w:sz w:val="24"/>
          <w:szCs w:val="24"/>
        </w:rPr>
        <w:t xml:space="preserve"> This strategic discipline involves a spectrum of tactics, from hedging against currency fluctuations to optimizing liquidity and cash management. In an era where economic and financial landscapes are increasingly intricate, an adept treasury function becomes indispensable. This introductory paragraph delves into the realm of treasury operations, emphasizing its pivotal role in safeguarding an organization’s financial health, thereby fortifying its ability to invest in human capital development and stimulate enduring economic growth.</w:t>
      </w:r>
    </w:p>
    <w:p w14:paraId="4E913A0B" w14:textId="77777777" w:rsidR="00032276" w:rsidRPr="001F0D9C" w:rsidRDefault="00032276" w:rsidP="001F0D9C">
      <w:pPr>
        <w:spacing w:line="276" w:lineRule="auto"/>
        <w:ind w:left="408"/>
        <w:jc w:val="both"/>
        <w:rPr>
          <w:rFonts w:ascii="Times New Roman" w:eastAsia="Times New Roman" w:hAnsi="Times New Roman" w:cs="Times New Roman"/>
          <w:bCs/>
          <w:sz w:val="24"/>
          <w:szCs w:val="24"/>
        </w:rPr>
      </w:pPr>
    </w:p>
    <w:p w14:paraId="000000A4" w14:textId="02FE378D" w:rsidR="00186D9A" w:rsidRPr="001F0D9C" w:rsidRDefault="00324CE6" w:rsidP="001F0D9C">
      <w:pPr>
        <w:pStyle w:val="Heading2"/>
        <w:numPr>
          <w:ilvl w:val="1"/>
          <w:numId w:val="3"/>
        </w:numPr>
        <w:spacing w:line="276" w:lineRule="auto"/>
        <w:jc w:val="both"/>
        <w:rPr>
          <w:rFonts w:ascii="Times New Roman" w:eastAsia="Times New Roman" w:hAnsi="Times New Roman" w:cs="Times New Roman"/>
          <w:b/>
          <w:color w:val="000000"/>
          <w:u w:val="single"/>
        </w:rPr>
      </w:pPr>
      <w:bookmarkStart w:id="17" w:name="_Toc146481282"/>
      <w:r w:rsidRPr="001F0D9C">
        <w:rPr>
          <w:rFonts w:ascii="Times New Roman" w:eastAsia="Times New Roman" w:hAnsi="Times New Roman" w:cs="Times New Roman"/>
          <w:b/>
          <w:color w:val="000000"/>
          <w:u w:val="single"/>
        </w:rPr>
        <w:t>Treasury Management</w:t>
      </w:r>
      <w:bookmarkEnd w:id="17"/>
    </w:p>
    <w:p w14:paraId="000000AB" w14:textId="77777777" w:rsidR="00186D9A" w:rsidRPr="001F0D9C" w:rsidRDefault="00186D9A" w:rsidP="001F0D9C">
      <w:pPr>
        <w:spacing w:line="276" w:lineRule="auto"/>
        <w:ind w:left="1170"/>
        <w:jc w:val="both"/>
        <w:rPr>
          <w:rFonts w:ascii="Times New Roman" w:hAnsi="Times New Roman" w:cs="Times New Roman"/>
        </w:rPr>
      </w:pPr>
    </w:p>
    <w:p w14:paraId="1FA925A0" w14:textId="5C0124A9" w:rsidR="00210BC7" w:rsidRPr="001F0D9C" w:rsidRDefault="00726BED" w:rsidP="001F0D9C">
      <w:pPr>
        <w:spacing w:line="276" w:lineRule="auto"/>
        <w:ind w:left="1170" w:firstLine="270"/>
        <w:jc w:val="both"/>
        <w:rPr>
          <w:rFonts w:ascii="Times New Roman" w:hAnsi="Times New Roman" w:cs="Times New Roman"/>
          <w:sz w:val="24"/>
          <w:szCs w:val="24"/>
        </w:rPr>
      </w:pPr>
      <w:r w:rsidRPr="001F0D9C">
        <w:rPr>
          <w:rFonts w:ascii="Times New Roman" w:hAnsi="Times New Roman" w:cs="Times New Roman"/>
          <w:sz w:val="24"/>
          <w:szCs w:val="24"/>
        </w:rPr>
        <w:t>The Proctor and Gamble Company (P&amp;G) between 2020 and 2021 was criticized for its non-proactive approach to treasury risk management</w:t>
      </w:r>
      <w:r w:rsidR="00FE65DF" w:rsidRPr="001F0D9C">
        <w:rPr>
          <w:rFonts w:ascii="Times New Roman" w:hAnsi="Times New Roman" w:cs="Times New Roman"/>
          <w:sz w:val="24"/>
          <w:szCs w:val="24"/>
        </w:rPr>
        <w:t>.</w:t>
      </w:r>
      <w:r w:rsidRPr="001F0D9C">
        <w:rPr>
          <w:rFonts w:ascii="Times New Roman" w:hAnsi="Times New Roman" w:cs="Times New Roman"/>
          <w:sz w:val="24"/>
          <w:szCs w:val="24"/>
        </w:rPr>
        <w:t xml:space="preserve"> P&amp;G strongly opted to not consider hedging policy</w:t>
      </w:r>
      <w:r w:rsidR="000F6F1E" w:rsidRPr="001F0D9C">
        <w:rPr>
          <w:rFonts w:ascii="Times New Roman" w:hAnsi="Times New Roman" w:cs="Times New Roman"/>
          <w:sz w:val="24"/>
          <w:szCs w:val="24"/>
        </w:rPr>
        <w:t xml:space="preserve"> while expecting their customers to pay $2.3 billion </w:t>
      </w:r>
      <w:r w:rsidR="00D12962" w:rsidRPr="001F0D9C">
        <w:rPr>
          <w:rFonts w:ascii="Times New Roman" w:hAnsi="Times New Roman" w:cs="Times New Roman"/>
          <w:sz w:val="24"/>
          <w:szCs w:val="24"/>
        </w:rPr>
        <w:t>because of</w:t>
      </w:r>
      <w:r w:rsidR="000F6F1E" w:rsidRPr="001F0D9C">
        <w:rPr>
          <w:rFonts w:ascii="Times New Roman" w:hAnsi="Times New Roman" w:cs="Times New Roman"/>
          <w:sz w:val="24"/>
          <w:szCs w:val="24"/>
        </w:rPr>
        <w:t xml:space="preserve"> not hedging against </w:t>
      </w:r>
      <w:r w:rsidR="00D12962" w:rsidRPr="001F0D9C">
        <w:rPr>
          <w:rFonts w:ascii="Times New Roman" w:hAnsi="Times New Roman" w:cs="Times New Roman"/>
          <w:sz w:val="24"/>
          <w:szCs w:val="24"/>
        </w:rPr>
        <w:t xml:space="preserve">inflation </w:t>
      </w:r>
      <w:r w:rsidR="000F6F1E" w:rsidRPr="001F0D9C">
        <w:rPr>
          <w:rFonts w:ascii="Times New Roman" w:hAnsi="Times New Roman" w:cs="Times New Roman"/>
          <w:sz w:val="24"/>
          <w:szCs w:val="24"/>
        </w:rPr>
        <w:t>risk associated with commodity (Karwal, 2021).</w:t>
      </w:r>
      <w:r w:rsidR="00D12962" w:rsidRPr="001F0D9C">
        <w:rPr>
          <w:rFonts w:ascii="Times New Roman" w:hAnsi="Times New Roman" w:cs="Times New Roman"/>
          <w:sz w:val="24"/>
          <w:szCs w:val="24"/>
        </w:rPr>
        <w:t xml:space="preserve"> This cost resulted because of </w:t>
      </w:r>
      <w:r w:rsidR="004A6D26" w:rsidRPr="001F0D9C">
        <w:rPr>
          <w:rFonts w:ascii="Times New Roman" w:hAnsi="Times New Roman" w:cs="Times New Roman"/>
          <w:sz w:val="24"/>
          <w:szCs w:val="24"/>
        </w:rPr>
        <w:t>an increase</w:t>
      </w:r>
      <w:r w:rsidR="00D12962" w:rsidRPr="001F0D9C">
        <w:rPr>
          <w:rFonts w:ascii="Times New Roman" w:hAnsi="Times New Roman" w:cs="Times New Roman"/>
          <w:sz w:val="24"/>
          <w:szCs w:val="24"/>
        </w:rPr>
        <w:t xml:space="preserve"> in FX, freight, and raw material costs in the third quarter after P&amp;G promised that they would be alright by not hedging. At that time raw material prices seemed to be surging greatly</w:t>
      </w:r>
      <w:r w:rsidR="00D80483" w:rsidRPr="001F0D9C">
        <w:rPr>
          <w:rFonts w:ascii="Times New Roman" w:hAnsi="Times New Roman" w:cs="Times New Roman"/>
          <w:sz w:val="24"/>
          <w:szCs w:val="24"/>
        </w:rPr>
        <w:t xml:space="preserve"> as seen in Figure 10</w:t>
      </w:r>
      <w:r w:rsidR="00D12962" w:rsidRPr="001F0D9C">
        <w:rPr>
          <w:rFonts w:ascii="Times New Roman" w:hAnsi="Times New Roman" w:cs="Times New Roman"/>
          <w:sz w:val="24"/>
          <w:szCs w:val="24"/>
        </w:rPr>
        <w:t>.</w:t>
      </w:r>
    </w:p>
    <w:p w14:paraId="4FC65D83" w14:textId="668CF629" w:rsidR="00EA103C" w:rsidRPr="001F0D9C" w:rsidRDefault="00EA103C" w:rsidP="001F0D9C">
      <w:pPr>
        <w:spacing w:line="276" w:lineRule="auto"/>
        <w:ind w:left="1170" w:firstLine="270"/>
        <w:jc w:val="both"/>
        <w:rPr>
          <w:rFonts w:ascii="Times New Roman" w:hAnsi="Times New Roman" w:cs="Times New Roman"/>
          <w:sz w:val="24"/>
          <w:szCs w:val="24"/>
        </w:rPr>
      </w:pPr>
      <w:r w:rsidRPr="001F0D9C">
        <w:rPr>
          <w:rFonts w:ascii="Times New Roman" w:hAnsi="Times New Roman" w:cs="Times New Roman"/>
          <w:sz w:val="24"/>
          <w:szCs w:val="24"/>
        </w:rPr>
        <w:t xml:space="preserve">Coca Cola, on the other hand, US beverage giant, is known for its proactive approach to treasury risk management. The company employs various hedging strategies to mitigate currency risk, given its extensive international operations. Coca Cola’s treasury options include the use of financial derivatives such as forward </w:t>
      </w:r>
      <w:r w:rsidRPr="001F0D9C">
        <w:rPr>
          <w:rFonts w:ascii="Times New Roman" w:hAnsi="Times New Roman" w:cs="Times New Roman"/>
          <w:sz w:val="24"/>
          <w:szCs w:val="24"/>
        </w:rPr>
        <w:lastRenderedPageBreak/>
        <w:t>contracts and options to protect against fluctuations in exchange rates.</w:t>
      </w:r>
      <w:r w:rsidR="0068396B" w:rsidRPr="001F0D9C">
        <w:rPr>
          <w:rFonts w:ascii="Times New Roman" w:hAnsi="Times New Roman" w:cs="Times New Roman"/>
          <w:sz w:val="24"/>
          <w:szCs w:val="24"/>
        </w:rPr>
        <w:t xml:space="preserve"> This approach has contributed to the stability of Coca Cola’s earnings and financial results.</w:t>
      </w:r>
      <w:r w:rsidRPr="001F0D9C">
        <w:rPr>
          <w:rFonts w:ascii="Times New Roman" w:hAnsi="Times New Roman" w:cs="Times New Roman"/>
          <w:sz w:val="24"/>
          <w:szCs w:val="24"/>
        </w:rPr>
        <w:t xml:space="preserve"> Karwal (2021) shared that Coca Cola was able to benefit vastly from very low prices of raw materials after almost doubling its notional commodity hedges in 2021.</w:t>
      </w:r>
      <w:r w:rsidR="00007A2F" w:rsidRPr="001F0D9C">
        <w:rPr>
          <w:rFonts w:ascii="Times New Roman" w:hAnsi="Times New Roman" w:cs="Times New Roman"/>
          <w:sz w:val="24"/>
          <w:szCs w:val="24"/>
        </w:rPr>
        <w:t xml:space="preserve"> Karwal (2021) also explained that PepsiCo also benefited from its notional commodity hedges being able to counter the “2% rise in its cost of goods sold”.</w:t>
      </w:r>
      <w:r w:rsidR="003834B2" w:rsidRPr="001F0D9C">
        <w:rPr>
          <w:rFonts w:ascii="Times New Roman" w:hAnsi="Times New Roman" w:cs="Times New Roman"/>
          <w:sz w:val="24"/>
          <w:szCs w:val="24"/>
        </w:rPr>
        <w:t xml:space="preserve"> Figure</w:t>
      </w:r>
      <w:r w:rsidR="00D80483" w:rsidRPr="001F0D9C">
        <w:rPr>
          <w:rFonts w:ascii="Times New Roman" w:hAnsi="Times New Roman" w:cs="Times New Roman"/>
          <w:sz w:val="24"/>
          <w:szCs w:val="24"/>
        </w:rPr>
        <w:t xml:space="preserve"> 11</w:t>
      </w:r>
      <w:r w:rsidR="003834B2" w:rsidRPr="001F0D9C">
        <w:rPr>
          <w:rFonts w:ascii="Times New Roman" w:hAnsi="Times New Roman" w:cs="Times New Roman"/>
          <w:sz w:val="24"/>
          <w:szCs w:val="24"/>
        </w:rPr>
        <w:t xml:space="preserve"> shows that </w:t>
      </w:r>
      <w:r w:rsidR="00FB20FB" w:rsidRPr="001F0D9C">
        <w:rPr>
          <w:rFonts w:ascii="Times New Roman" w:hAnsi="Times New Roman" w:cs="Times New Roman"/>
          <w:sz w:val="24"/>
          <w:szCs w:val="24"/>
        </w:rPr>
        <w:t>in</w:t>
      </w:r>
      <w:r w:rsidR="003834B2" w:rsidRPr="001F0D9C">
        <w:rPr>
          <w:rFonts w:ascii="Times New Roman" w:hAnsi="Times New Roman" w:cs="Times New Roman"/>
          <w:sz w:val="24"/>
          <w:szCs w:val="24"/>
        </w:rPr>
        <w:t xml:space="preserve"> 2021, Coca Cola in comparison to Pepsi benefited more from commodity hedging using derivatives</w:t>
      </w:r>
      <w:r w:rsidR="00150CE2" w:rsidRPr="001F0D9C">
        <w:rPr>
          <w:rFonts w:ascii="Times New Roman" w:hAnsi="Times New Roman" w:cs="Times New Roman"/>
          <w:sz w:val="24"/>
          <w:szCs w:val="24"/>
        </w:rPr>
        <w:t xml:space="preserve"> (Karwal, 2021)</w:t>
      </w:r>
      <w:r w:rsidR="003834B2" w:rsidRPr="001F0D9C">
        <w:rPr>
          <w:rFonts w:ascii="Times New Roman" w:hAnsi="Times New Roman" w:cs="Times New Roman"/>
          <w:sz w:val="24"/>
          <w:szCs w:val="24"/>
        </w:rPr>
        <w:t>.</w:t>
      </w:r>
    </w:p>
    <w:p w14:paraId="5D813C25" w14:textId="3DE7CDEA" w:rsidR="00BB20DD" w:rsidRPr="001F0D9C" w:rsidRDefault="00A17FD1" w:rsidP="001F0D9C">
      <w:pPr>
        <w:spacing w:line="276" w:lineRule="auto"/>
        <w:ind w:left="450" w:firstLine="720"/>
        <w:jc w:val="both"/>
        <w:rPr>
          <w:rFonts w:ascii="Times New Roman" w:hAnsi="Times New Roman" w:cs="Times New Roman"/>
          <w:sz w:val="24"/>
          <w:szCs w:val="24"/>
        </w:rPr>
      </w:pPr>
      <w:r w:rsidRPr="001F0D9C">
        <w:rPr>
          <w:rFonts w:ascii="Times New Roman" w:hAnsi="Times New Roman" w:cs="Times New Roman"/>
          <w:noProof/>
          <w:sz w:val="24"/>
          <w:szCs w:val="24"/>
        </w:rPr>
        <w:drawing>
          <wp:inline distT="0" distB="0" distL="0" distR="0" wp14:anchorId="62A61841" wp14:editId="12288821">
            <wp:extent cx="5715000" cy="2493010"/>
            <wp:effectExtent l="0" t="0" r="0" b="2540"/>
            <wp:docPr id="1003899543" name="Picture 1" descr="A graph of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9543" name="Picture 1" descr="A graph of blue lines&#10;&#10;Description automatically generated"/>
                    <pic:cNvPicPr/>
                  </pic:nvPicPr>
                  <pic:blipFill rotWithShape="1">
                    <a:blip r:embed="rId18"/>
                    <a:srcRect l="3846" t="14615"/>
                    <a:stretch/>
                  </pic:blipFill>
                  <pic:spPr bwMode="auto">
                    <a:xfrm>
                      <a:off x="0" y="0"/>
                      <a:ext cx="5715000" cy="2493010"/>
                    </a:xfrm>
                    <a:prstGeom prst="rect">
                      <a:avLst/>
                    </a:prstGeom>
                    <a:ln>
                      <a:noFill/>
                    </a:ln>
                    <a:extLst>
                      <a:ext uri="{53640926-AAD7-44D8-BBD7-CCE9431645EC}">
                        <a14:shadowObscured xmlns:a14="http://schemas.microsoft.com/office/drawing/2010/main"/>
                      </a:ext>
                    </a:extLst>
                  </pic:spPr>
                </pic:pic>
              </a:graphicData>
            </a:graphic>
          </wp:inline>
        </w:drawing>
      </w:r>
    </w:p>
    <w:p w14:paraId="1A62F561" w14:textId="7254BF72" w:rsidR="00A17FD1" w:rsidRPr="001F0D9C" w:rsidRDefault="00A17FD1" w:rsidP="001F0D9C">
      <w:pPr>
        <w:pStyle w:val="Caption"/>
        <w:spacing w:line="276" w:lineRule="auto"/>
        <w:ind w:left="450" w:firstLine="720"/>
        <w:jc w:val="both"/>
        <w:rPr>
          <w:rFonts w:ascii="Times New Roman" w:hAnsi="Times New Roman" w:cs="Times New Roman"/>
          <w:b/>
          <w:bCs/>
          <w:i w:val="0"/>
          <w:iCs w:val="0"/>
          <w:color w:val="auto"/>
        </w:rPr>
      </w:pPr>
      <w:bookmarkStart w:id="18" w:name="_Toc146481302"/>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00044724" w:rsidRPr="001F0D9C">
        <w:rPr>
          <w:rFonts w:ascii="Times New Roman" w:hAnsi="Times New Roman" w:cs="Times New Roman"/>
          <w:b/>
          <w:bCs/>
          <w:i w:val="0"/>
          <w:iCs w:val="0"/>
          <w:noProof/>
          <w:color w:val="auto"/>
        </w:rPr>
        <w:t>10</w:t>
      </w:r>
      <w:bookmarkEnd w:id="18"/>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6BDF5378" w14:textId="0DC8FC4F" w:rsidR="00A17FD1" w:rsidRPr="001F0D9C" w:rsidRDefault="00A17FD1" w:rsidP="001F0D9C">
      <w:pPr>
        <w:pStyle w:val="Caption"/>
        <w:spacing w:line="276" w:lineRule="auto"/>
        <w:ind w:left="450" w:firstLine="720"/>
        <w:jc w:val="both"/>
        <w:rPr>
          <w:rFonts w:ascii="Times New Roman" w:hAnsi="Times New Roman" w:cs="Times New Roman"/>
          <w:color w:val="auto"/>
          <w:sz w:val="24"/>
          <w:szCs w:val="24"/>
        </w:rPr>
      </w:pPr>
      <w:r w:rsidRPr="001F0D9C">
        <w:rPr>
          <w:rFonts w:ascii="Times New Roman" w:hAnsi="Times New Roman" w:cs="Times New Roman"/>
          <w:color w:val="auto"/>
        </w:rPr>
        <w:t>Commodity Inflation</w:t>
      </w:r>
      <w:r w:rsidR="00D14C97" w:rsidRPr="001F0D9C">
        <w:rPr>
          <w:rFonts w:ascii="Times New Roman" w:hAnsi="Times New Roman" w:cs="Times New Roman"/>
          <w:color w:val="auto"/>
        </w:rPr>
        <w:t xml:space="preserve"> Indexed as of May 2020</w:t>
      </w:r>
      <w:r w:rsidRPr="001F0D9C">
        <w:rPr>
          <w:rFonts w:ascii="Times New Roman" w:hAnsi="Times New Roman" w:cs="Times New Roman"/>
          <w:color w:val="auto"/>
        </w:rPr>
        <w:t xml:space="preserve"> - Proctor &amp; Gamble (Karwal, 2021)</w:t>
      </w:r>
    </w:p>
    <w:p w14:paraId="323F7E9D" w14:textId="77777777" w:rsidR="00FB20FB" w:rsidRPr="001F0D9C" w:rsidRDefault="00FB20FB" w:rsidP="001F0D9C">
      <w:pPr>
        <w:spacing w:line="276" w:lineRule="auto"/>
        <w:ind w:left="1170" w:firstLine="270"/>
        <w:jc w:val="both"/>
        <w:rPr>
          <w:rFonts w:ascii="Times New Roman" w:hAnsi="Times New Roman" w:cs="Times New Roman"/>
          <w:sz w:val="24"/>
          <w:szCs w:val="24"/>
        </w:rPr>
      </w:pPr>
    </w:p>
    <w:p w14:paraId="6172C73D" w14:textId="5589ECDB" w:rsidR="00044724" w:rsidRPr="001F0D9C" w:rsidRDefault="00044724" w:rsidP="001F0D9C">
      <w:pPr>
        <w:spacing w:line="276" w:lineRule="auto"/>
        <w:ind w:left="450" w:firstLine="720"/>
        <w:jc w:val="both"/>
        <w:rPr>
          <w:rFonts w:ascii="Times New Roman" w:hAnsi="Times New Roman" w:cs="Times New Roman"/>
          <w:sz w:val="24"/>
          <w:szCs w:val="24"/>
        </w:rPr>
      </w:pPr>
      <w:r w:rsidRPr="001F0D9C">
        <w:rPr>
          <w:rFonts w:ascii="Times New Roman" w:hAnsi="Times New Roman" w:cs="Times New Roman"/>
          <w:noProof/>
          <w:sz w:val="24"/>
          <w:szCs w:val="24"/>
        </w:rPr>
        <w:drawing>
          <wp:inline distT="0" distB="0" distL="0" distR="0" wp14:anchorId="275067A0" wp14:editId="108F1274">
            <wp:extent cx="5516880" cy="1584960"/>
            <wp:effectExtent l="0" t="0" r="7620" b="0"/>
            <wp:docPr id="140775233" name="Picture 1" descr="A group of blue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5233" name="Picture 1" descr="A group of blue squares with numbers&#10;&#10;Description automatically generated"/>
                    <pic:cNvPicPr/>
                  </pic:nvPicPr>
                  <pic:blipFill rotWithShape="1">
                    <a:blip r:embed="rId19"/>
                    <a:srcRect l="1538" t="22840"/>
                    <a:stretch/>
                  </pic:blipFill>
                  <pic:spPr bwMode="auto">
                    <a:xfrm>
                      <a:off x="0" y="0"/>
                      <a:ext cx="5516880" cy="1584960"/>
                    </a:xfrm>
                    <a:prstGeom prst="rect">
                      <a:avLst/>
                    </a:prstGeom>
                    <a:ln>
                      <a:noFill/>
                    </a:ln>
                    <a:extLst>
                      <a:ext uri="{53640926-AAD7-44D8-BBD7-CCE9431645EC}">
                        <a14:shadowObscured xmlns:a14="http://schemas.microsoft.com/office/drawing/2010/main"/>
                      </a:ext>
                    </a:extLst>
                  </pic:spPr>
                </pic:pic>
              </a:graphicData>
            </a:graphic>
          </wp:inline>
        </w:drawing>
      </w:r>
    </w:p>
    <w:p w14:paraId="61E7A239" w14:textId="77777777" w:rsidR="00044724" w:rsidRPr="001F0D9C" w:rsidRDefault="00044724" w:rsidP="001F0D9C">
      <w:pPr>
        <w:pStyle w:val="Caption"/>
        <w:spacing w:line="276" w:lineRule="auto"/>
        <w:ind w:left="450" w:firstLine="720"/>
        <w:jc w:val="both"/>
        <w:rPr>
          <w:rFonts w:ascii="Times New Roman" w:hAnsi="Times New Roman" w:cs="Times New Roman"/>
          <w:b/>
          <w:bCs/>
          <w:i w:val="0"/>
          <w:iCs w:val="0"/>
          <w:color w:val="auto"/>
        </w:rPr>
      </w:pPr>
      <w:bookmarkStart w:id="19" w:name="_Toc146481303"/>
      <w:r w:rsidRPr="001F0D9C">
        <w:rPr>
          <w:rFonts w:ascii="Times New Roman" w:hAnsi="Times New Roman" w:cs="Times New Roman"/>
          <w:b/>
          <w:bCs/>
          <w:i w:val="0"/>
          <w:iCs w:val="0"/>
          <w:color w:val="auto"/>
        </w:rPr>
        <w:t xml:space="preserve">Figure </w:t>
      </w:r>
      <w:r w:rsidRPr="001F0D9C">
        <w:rPr>
          <w:rFonts w:ascii="Times New Roman" w:hAnsi="Times New Roman" w:cs="Times New Roman"/>
          <w:b/>
          <w:bCs/>
          <w:i w:val="0"/>
          <w:iCs w:val="0"/>
          <w:color w:val="auto"/>
        </w:rPr>
        <w:fldChar w:fldCharType="begin"/>
      </w:r>
      <w:r w:rsidRPr="001F0D9C">
        <w:rPr>
          <w:rFonts w:ascii="Times New Roman" w:hAnsi="Times New Roman" w:cs="Times New Roman"/>
          <w:b/>
          <w:bCs/>
          <w:i w:val="0"/>
          <w:iCs w:val="0"/>
          <w:color w:val="auto"/>
        </w:rPr>
        <w:instrText xml:space="preserve"> SEQ Figure \* ARABIC </w:instrText>
      </w:r>
      <w:r w:rsidRPr="001F0D9C">
        <w:rPr>
          <w:rFonts w:ascii="Times New Roman" w:hAnsi="Times New Roman" w:cs="Times New Roman"/>
          <w:b/>
          <w:bCs/>
          <w:i w:val="0"/>
          <w:iCs w:val="0"/>
          <w:color w:val="auto"/>
        </w:rPr>
        <w:fldChar w:fldCharType="separate"/>
      </w:r>
      <w:r w:rsidRPr="001F0D9C">
        <w:rPr>
          <w:rFonts w:ascii="Times New Roman" w:hAnsi="Times New Roman" w:cs="Times New Roman"/>
          <w:b/>
          <w:bCs/>
          <w:i w:val="0"/>
          <w:iCs w:val="0"/>
          <w:noProof/>
          <w:color w:val="auto"/>
        </w:rPr>
        <w:t>11</w:t>
      </w:r>
      <w:bookmarkEnd w:id="19"/>
      <w:r w:rsidRPr="001F0D9C">
        <w:rPr>
          <w:rFonts w:ascii="Times New Roman" w:hAnsi="Times New Roman" w:cs="Times New Roman"/>
          <w:b/>
          <w:bCs/>
          <w:i w:val="0"/>
          <w:iCs w:val="0"/>
          <w:color w:val="auto"/>
        </w:rPr>
        <w:fldChar w:fldCharType="end"/>
      </w:r>
      <w:r w:rsidRPr="001F0D9C">
        <w:rPr>
          <w:rFonts w:ascii="Times New Roman" w:hAnsi="Times New Roman" w:cs="Times New Roman"/>
          <w:b/>
          <w:bCs/>
          <w:i w:val="0"/>
          <w:iCs w:val="0"/>
          <w:color w:val="auto"/>
        </w:rPr>
        <w:t xml:space="preserve"> </w:t>
      </w:r>
    </w:p>
    <w:p w14:paraId="1E53B48A" w14:textId="5B0683F5" w:rsidR="00044724" w:rsidRPr="001F0D9C" w:rsidRDefault="00044724" w:rsidP="001F0D9C">
      <w:pPr>
        <w:pStyle w:val="Caption"/>
        <w:spacing w:line="276" w:lineRule="auto"/>
        <w:ind w:left="450" w:firstLine="720"/>
        <w:jc w:val="both"/>
        <w:rPr>
          <w:rFonts w:ascii="Times New Roman" w:hAnsi="Times New Roman" w:cs="Times New Roman"/>
          <w:color w:val="auto"/>
          <w:sz w:val="24"/>
          <w:szCs w:val="24"/>
        </w:rPr>
      </w:pPr>
      <w:r w:rsidRPr="001F0D9C">
        <w:rPr>
          <w:rFonts w:ascii="Times New Roman" w:hAnsi="Times New Roman" w:cs="Times New Roman"/>
          <w:color w:val="auto"/>
        </w:rPr>
        <w:t xml:space="preserve">Commodity </w:t>
      </w:r>
      <w:r w:rsidR="001C0386" w:rsidRPr="001F0D9C">
        <w:rPr>
          <w:rFonts w:ascii="Times New Roman" w:hAnsi="Times New Roman" w:cs="Times New Roman"/>
          <w:color w:val="auto"/>
        </w:rPr>
        <w:t>H</w:t>
      </w:r>
      <w:r w:rsidRPr="001F0D9C">
        <w:rPr>
          <w:rFonts w:ascii="Times New Roman" w:hAnsi="Times New Roman" w:cs="Times New Roman"/>
          <w:color w:val="auto"/>
        </w:rPr>
        <w:t>edge Ratio for Some Companies (in %) from 2017 to 2021 (Karwal, 2021)</w:t>
      </w:r>
    </w:p>
    <w:p w14:paraId="2F14FCED" w14:textId="77777777" w:rsidR="00C75BB5" w:rsidRPr="001F0D9C" w:rsidRDefault="00C75BB5" w:rsidP="001F0D9C">
      <w:pPr>
        <w:spacing w:line="276" w:lineRule="auto"/>
        <w:ind w:left="1170" w:firstLine="270"/>
        <w:jc w:val="both"/>
        <w:rPr>
          <w:rFonts w:ascii="Times New Roman" w:hAnsi="Times New Roman" w:cs="Times New Roman"/>
          <w:sz w:val="24"/>
          <w:szCs w:val="24"/>
        </w:rPr>
      </w:pPr>
    </w:p>
    <w:p w14:paraId="4C042A37" w14:textId="4443697B" w:rsidR="000F60A8" w:rsidRPr="001F0D9C" w:rsidRDefault="00324CE6" w:rsidP="001F0D9C">
      <w:pPr>
        <w:pStyle w:val="Heading2"/>
        <w:numPr>
          <w:ilvl w:val="1"/>
          <w:numId w:val="3"/>
        </w:numPr>
        <w:spacing w:line="276" w:lineRule="auto"/>
        <w:jc w:val="both"/>
        <w:rPr>
          <w:rFonts w:ascii="Times New Roman" w:eastAsia="Times New Roman" w:hAnsi="Times New Roman" w:cs="Times New Roman"/>
          <w:b/>
          <w:color w:val="000000"/>
          <w:u w:val="single"/>
        </w:rPr>
      </w:pPr>
      <w:bookmarkStart w:id="20" w:name="_Toc146481283"/>
      <w:r w:rsidRPr="001F0D9C">
        <w:rPr>
          <w:rFonts w:ascii="Times New Roman" w:eastAsia="Times New Roman" w:hAnsi="Times New Roman" w:cs="Times New Roman"/>
          <w:b/>
          <w:color w:val="000000"/>
          <w:u w:val="single"/>
        </w:rPr>
        <w:t>Cash Management and Liquidity Risk</w:t>
      </w:r>
      <w:bookmarkEnd w:id="20"/>
    </w:p>
    <w:p w14:paraId="30E9E358" w14:textId="77777777" w:rsidR="000F60A8" w:rsidRPr="001F0D9C" w:rsidRDefault="000F60A8" w:rsidP="001F0D9C">
      <w:pPr>
        <w:spacing w:line="276" w:lineRule="auto"/>
        <w:ind w:left="1170"/>
        <w:jc w:val="both"/>
        <w:rPr>
          <w:rFonts w:ascii="Times New Roman" w:hAnsi="Times New Roman" w:cs="Times New Roman"/>
          <w:sz w:val="24"/>
          <w:szCs w:val="24"/>
        </w:rPr>
      </w:pPr>
    </w:p>
    <w:p w14:paraId="17076E36" w14:textId="5BC13CB8" w:rsidR="00FD6728" w:rsidRPr="001F0D9C" w:rsidRDefault="00800508" w:rsidP="001F0D9C">
      <w:pPr>
        <w:spacing w:line="276" w:lineRule="auto"/>
        <w:ind w:left="1170" w:firstLine="270"/>
        <w:jc w:val="both"/>
        <w:rPr>
          <w:rFonts w:ascii="Times New Roman" w:hAnsi="Times New Roman" w:cs="Times New Roman"/>
          <w:sz w:val="24"/>
          <w:szCs w:val="24"/>
        </w:rPr>
      </w:pPr>
      <w:r w:rsidRPr="001F0D9C">
        <w:rPr>
          <w:rFonts w:ascii="Times New Roman" w:hAnsi="Times New Roman" w:cs="Times New Roman"/>
          <w:sz w:val="24"/>
          <w:szCs w:val="24"/>
        </w:rPr>
        <w:t>Apple’s treasury operations are renowned for their efficiency in managing cash and liquidity risk. The company holds substantial cash reserves and invests them prudently</w:t>
      </w:r>
      <w:r w:rsidR="00FD6728" w:rsidRPr="001F0D9C">
        <w:rPr>
          <w:rFonts w:ascii="Times New Roman" w:hAnsi="Times New Roman" w:cs="Times New Roman"/>
          <w:sz w:val="24"/>
          <w:szCs w:val="24"/>
        </w:rPr>
        <w:t>.</w:t>
      </w:r>
      <w:r w:rsidRPr="001F0D9C">
        <w:rPr>
          <w:rFonts w:ascii="Times New Roman" w:hAnsi="Times New Roman" w:cs="Times New Roman"/>
          <w:sz w:val="24"/>
          <w:szCs w:val="24"/>
        </w:rPr>
        <w:t xml:space="preserve"> Apple utilizes a diversified portfolio of short-term and long-term investments to optimize returns while ensuring sufficient liquidity for its operations and strategic investments (Apple Inc, 2022).</w:t>
      </w:r>
    </w:p>
    <w:p w14:paraId="20007138" w14:textId="77777777" w:rsidR="000F60A8" w:rsidRPr="001F0D9C" w:rsidRDefault="000F60A8" w:rsidP="001F0D9C">
      <w:pPr>
        <w:spacing w:line="276" w:lineRule="auto"/>
        <w:jc w:val="both"/>
        <w:rPr>
          <w:rFonts w:ascii="Times New Roman" w:hAnsi="Times New Roman" w:cs="Times New Roman"/>
          <w:sz w:val="24"/>
          <w:szCs w:val="24"/>
        </w:rPr>
      </w:pPr>
    </w:p>
    <w:p w14:paraId="1AD5E3CC" w14:textId="00DF1D4D" w:rsidR="004B6D4E" w:rsidRPr="001F0D9C" w:rsidRDefault="004244B7" w:rsidP="00022F48">
      <w:pPr>
        <w:spacing w:line="276" w:lineRule="auto"/>
        <w:ind w:left="1170" w:firstLine="270"/>
        <w:jc w:val="both"/>
        <w:rPr>
          <w:rFonts w:ascii="Times New Roman" w:hAnsi="Times New Roman" w:cs="Times New Roman"/>
          <w:sz w:val="24"/>
          <w:szCs w:val="24"/>
        </w:rPr>
      </w:pPr>
      <w:r w:rsidRPr="001F0D9C">
        <w:rPr>
          <w:rFonts w:ascii="Times New Roman" w:hAnsi="Times New Roman" w:cs="Times New Roman"/>
          <w:sz w:val="24"/>
          <w:szCs w:val="24"/>
        </w:rPr>
        <w:t>These examples demonstrate how businesses with global operations manage risks through treasury operations, aligning with principles discussed in risk financing and treasury management. Effective treasury practices ensure financial stability, support innovation and workforce development, and contribute to long-term economic growth.</w:t>
      </w:r>
    </w:p>
    <w:p w14:paraId="556692B6" w14:textId="77777777" w:rsidR="009F542A" w:rsidRPr="001F0D9C" w:rsidRDefault="009F542A" w:rsidP="001F0D9C">
      <w:pPr>
        <w:spacing w:line="276" w:lineRule="auto"/>
        <w:jc w:val="both"/>
        <w:rPr>
          <w:rFonts w:ascii="Times New Roman" w:hAnsi="Times New Roman" w:cs="Times New Roman"/>
          <w:sz w:val="24"/>
          <w:szCs w:val="24"/>
        </w:rPr>
      </w:pPr>
    </w:p>
    <w:p w14:paraId="60745F71" w14:textId="5B9EACDF" w:rsidR="00C87E88" w:rsidRPr="001F0D9C" w:rsidRDefault="002658E0" w:rsidP="001F0D9C">
      <w:pPr>
        <w:pStyle w:val="Heading1"/>
        <w:numPr>
          <w:ilvl w:val="0"/>
          <w:numId w:val="3"/>
        </w:numPr>
        <w:spacing w:line="276" w:lineRule="auto"/>
        <w:jc w:val="both"/>
        <w:rPr>
          <w:rFonts w:ascii="Times New Roman" w:hAnsi="Times New Roman" w:cs="Times New Roman"/>
          <w:b/>
          <w:bCs/>
          <w:color w:val="auto"/>
        </w:rPr>
      </w:pPr>
      <w:bookmarkStart w:id="21" w:name="_Toc146481284"/>
      <w:r w:rsidRPr="001F0D9C">
        <w:rPr>
          <w:rFonts w:ascii="Times New Roman" w:hAnsi="Times New Roman" w:cs="Times New Roman"/>
          <w:b/>
          <w:bCs/>
          <w:color w:val="auto"/>
        </w:rPr>
        <w:t>Implications of Risk Financing Decisions</w:t>
      </w:r>
      <w:bookmarkEnd w:id="21"/>
    </w:p>
    <w:p w14:paraId="4A7CE408" w14:textId="77777777" w:rsidR="00C87E88" w:rsidRPr="001F0D9C" w:rsidRDefault="00C87E88" w:rsidP="001F0D9C">
      <w:pPr>
        <w:spacing w:line="276" w:lineRule="auto"/>
        <w:ind w:left="408"/>
        <w:jc w:val="both"/>
        <w:rPr>
          <w:rFonts w:ascii="Times New Roman" w:hAnsi="Times New Roman" w:cs="Times New Roman"/>
          <w:sz w:val="24"/>
          <w:szCs w:val="24"/>
        </w:rPr>
      </w:pPr>
    </w:p>
    <w:p w14:paraId="3BC7D533" w14:textId="50FACFAB" w:rsidR="000E3525" w:rsidRPr="001F0D9C" w:rsidRDefault="004244B7" w:rsidP="001F0D9C">
      <w:pPr>
        <w:spacing w:line="276" w:lineRule="auto"/>
        <w:ind w:left="408" w:firstLine="312"/>
        <w:jc w:val="both"/>
        <w:rPr>
          <w:rFonts w:ascii="Times New Roman" w:hAnsi="Times New Roman" w:cs="Times New Roman"/>
          <w:sz w:val="24"/>
          <w:szCs w:val="24"/>
        </w:rPr>
      </w:pPr>
      <w:r w:rsidRPr="001F0D9C">
        <w:rPr>
          <w:rFonts w:ascii="Times New Roman" w:hAnsi="Times New Roman" w:cs="Times New Roman"/>
          <w:sz w:val="24"/>
          <w:szCs w:val="24"/>
        </w:rPr>
        <w:t xml:space="preserve">Risk financing </w:t>
      </w:r>
      <w:r w:rsidR="005B116E" w:rsidRPr="001F0D9C">
        <w:rPr>
          <w:rFonts w:ascii="Times New Roman" w:hAnsi="Times New Roman" w:cs="Times New Roman"/>
          <w:sz w:val="24"/>
          <w:szCs w:val="24"/>
        </w:rPr>
        <w:t>decisions bear substantial implications on the overall financial health of an organization</w:t>
      </w:r>
      <w:r w:rsidR="002C56C9" w:rsidRPr="001F0D9C">
        <w:rPr>
          <w:rFonts w:ascii="Times New Roman" w:hAnsi="Times New Roman" w:cs="Times New Roman"/>
          <w:sz w:val="24"/>
          <w:szCs w:val="24"/>
        </w:rPr>
        <w:t>.</w:t>
      </w:r>
      <w:r w:rsidR="005B116E" w:rsidRPr="001F0D9C">
        <w:rPr>
          <w:rFonts w:ascii="Times New Roman" w:hAnsi="Times New Roman" w:cs="Times New Roman"/>
          <w:sz w:val="24"/>
          <w:szCs w:val="24"/>
        </w:rPr>
        <w:t xml:space="preserve"> These decisions encompass a range of strategies, including insurance, self-insurance, diversification, and hedging, each with distinct ramifications for</w:t>
      </w:r>
      <w:r w:rsidR="008F22DD" w:rsidRPr="001F0D9C">
        <w:rPr>
          <w:rFonts w:ascii="Times New Roman" w:hAnsi="Times New Roman" w:cs="Times New Roman"/>
          <w:sz w:val="24"/>
          <w:szCs w:val="24"/>
        </w:rPr>
        <w:t xml:space="preserve"> financial well-being.</w:t>
      </w:r>
    </w:p>
    <w:p w14:paraId="5DF575A4" w14:textId="77777777" w:rsidR="008F22DD" w:rsidRPr="001F0D9C" w:rsidRDefault="008F22DD" w:rsidP="001F0D9C">
      <w:pPr>
        <w:spacing w:line="276" w:lineRule="auto"/>
        <w:ind w:left="408" w:firstLine="312"/>
        <w:jc w:val="both"/>
        <w:rPr>
          <w:rFonts w:ascii="Times New Roman" w:hAnsi="Times New Roman" w:cs="Times New Roman"/>
          <w:sz w:val="24"/>
          <w:szCs w:val="24"/>
        </w:rPr>
      </w:pPr>
    </w:p>
    <w:p w14:paraId="45275A19" w14:textId="6C06B8CE" w:rsidR="008F22DD" w:rsidRPr="001F0D9C" w:rsidRDefault="008F22DD" w:rsidP="001F0D9C">
      <w:pPr>
        <w:pStyle w:val="Heading2"/>
        <w:numPr>
          <w:ilvl w:val="1"/>
          <w:numId w:val="3"/>
        </w:numPr>
        <w:spacing w:line="276" w:lineRule="auto"/>
        <w:jc w:val="both"/>
        <w:rPr>
          <w:rFonts w:ascii="Times New Roman" w:eastAsia="Times New Roman" w:hAnsi="Times New Roman" w:cs="Times New Roman"/>
          <w:b/>
          <w:color w:val="000000"/>
          <w:u w:val="single"/>
        </w:rPr>
      </w:pPr>
      <w:bookmarkStart w:id="22" w:name="_Toc146481285"/>
      <w:r w:rsidRPr="001F0D9C">
        <w:rPr>
          <w:rFonts w:ascii="Times New Roman" w:eastAsia="Times New Roman" w:hAnsi="Times New Roman" w:cs="Times New Roman"/>
          <w:b/>
          <w:color w:val="000000"/>
          <w:u w:val="single"/>
        </w:rPr>
        <w:t>Cost Management</w:t>
      </w:r>
      <w:bookmarkEnd w:id="22"/>
      <w:r w:rsidRPr="001F0D9C">
        <w:rPr>
          <w:rFonts w:ascii="Times New Roman" w:eastAsia="Times New Roman" w:hAnsi="Times New Roman" w:cs="Times New Roman"/>
          <w:b/>
          <w:color w:val="000000"/>
          <w:u w:val="single"/>
        </w:rPr>
        <w:t xml:space="preserve"> </w:t>
      </w:r>
    </w:p>
    <w:p w14:paraId="595A8D27" w14:textId="74E05F7D" w:rsidR="008F22DD" w:rsidRPr="001F0D9C" w:rsidRDefault="00DE5E03" w:rsidP="001F0D9C">
      <w:pPr>
        <w:spacing w:line="276" w:lineRule="auto"/>
        <w:ind w:left="1170" w:firstLine="270"/>
        <w:jc w:val="both"/>
        <w:rPr>
          <w:rFonts w:ascii="Times New Roman" w:hAnsi="Times New Roman" w:cs="Times New Roman"/>
          <w:sz w:val="24"/>
          <w:szCs w:val="24"/>
        </w:rPr>
      </w:pPr>
      <w:r w:rsidRPr="001F0D9C">
        <w:rPr>
          <w:rFonts w:ascii="Times New Roman" w:hAnsi="Times New Roman" w:cs="Times New Roman"/>
          <w:sz w:val="24"/>
          <w:szCs w:val="24"/>
        </w:rPr>
        <w:t>The choice of risk financing method directly influences cost structures. For instance, opting for comprehensive insurance coverage may lead to higher premium expenses, while self-insurance can entail setting aside significant reserves.</w:t>
      </w:r>
      <w:r w:rsidR="00E35BF3" w:rsidRPr="001F0D9C">
        <w:rPr>
          <w:rFonts w:ascii="Times New Roman" w:hAnsi="Times New Roman" w:cs="Times New Roman"/>
          <w:sz w:val="24"/>
          <w:szCs w:val="24"/>
        </w:rPr>
        <w:t xml:space="preserve"> The financial health of an organization is impacted by these costs, as they affect cash flows, capital allocation, and profit margins. Prudent risk financing decisions aim to strike a balance between managing expenditure to sustain profitability while protecting against potential losses.</w:t>
      </w:r>
    </w:p>
    <w:p w14:paraId="07F9DEDB" w14:textId="77777777" w:rsidR="008F22DD" w:rsidRPr="001F0D9C" w:rsidRDefault="008F22DD" w:rsidP="001F0D9C">
      <w:pPr>
        <w:spacing w:line="276" w:lineRule="auto"/>
        <w:ind w:left="408" w:firstLine="312"/>
        <w:jc w:val="both"/>
        <w:rPr>
          <w:rFonts w:ascii="Times New Roman" w:hAnsi="Times New Roman" w:cs="Times New Roman"/>
          <w:sz w:val="24"/>
          <w:szCs w:val="24"/>
        </w:rPr>
      </w:pPr>
    </w:p>
    <w:p w14:paraId="11B83A5D" w14:textId="2275B65C" w:rsidR="008F22DD" w:rsidRPr="001F0D9C" w:rsidRDefault="008F22DD" w:rsidP="001F0D9C">
      <w:pPr>
        <w:pStyle w:val="Heading2"/>
        <w:numPr>
          <w:ilvl w:val="1"/>
          <w:numId w:val="3"/>
        </w:numPr>
        <w:spacing w:line="276" w:lineRule="auto"/>
        <w:jc w:val="both"/>
        <w:rPr>
          <w:rFonts w:ascii="Times New Roman" w:eastAsia="Times New Roman" w:hAnsi="Times New Roman" w:cs="Times New Roman"/>
          <w:b/>
          <w:color w:val="000000"/>
          <w:u w:val="single"/>
        </w:rPr>
      </w:pPr>
      <w:bookmarkStart w:id="23" w:name="_Toc146481286"/>
      <w:r w:rsidRPr="001F0D9C">
        <w:rPr>
          <w:rFonts w:ascii="Times New Roman" w:eastAsia="Times New Roman" w:hAnsi="Times New Roman" w:cs="Times New Roman"/>
          <w:b/>
          <w:color w:val="000000"/>
          <w:u w:val="single"/>
        </w:rPr>
        <w:lastRenderedPageBreak/>
        <w:t>Liquidity and Cash Flow</w:t>
      </w:r>
      <w:bookmarkEnd w:id="23"/>
    </w:p>
    <w:p w14:paraId="192038D1" w14:textId="24621C92" w:rsidR="008F22DD" w:rsidRPr="001F0D9C" w:rsidRDefault="005E10C0" w:rsidP="001F0D9C">
      <w:pPr>
        <w:spacing w:line="276" w:lineRule="auto"/>
        <w:ind w:left="1170" w:firstLine="270"/>
        <w:jc w:val="both"/>
        <w:rPr>
          <w:rFonts w:ascii="Times New Roman" w:hAnsi="Times New Roman" w:cs="Times New Roman"/>
          <w:sz w:val="24"/>
          <w:szCs w:val="24"/>
        </w:rPr>
      </w:pPr>
      <w:r w:rsidRPr="001F0D9C">
        <w:rPr>
          <w:rFonts w:ascii="Times New Roman" w:hAnsi="Times New Roman" w:cs="Times New Roman"/>
          <w:sz w:val="24"/>
          <w:szCs w:val="24"/>
        </w:rPr>
        <w:t>Risk financing strategies can tie up significant amounts of capital. For instance, self-insurance necessitates maintaining reserves to cover potential losses. This allocation of resources can impact cash flow and liquidity, potentially limiting the organization’s ability to invest in growth initiatives, including human capital development. Therefore, the choice of risk financing method should align with an organization’s liquidity needs to ensure financial stability.</w:t>
      </w:r>
    </w:p>
    <w:p w14:paraId="0F21E83B" w14:textId="77777777" w:rsidR="005E10C0" w:rsidRPr="001F0D9C" w:rsidRDefault="005E10C0" w:rsidP="001F0D9C">
      <w:pPr>
        <w:spacing w:line="276" w:lineRule="auto"/>
        <w:ind w:left="858" w:firstLine="312"/>
        <w:jc w:val="both"/>
        <w:rPr>
          <w:rFonts w:ascii="Times New Roman" w:hAnsi="Times New Roman" w:cs="Times New Roman"/>
          <w:sz w:val="24"/>
          <w:szCs w:val="24"/>
        </w:rPr>
      </w:pPr>
    </w:p>
    <w:p w14:paraId="6B7B68A6" w14:textId="00A8C5FA" w:rsidR="008F22DD" w:rsidRPr="001F0D9C" w:rsidRDefault="008F22DD" w:rsidP="001F0D9C">
      <w:pPr>
        <w:spacing w:line="276" w:lineRule="auto"/>
        <w:ind w:left="408" w:firstLine="312"/>
        <w:jc w:val="both"/>
        <w:rPr>
          <w:rFonts w:ascii="Times New Roman" w:hAnsi="Times New Roman" w:cs="Times New Roman"/>
          <w:sz w:val="24"/>
          <w:szCs w:val="24"/>
        </w:rPr>
      </w:pPr>
    </w:p>
    <w:p w14:paraId="63A3CDFC" w14:textId="61474B48" w:rsidR="008F22DD" w:rsidRPr="001F0D9C" w:rsidRDefault="008F22DD" w:rsidP="001F0D9C">
      <w:pPr>
        <w:pStyle w:val="Heading2"/>
        <w:numPr>
          <w:ilvl w:val="1"/>
          <w:numId w:val="3"/>
        </w:numPr>
        <w:spacing w:line="276" w:lineRule="auto"/>
        <w:jc w:val="both"/>
        <w:rPr>
          <w:rFonts w:ascii="Times New Roman" w:eastAsia="Times New Roman" w:hAnsi="Times New Roman" w:cs="Times New Roman"/>
          <w:b/>
          <w:color w:val="000000"/>
          <w:u w:val="single"/>
        </w:rPr>
      </w:pPr>
      <w:bookmarkStart w:id="24" w:name="_Toc146481287"/>
      <w:r w:rsidRPr="001F0D9C">
        <w:rPr>
          <w:rFonts w:ascii="Times New Roman" w:eastAsia="Times New Roman" w:hAnsi="Times New Roman" w:cs="Times New Roman"/>
          <w:b/>
          <w:color w:val="000000"/>
          <w:u w:val="single"/>
        </w:rPr>
        <w:t>Capital Allocation</w:t>
      </w:r>
      <w:bookmarkEnd w:id="24"/>
    </w:p>
    <w:p w14:paraId="6CB12406" w14:textId="3BA54283" w:rsidR="00BA7C91" w:rsidRPr="001F0D9C" w:rsidRDefault="00BA7C91" w:rsidP="001F0D9C">
      <w:pPr>
        <w:spacing w:line="276" w:lineRule="auto"/>
        <w:ind w:left="1170" w:firstLine="270"/>
        <w:jc w:val="both"/>
        <w:rPr>
          <w:rFonts w:ascii="Times New Roman" w:hAnsi="Times New Roman" w:cs="Times New Roman"/>
          <w:sz w:val="24"/>
          <w:szCs w:val="24"/>
        </w:rPr>
      </w:pPr>
      <w:r w:rsidRPr="001F0D9C">
        <w:rPr>
          <w:rFonts w:ascii="Times New Roman" w:hAnsi="Times New Roman" w:cs="Times New Roman"/>
          <w:sz w:val="24"/>
          <w:szCs w:val="24"/>
        </w:rPr>
        <w:t xml:space="preserve">The allocation of capital for risk financing affects the availability of funds for other critical purposes, such as expansion, workforce training, and research and development. Misaligned risk financing decisions can divert resources away from these areas, potentially hindering an organization’s long-term growth prospects. Therefore, careful consideration of how risk financing impacts capital allocation is vital for </w:t>
      </w:r>
      <w:r w:rsidR="00CA78FA" w:rsidRPr="001F0D9C">
        <w:rPr>
          <w:rFonts w:ascii="Times New Roman" w:hAnsi="Times New Roman" w:cs="Times New Roman"/>
          <w:sz w:val="24"/>
          <w:szCs w:val="24"/>
        </w:rPr>
        <w:t>preserving</w:t>
      </w:r>
      <w:r w:rsidRPr="001F0D9C">
        <w:rPr>
          <w:rFonts w:ascii="Times New Roman" w:hAnsi="Times New Roman" w:cs="Times New Roman"/>
          <w:sz w:val="24"/>
          <w:szCs w:val="24"/>
        </w:rPr>
        <w:t xml:space="preserve"> overall financial health.</w:t>
      </w:r>
    </w:p>
    <w:p w14:paraId="000000C9" w14:textId="77777777" w:rsidR="00186D9A" w:rsidRPr="001F0D9C" w:rsidRDefault="00186D9A" w:rsidP="001F0D9C">
      <w:pPr>
        <w:spacing w:line="276" w:lineRule="auto"/>
        <w:jc w:val="both"/>
        <w:rPr>
          <w:rFonts w:ascii="Times New Roman" w:hAnsi="Times New Roman" w:cs="Times New Roman"/>
          <w:sz w:val="24"/>
          <w:szCs w:val="24"/>
        </w:rPr>
      </w:pPr>
    </w:p>
    <w:p w14:paraId="5B246FF1" w14:textId="3745FD02" w:rsidR="00CA78FA" w:rsidRPr="001F0D9C" w:rsidRDefault="00CA78FA" w:rsidP="001F0D9C">
      <w:pPr>
        <w:pStyle w:val="Heading2"/>
        <w:numPr>
          <w:ilvl w:val="1"/>
          <w:numId w:val="3"/>
        </w:numPr>
        <w:spacing w:line="276" w:lineRule="auto"/>
        <w:jc w:val="both"/>
        <w:rPr>
          <w:rFonts w:ascii="Times New Roman" w:eastAsia="Times New Roman" w:hAnsi="Times New Roman" w:cs="Times New Roman"/>
          <w:b/>
          <w:color w:val="000000"/>
          <w:u w:val="single"/>
        </w:rPr>
      </w:pPr>
      <w:bookmarkStart w:id="25" w:name="_Toc146481288"/>
      <w:r w:rsidRPr="001F0D9C">
        <w:rPr>
          <w:rFonts w:ascii="Times New Roman" w:eastAsia="Times New Roman" w:hAnsi="Times New Roman" w:cs="Times New Roman"/>
          <w:b/>
          <w:color w:val="000000"/>
          <w:u w:val="single"/>
        </w:rPr>
        <w:t>Creditworthiness</w:t>
      </w:r>
      <w:bookmarkEnd w:id="25"/>
    </w:p>
    <w:p w14:paraId="00E2E5BD" w14:textId="452DA8CC" w:rsidR="00CA78FA" w:rsidRPr="001F0D9C" w:rsidRDefault="00CA78FA" w:rsidP="001F0D9C">
      <w:pPr>
        <w:spacing w:line="276" w:lineRule="auto"/>
        <w:ind w:left="1170" w:firstLine="270"/>
        <w:jc w:val="both"/>
        <w:rPr>
          <w:rFonts w:ascii="Times New Roman" w:hAnsi="Times New Roman" w:cs="Times New Roman"/>
          <w:sz w:val="24"/>
          <w:szCs w:val="24"/>
        </w:rPr>
      </w:pPr>
      <w:r w:rsidRPr="001F0D9C">
        <w:rPr>
          <w:rFonts w:ascii="Times New Roman" w:hAnsi="Times New Roman" w:cs="Times New Roman"/>
          <w:sz w:val="24"/>
          <w:szCs w:val="24"/>
        </w:rPr>
        <w:t>Risk financing decisions can influence an organization’s creditworthiness. Overreliance on debt to cover potential losses, rather than adequate risk financing measures, can increase leverage rations, affecting the organization’s ability to secure favourable financing terms. This, in turn, can impact financial health by raising borrowing costs and limiting access to capital.</w:t>
      </w:r>
    </w:p>
    <w:p w14:paraId="5DBA9CF6" w14:textId="77777777" w:rsidR="00CA78FA" w:rsidRPr="001F0D9C" w:rsidRDefault="00CA78FA" w:rsidP="001F0D9C">
      <w:pPr>
        <w:spacing w:line="276" w:lineRule="auto"/>
        <w:jc w:val="both"/>
        <w:rPr>
          <w:rFonts w:ascii="Times New Roman" w:hAnsi="Times New Roman" w:cs="Times New Roman"/>
          <w:sz w:val="24"/>
          <w:szCs w:val="24"/>
        </w:rPr>
      </w:pPr>
    </w:p>
    <w:p w14:paraId="789480D2" w14:textId="23A1831A" w:rsidR="008F22DD" w:rsidRPr="001F0D9C" w:rsidRDefault="008F22DD" w:rsidP="001F0D9C">
      <w:pPr>
        <w:pStyle w:val="Heading2"/>
        <w:numPr>
          <w:ilvl w:val="1"/>
          <w:numId w:val="3"/>
        </w:numPr>
        <w:spacing w:line="276" w:lineRule="auto"/>
        <w:jc w:val="both"/>
        <w:rPr>
          <w:rFonts w:ascii="Times New Roman" w:eastAsia="Times New Roman" w:hAnsi="Times New Roman" w:cs="Times New Roman"/>
          <w:b/>
          <w:color w:val="000000"/>
          <w:u w:val="single"/>
        </w:rPr>
      </w:pPr>
      <w:bookmarkStart w:id="26" w:name="_Toc146481289"/>
      <w:r w:rsidRPr="001F0D9C">
        <w:rPr>
          <w:rFonts w:ascii="Times New Roman" w:eastAsia="Times New Roman" w:hAnsi="Times New Roman" w:cs="Times New Roman"/>
          <w:b/>
          <w:color w:val="000000"/>
          <w:u w:val="single"/>
        </w:rPr>
        <w:t>Resilience and Sustainability</w:t>
      </w:r>
      <w:bookmarkEnd w:id="26"/>
    </w:p>
    <w:p w14:paraId="20F1D566" w14:textId="657A37F5" w:rsidR="008F22DD" w:rsidRPr="001F0D9C" w:rsidRDefault="00DF5182" w:rsidP="00C03482">
      <w:pPr>
        <w:spacing w:line="276" w:lineRule="auto"/>
        <w:ind w:left="1170" w:firstLine="270"/>
        <w:jc w:val="both"/>
        <w:rPr>
          <w:rFonts w:ascii="Times New Roman" w:hAnsi="Times New Roman" w:cs="Times New Roman"/>
          <w:sz w:val="24"/>
          <w:szCs w:val="24"/>
        </w:rPr>
      </w:pPr>
      <w:r w:rsidRPr="001F0D9C">
        <w:rPr>
          <w:rFonts w:ascii="Times New Roman" w:hAnsi="Times New Roman" w:cs="Times New Roman"/>
          <w:sz w:val="24"/>
          <w:szCs w:val="24"/>
        </w:rPr>
        <w:t xml:space="preserve">Effective risk financing decisions contribute to </w:t>
      </w:r>
      <w:r w:rsidR="00D9721D" w:rsidRPr="001F0D9C">
        <w:rPr>
          <w:rFonts w:ascii="Times New Roman" w:hAnsi="Times New Roman" w:cs="Times New Roman"/>
          <w:sz w:val="24"/>
          <w:szCs w:val="24"/>
        </w:rPr>
        <w:t>an</w:t>
      </w:r>
      <w:r w:rsidRPr="001F0D9C">
        <w:rPr>
          <w:rFonts w:ascii="Times New Roman" w:hAnsi="Times New Roman" w:cs="Times New Roman"/>
          <w:sz w:val="24"/>
          <w:szCs w:val="24"/>
        </w:rPr>
        <w:t xml:space="preserve"> organization’s resilience in the face of adversity. By adequately protecting against potential losses, organizations can better weather unexpected events or economic downturns [shocks]</w:t>
      </w:r>
      <w:r w:rsidR="00D9721D" w:rsidRPr="001F0D9C">
        <w:rPr>
          <w:rFonts w:ascii="Times New Roman" w:hAnsi="Times New Roman" w:cs="Times New Roman"/>
          <w:sz w:val="24"/>
          <w:szCs w:val="24"/>
        </w:rPr>
        <w:t>, preserving their financial health and long-term sustainability.</w:t>
      </w:r>
    </w:p>
    <w:p w14:paraId="4988DED8" w14:textId="77777777" w:rsidR="00D9721D" w:rsidRPr="001F0D9C" w:rsidRDefault="00D9721D" w:rsidP="001F0D9C">
      <w:pPr>
        <w:spacing w:line="276" w:lineRule="auto"/>
        <w:ind w:left="1170"/>
        <w:jc w:val="both"/>
        <w:rPr>
          <w:rFonts w:ascii="Times New Roman" w:hAnsi="Times New Roman" w:cs="Times New Roman"/>
          <w:sz w:val="24"/>
          <w:szCs w:val="24"/>
        </w:rPr>
      </w:pPr>
    </w:p>
    <w:p w14:paraId="1DCD305F" w14:textId="6C4262E6" w:rsidR="00D9721D" w:rsidRPr="001F0D9C" w:rsidRDefault="00D9721D" w:rsidP="00C03482">
      <w:pPr>
        <w:spacing w:line="276" w:lineRule="auto"/>
        <w:ind w:left="1170" w:firstLine="270"/>
        <w:jc w:val="both"/>
        <w:rPr>
          <w:rFonts w:ascii="Times New Roman" w:hAnsi="Times New Roman" w:cs="Times New Roman"/>
          <w:sz w:val="24"/>
          <w:szCs w:val="24"/>
        </w:rPr>
      </w:pPr>
      <w:r w:rsidRPr="001F0D9C">
        <w:rPr>
          <w:rFonts w:ascii="Times New Roman" w:hAnsi="Times New Roman" w:cs="Times New Roman"/>
          <w:sz w:val="24"/>
          <w:szCs w:val="24"/>
        </w:rPr>
        <w:t xml:space="preserve">Risk financing decisions are integral to an organization’s financial health. The selected approach must strike a balance between preserving liquidity, managing costs, maintaining creditworthiness, allocating capital wisely, and ensuring long-term </w:t>
      </w:r>
      <w:r w:rsidRPr="001F0D9C">
        <w:rPr>
          <w:rFonts w:ascii="Times New Roman" w:hAnsi="Times New Roman" w:cs="Times New Roman"/>
          <w:sz w:val="24"/>
          <w:szCs w:val="24"/>
        </w:rPr>
        <w:lastRenderedPageBreak/>
        <w:t>resilience. A well-thought-out risk financing strategy</w:t>
      </w:r>
      <w:r w:rsidR="0041797E" w:rsidRPr="001F0D9C">
        <w:rPr>
          <w:rFonts w:ascii="Times New Roman" w:hAnsi="Times New Roman" w:cs="Times New Roman"/>
          <w:sz w:val="24"/>
          <w:szCs w:val="24"/>
        </w:rPr>
        <w:t xml:space="preserve"> enhances an organization’s ability to invest in human capital development and fosters sustained economic growth.</w:t>
      </w:r>
    </w:p>
    <w:p w14:paraId="184BEB4A" w14:textId="77777777" w:rsidR="008F22DD" w:rsidRPr="001F0D9C" w:rsidRDefault="008F22DD" w:rsidP="001F0D9C">
      <w:pPr>
        <w:spacing w:line="276" w:lineRule="auto"/>
        <w:jc w:val="both"/>
        <w:rPr>
          <w:rFonts w:ascii="Times New Roman" w:hAnsi="Times New Roman" w:cs="Times New Roman"/>
          <w:sz w:val="24"/>
          <w:szCs w:val="24"/>
        </w:rPr>
      </w:pPr>
    </w:p>
    <w:p w14:paraId="000000DA" w14:textId="77777777" w:rsidR="00186D9A" w:rsidRPr="001F0D9C" w:rsidRDefault="00186D9A" w:rsidP="001F0D9C">
      <w:pPr>
        <w:spacing w:line="276" w:lineRule="auto"/>
        <w:jc w:val="both"/>
        <w:rPr>
          <w:rFonts w:ascii="Times New Roman" w:eastAsia="Times New Roman" w:hAnsi="Times New Roman" w:cs="Times New Roman"/>
          <w:sz w:val="24"/>
          <w:szCs w:val="24"/>
        </w:rPr>
      </w:pPr>
    </w:p>
    <w:p w14:paraId="000000DB" w14:textId="721E34C5" w:rsidR="00186D9A" w:rsidRPr="001F0D9C" w:rsidRDefault="00882E62" w:rsidP="001F0D9C">
      <w:pPr>
        <w:pStyle w:val="Heading1"/>
        <w:numPr>
          <w:ilvl w:val="0"/>
          <w:numId w:val="3"/>
        </w:numPr>
        <w:spacing w:line="276" w:lineRule="auto"/>
        <w:jc w:val="both"/>
        <w:rPr>
          <w:rFonts w:ascii="Times New Roman" w:eastAsia="Times New Roman" w:hAnsi="Times New Roman" w:cs="Times New Roman"/>
          <w:b/>
          <w:color w:val="000000"/>
        </w:rPr>
      </w:pPr>
      <w:bookmarkStart w:id="27" w:name="_Toc146481290"/>
      <w:r w:rsidRPr="001F0D9C">
        <w:rPr>
          <w:rFonts w:ascii="Times New Roman" w:eastAsia="Times New Roman" w:hAnsi="Times New Roman" w:cs="Times New Roman"/>
          <w:b/>
          <w:color w:val="000000"/>
        </w:rPr>
        <w:t>Summary</w:t>
      </w:r>
      <w:bookmarkEnd w:id="27"/>
    </w:p>
    <w:p w14:paraId="000000DC" w14:textId="77777777" w:rsidR="00186D9A" w:rsidRPr="001F0D9C" w:rsidRDefault="00186D9A" w:rsidP="001F0D9C">
      <w:pPr>
        <w:spacing w:line="276" w:lineRule="auto"/>
        <w:ind w:left="408"/>
        <w:jc w:val="both"/>
        <w:rPr>
          <w:rFonts w:ascii="Times New Roman" w:eastAsia="Times New Roman" w:hAnsi="Times New Roman" w:cs="Times New Roman"/>
          <w:sz w:val="24"/>
          <w:szCs w:val="24"/>
        </w:rPr>
      </w:pPr>
    </w:p>
    <w:p w14:paraId="61378B3A" w14:textId="7C73F3FA" w:rsidR="00C445DA" w:rsidRPr="001F0D9C" w:rsidRDefault="00F61B59" w:rsidP="001F0D9C">
      <w:pPr>
        <w:spacing w:line="276" w:lineRule="auto"/>
        <w:ind w:left="408" w:firstLine="312"/>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Chapter 2: Risk Financing and Treasury Management delves into the essential domain of mitigating financial uncertainties, showcasing how effective risk management supports the overarching objectives introduced in Chapter 1: Introduction to Human Capital and Economic Growth</w:t>
      </w:r>
      <w:r w:rsidR="00FB73E6" w:rsidRPr="001F0D9C">
        <w:rPr>
          <w:rFonts w:ascii="Times New Roman" w:eastAsia="Times New Roman" w:hAnsi="Times New Roman" w:cs="Times New Roman"/>
          <w:sz w:val="24"/>
          <w:szCs w:val="24"/>
        </w:rPr>
        <w:t>.</w:t>
      </w:r>
      <w:r w:rsidRPr="001F0D9C">
        <w:rPr>
          <w:rFonts w:ascii="Times New Roman" w:eastAsia="Times New Roman" w:hAnsi="Times New Roman" w:cs="Times New Roman"/>
          <w:sz w:val="24"/>
          <w:szCs w:val="24"/>
        </w:rPr>
        <w:t xml:space="preserve"> In this chapter, we explored the prudent financial practices, such as insurance, hedging, and efficient cash management, are fundamental to maintaining financial stability and ensuring that resources </w:t>
      </w:r>
      <w:r w:rsidR="00606F65" w:rsidRPr="001F0D9C">
        <w:rPr>
          <w:rFonts w:ascii="Times New Roman" w:eastAsia="Times New Roman" w:hAnsi="Times New Roman" w:cs="Times New Roman"/>
          <w:sz w:val="24"/>
          <w:szCs w:val="24"/>
        </w:rPr>
        <w:t>are consistently available for investments in human capital. By guarding against potential financial shocks, organizations can sustain their commitments to education, healthcare, and workforce development, which are foundational elements for economic growth.</w:t>
      </w:r>
    </w:p>
    <w:p w14:paraId="14E8C71C" w14:textId="6A9B8D84" w:rsidR="00606F65" w:rsidRPr="001F0D9C" w:rsidRDefault="00606F65" w:rsidP="001F0D9C">
      <w:pPr>
        <w:spacing w:line="276" w:lineRule="auto"/>
        <w:ind w:left="408" w:firstLine="312"/>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As we progress to Chapter 3: Market Microstructure and Quantitative Methods, it is critical to recognize that the strategies and financial prudence discussed in Chapter 2 serve as the basis for informed decision-making in financial markets. These risk management practices not only shield organizations but also empower them to engage confidently in financial markets, where they can optimize returns and bolster their financial resour</w:t>
      </w:r>
      <w:r w:rsidR="00221819" w:rsidRPr="001F0D9C">
        <w:rPr>
          <w:rFonts w:ascii="Times New Roman" w:eastAsia="Times New Roman" w:hAnsi="Times New Roman" w:cs="Times New Roman"/>
          <w:sz w:val="24"/>
          <w:szCs w:val="24"/>
        </w:rPr>
        <w:t>ces further. We will delve into the intricacies of market microstructure and quantitative methods, exploring how these tools amplify financial efficiency, further reinforcing our understanding of how human capital development and economic growth intertwine with sound practices.</w:t>
      </w:r>
    </w:p>
    <w:p w14:paraId="0D658111" w14:textId="6D24EA35" w:rsidR="00221819" w:rsidRPr="001F0D9C" w:rsidRDefault="00221819" w:rsidP="001F0D9C">
      <w:pPr>
        <w:spacing w:line="276" w:lineRule="auto"/>
        <w:ind w:left="408"/>
        <w:jc w:val="both"/>
        <w:rPr>
          <w:rFonts w:ascii="Times New Roman" w:eastAsia="Times New Roman" w:hAnsi="Times New Roman" w:cs="Times New Roman"/>
          <w:bCs/>
          <w:color w:val="000000"/>
          <w:sz w:val="24"/>
          <w:szCs w:val="24"/>
        </w:rPr>
      </w:pPr>
      <w:r w:rsidRPr="001F0D9C">
        <w:rPr>
          <w:rFonts w:ascii="Times New Roman" w:eastAsia="Times New Roman" w:hAnsi="Times New Roman" w:cs="Times New Roman"/>
          <w:sz w:val="24"/>
          <w:szCs w:val="24"/>
        </w:rPr>
        <w:t>In Chapter 3, we will witness how well-structured financial markets and quantitative analysis serve as enablers for organizations to make informed investment decisions, allocating resources effectively to sustain and enhance their human capital.</w:t>
      </w:r>
      <w:r w:rsidR="0059780E" w:rsidRPr="001F0D9C">
        <w:rPr>
          <w:rFonts w:ascii="Times New Roman" w:eastAsia="Times New Roman" w:hAnsi="Times New Roman" w:cs="Times New Roman"/>
          <w:sz w:val="24"/>
          <w:szCs w:val="24"/>
        </w:rPr>
        <w:t xml:space="preserve"> Let’s consider the following, “How</w:t>
      </w:r>
      <w:r w:rsidR="0059780E" w:rsidRPr="001F0D9C">
        <w:rPr>
          <w:rFonts w:ascii="Times New Roman" w:eastAsia="Times New Roman" w:hAnsi="Times New Roman" w:cs="Times New Roman"/>
          <w:bCs/>
          <w:color w:val="000000"/>
          <w:sz w:val="24"/>
          <w:szCs w:val="24"/>
        </w:rPr>
        <w:t xml:space="preserve"> does the effective management of financial risks directly impact an organization’s capacity to engage in financial markets and generate funds? How might these returns contribute to broader economic growth and development, as we will explore further in Chapter 3?” </w:t>
      </w:r>
      <w:r w:rsidRPr="001F0D9C">
        <w:rPr>
          <w:rFonts w:ascii="Times New Roman" w:eastAsia="Times New Roman" w:hAnsi="Times New Roman" w:cs="Times New Roman"/>
          <w:sz w:val="24"/>
          <w:szCs w:val="24"/>
        </w:rPr>
        <w:t xml:space="preserve">By understanding market dynamics and employing data-driven </w:t>
      </w:r>
      <w:r w:rsidR="00E74C71" w:rsidRPr="001F0D9C">
        <w:rPr>
          <w:rFonts w:ascii="Times New Roman" w:eastAsia="Times New Roman" w:hAnsi="Times New Roman" w:cs="Times New Roman"/>
          <w:sz w:val="24"/>
          <w:szCs w:val="24"/>
        </w:rPr>
        <w:t>approaches</w:t>
      </w:r>
      <w:r w:rsidRPr="001F0D9C">
        <w:rPr>
          <w:rFonts w:ascii="Times New Roman" w:eastAsia="Times New Roman" w:hAnsi="Times New Roman" w:cs="Times New Roman"/>
          <w:sz w:val="24"/>
          <w:szCs w:val="24"/>
        </w:rPr>
        <w:t xml:space="preserve">, we will </w:t>
      </w:r>
      <w:r w:rsidR="00E74C71" w:rsidRPr="001F0D9C">
        <w:rPr>
          <w:rFonts w:ascii="Times New Roman" w:eastAsia="Times New Roman" w:hAnsi="Times New Roman" w:cs="Times New Roman"/>
          <w:sz w:val="24"/>
          <w:szCs w:val="24"/>
        </w:rPr>
        <w:t>unveil how these financial intricacies underpin the growth and prosperity envisioned in Chapter 1, reinforcing the essential connection between finance, human capital, and economic development.</w:t>
      </w:r>
    </w:p>
    <w:p w14:paraId="492DD25D" w14:textId="77777777" w:rsidR="00221819" w:rsidRPr="001F0D9C" w:rsidRDefault="00221819" w:rsidP="001F0D9C">
      <w:pPr>
        <w:spacing w:line="276" w:lineRule="auto"/>
        <w:ind w:left="408" w:firstLine="312"/>
        <w:jc w:val="both"/>
        <w:rPr>
          <w:rFonts w:ascii="Times New Roman" w:eastAsia="Times New Roman" w:hAnsi="Times New Roman" w:cs="Times New Roman"/>
          <w:sz w:val="24"/>
          <w:szCs w:val="24"/>
        </w:rPr>
      </w:pPr>
    </w:p>
    <w:p w14:paraId="000000DF" w14:textId="0BDB5F48" w:rsidR="00186D9A" w:rsidRPr="001F0D9C" w:rsidRDefault="00186D9A" w:rsidP="001F0D9C">
      <w:pPr>
        <w:spacing w:line="276" w:lineRule="auto"/>
        <w:ind w:firstLine="720"/>
        <w:jc w:val="both"/>
        <w:rPr>
          <w:rFonts w:ascii="Times New Roman" w:eastAsia="Times New Roman" w:hAnsi="Times New Roman" w:cs="Times New Roman"/>
          <w:sz w:val="24"/>
          <w:szCs w:val="24"/>
        </w:rPr>
      </w:pPr>
    </w:p>
    <w:p w14:paraId="2C510F6D" w14:textId="6808DBCE" w:rsidR="00D260D6" w:rsidRPr="001F0D9C" w:rsidRDefault="00D260D6" w:rsidP="001F0D9C">
      <w:pPr>
        <w:pStyle w:val="Heading1"/>
        <w:numPr>
          <w:ilvl w:val="0"/>
          <w:numId w:val="3"/>
        </w:numPr>
        <w:spacing w:line="276" w:lineRule="auto"/>
        <w:jc w:val="both"/>
        <w:rPr>
          <w:rFonts w:ascii="Times New Roman" w:eastAsia="Times New Roman" w:hAnsi="Times New Roman" w:cs="Times New Roman"/>
          <w:b/>
          <w:color w:val="000000"/>
        </w:rPr>
      </w:pPr>
      <w:bookmarkStart w:id="28" w:name="_Toc146481291"/>
      <w:r w:rsidRPr="001F0D9C">
        <w:rPr>
          <w:rFonts w:ascii="Times New Roman" w:eastAsia="Times New Roman" w:hAnsi="Times New Roman" w:cs="Times New Roman"/>
          <w:b/>
          <w:color w:val="000000"/>
        </w:rPr>
        <w:t>End of Chapter Questions</w:t>
      </w:r>
      <w:bookmarkEnd w:id="28"/>
    </w:p>
    <w:p w14:paraId="000000E0" w14:textId="77777777" w:rsidR="00186D9A" w:rsidRPr="001F0D9C" w:rsidRDefault="00186D9A" w:rsidP="001F0D9C">
      <w:pPr>
        <w:spacing w:line="276" w:lineRule="auto"/>
        <w:jc w:val="both"/>
        <w:rPr>
          <w:rFonts w:ascii="Times New Roman" w:eastAsia="Times New Roman" w:hAnsi="Times New Roman" w:cs="Times New Roman"/>
          <w:sz w:val="24"/>
          <w:szCs w:val="24"/>
        </w:rPr>
      </w:pPr>
    </w:p>
    <w:p w14:paraId="6754C75A" w14:textId="751A28A6" w:rsidR="009F3949" w:rsidRPr="001F0D9C" w:rsidRDefault="00145EA5" w:rsidP="001F0D9C">
      <w:pPr>
        <w:spacing w:line="276" w:lineRule="auto"/>
        <w:ind w:left="408"/>
        <w:jc w:val="both"/>
        <w:rPr>
          <w:rFonts w:ascii="Times New Roman" w:eastAsia="Times New Roman" w:hAnsi="Times New Roman" w:cs="Times New Roman"/>
          <w:bCs/>
          <w:color w:val="000000"/>
          <w:sz w:val="24"/>
          <w:szCs w:val="24"/>
        </w:rPr>
      </w:pPr>
      <w:r w:rsidRPr="001F0D9C">
        <w:rPr>
          <w:rFonts w:ascii="Times New Roman" w:eastAsia="Times New Roman" w:hAnsi="Times New Roman" w:cs="Times New Roman"/>
          <w:bCs/>
          <w:color w:val="000000"/>
          <w:sz w:val="24"/>
          <w:szCs w:val="24"/>
        </w:rPr>
        <w:t>Here are some end-of-chapter questions for</w:t>
      </w:r>
      <w:r w:rsidR="009F3949" w:rsidRPr="001F0D9C">
        <w:rPr>
          <w:rFonts w:ascii="Times New Roman" w:eastAsia="Times New Roman" w:hAnsi="Times New Roman" w:cs="Times New Roman"/>
          <w:bCs/>
          <w:color w:val="000000"/>
          <w:sz w:val="24"/>
          <w:szCs w:val="24"/>
        </w:rPr>
        <w:t xml:space="preserve"> Chapter </w:t>
      </w:r>
      <w:r w:rsidR="00924803" w:rsidRPr="001F0D9C">
        <w:rPr>
          <w:rFonts w:ascii="Times New Roman" w:eastAsia="Times New Roman" w:hAnsi="Times New Roman" w:cs="Times New Roman"/>
          <w:bCs/>
          <w:color w:val="000000"/>
          <w:sz w:val="24"/>
          <w:szCs w:val="24"/>
        </w:rPr>
        <w:t>2</w:t>
      </w:r>
      <w:r w:rsidR="009F3949" w:rsidRPr="001F0D9C">
        <w:rPr>
          <w:rFonts w:ascii="Times New Roman" w:eastAsia="Times New Roman" w:hAnsi="Times New Roman" w:cs="Times New Roman"/>
          <w:bCs/>
          <w:color w:val="000000"/>
          <w:sz w:val="24"/>
          <w:szCs w:val="24"/>
        </w:rPr>
        <w:t>:</w:t>
      </w:r>
      <w:r w:rsidR="002B5ADF" w:rsidRPr="001F0D9C">
        <w:rPr>
          <w:rFonts w:ascii="Times New Roman" w:eastAsia="Times New Roman" w:hAnsi="Times New Roman" w:cs="Times New Roman"/>
          <w:bCs/>
          <w:color w:val="000000"/>
          <w:sz w:val="24"/>
          <w:szCs w:val="24"/>
        </w:rPr>
        <w:t xml:space="preserve"> </w:t>
      </w:r>
      <w:r w:rsidRPr="001F0D9C">
        <w:rPr>
          <w:rFonts w:ascii="Times New Roman" w:eastAsia="Times New Roman" w:hAnsi="Times New Roman" w:cs="Times New Roman"/>
          <w:bCs/>
          <w:color w:val="000000"/>
          <w:sz w:val="24"/>
          <w:szCs w:val="24"/>
        </w:rPr>
        <w:t xml:space="preserve">Risk Financing and Treasury </w:t>
      </w:r>
      <w:r w:rsidR="002B5ADF" w:rsidRPr="001F0D9C">
        <w:rPr>
          <w:rFonts w:ascii="Times New Roman" w:eastAsia="Times New Roman" w:hAnsi="Times New Roman" w:cs="Times New Roman"/>
          <w:bCs/>
          <w:color w:val="000000"/>
          <w:sz w:val="24"/>
          <w:szCs w:val="24"/>
        </w:rPr>
        <w:t>Management</w:t>
      </w:r>
      <w:r w:rsidR="009F3949" w:rsidRPr="001F0D9C">
        <w:rPr>
          <w:rFonts w:ascii="Times New Roman" w:eastAsia="Times New Roman" w:hAnsi="Times New Roman" w:cs="Times New Roman"/>
          <w:bCs/>
          <w:color w:val="000000"/>
          <w:sz w:val="24"/>
          <w:szCs w:val="24"/>
        </w:rPr>
        <w:t>:</w:t>
      </w:r>
    </w:p>
    <w:p w14:paraId="205A3456" w14:textId="77777777" w:rsidR="006C6E7B" w:rsidRPr="001F0D9C" w:rsidRDefault="006C6E7B" w:rsidP="001F0D9C">
      <w:pPr>
        <w:spacing w:line="276" w:lineRule="auto"/>
        <w:ind w:left="408"/>
        <w:jc w:val="both"/>
        <w:rPr>
          <w:rFonts w:ascii="Times New Roman" w:eastAsia="Times New Roman" w:hAnsi="Times New Roman" w:cs="Times New Roman"/>
          <w:bCs/>
          <w:color w:val="000000"/>
          <w:sz w:val="24"/>
          <w:szCs w:val="24"/>
        </w:rPr>
      </w:pPr>
    </w:p>
    <w:p w14:paraId="0CCEC0EC" w14:textId="399963FF" w:rsidR="006C6E7B" w:rsidRPr="001F0D9C" w:rsidRDefault="00A14FAC" w:rsidP="001F0D9C">
      <w:pPr>
        <w:pStyle w:val="ListParagraph"/>
        <w:numPr>
          <w:ilvl w:val="0"/>
          <w:numId w:val="10"/>
        </w:numPr>
        <w:spacing w:line="276" w:lineRule="auto"/>
        <w:jc w:val="both"/>
        <w:rPr>
          <w:rFonts w:ascii="Times New Roman" w:eastAsia="Times New Roman" w:hAnsi="Times New Roman" w:cs="Times New Roman"/>
          <w:bCs/>
          <w:color w:val="000000"/>
          <w:sz w:val="24"/>
          <w:szCs w:val="24"/>
        </w:rPr>
      </w:pPr>
      <w:r w:rsidRPr="001F0D9C">
        <w:rPr>
          <w:rFonts w:ascii="Times New Roman" w:eastAsia="Times New Roman" w:hAnsi="Times New Roman" w:cs="Times New Roman"/>
          <w:bCs/>
          <w:color w:val="000000"/>
          <w:sz w:val="24"/>
          <w:szCs w:val="24"/>
        </w:rPr>
        <w:t>How do risk management strategies, such as insurance and hedging, align with the goal of sustaining investments in education and healthcare?</w:t>
      </w:r>
    </w:p>
    <w:p w14:paraId="736FF737" w14:textId="77777777" w:rsidR="00A50663" w:rsidRPr="001F0D9C" w:rsidRDefault="00A50663" w:rsidP="001F0D9C">
      <w:pPr>
        <w:pStyle w:val="ListParagraph"/>
        <w:spacing w:line="276" w:lineRule="auto"/>
        <w:ind w:left="768"/>
        <w:jc w:val="both"/>
        <w:rPr>
          <w:rFonts w:ascii="Times New Roman" w:eastAsia="Times New Roman" w:hAnsi="Times New Roman" w:cs="Times New Roman"/>
          <w:bCs/>
          <w:color w:val="000000"/>
          <w:sz w:val="24"/>
          <w:szCs w:val="24"/>
        </w:rPr>
      </w:pPr>
    </w:p>
    <w:p w14:paraId="0D17BDF7" w14:textId="6EFBED2F" w:rsidR="00A14FAC" w:rsidRPr="001F0D9C" w:rsidRDefault="00A14FAC" w:rsidP="001F0D9C">
      <w:pPr>
        <w:pStyle w:val="ListParagraph"/>
        <w:numPr>
          <w:ilvl w:val="0"/>
          <w:numId w:val="10"/>
        </w:numPr>
        <w:spacing w:line="276" w:lineRule="auto"/>
        <w:jc w:val="both"/>
        <w:rPr>
          <w:rFonts w:ascii="Times New Roman" w:eastAsia="Times New Roman" w:hAnsi="Times New Roman" w:cs="Times New Roman"/>
          <w:bCs/>
          <w:color w:val="000000"/>
          <w:sz w:val="24"/>
          <w:szCs w:val="24"/>
        </w:rPr>
      </w:pPr>
      <w:r w:rsidRPr="001F0D9C">
        <w:rPr>
          <w:rFonts w:ascii="Times New Roman" w:eastAsia="Times New Roman" w:hAnsi="Times New Roman" w:cs="Times New Roman"/>
          <w:bCs/>
          <w:color w:val="000000"/>
          <w:sz w:val="24"/>
          <w:szCs w:val="24"/>
        </w:rPr>
        <w:t>Can you provide examples of organizations that have effectively managed risks to secure resources</w:t>
      </w:r>
      <w:r w:rsidR="00056B81" w:rsidRPr="001F0D9C">
        <w:rPr>
          <w:rFonts w:ascii="Times New Roman" w:eastAsia="Times New Roman" w:hAnsi="Times New Roman" w:cs="Times New Roman"/>
          <w:bCs/>
          <w:color w:val="000000"/>
          <w:sz w:val="24"/>
          <w:szCs w:val="24"/>
        </w:rPr>
        <w:t xml:space="preserve"> for human capital development?</w:t>
      </w:r>
    </w:p>
    <w:p w14:paraId="7B665CEC" w14:textId="77777777" w:rsidR="00A50663" w:rsidRPr="001F0D9C" w:rsidRDefault="00A50663" w:rsidP="001F0D9C">
      <w:pPr>
        <w:pStyle w:val="ListParagraph"/>
        <w:spacing w:line="276" w:lineRule="auto"/>
        <w:jc w:val="both"/>
        <w:rPr>
          <w:rFonts w:ascii="Times New Roman" w:eastAsia="Times New Roman" w:hAnsi="Times New Roman" w:cs="Times New Roman"/>
          <w:bCs/>
          <w:color w:val="000000"/>
          <w:sz w:val="24"/>
          <w:szCs w:val="24"/>
        </w:rPr>
      </w:pPr>
    </w:p>
    <w:p w14:paraId="31B3FBEF" w14:textId="651E8CCD" w:rsidR="00B33D9F" w:rsidRPr="001F0D9C" w:rsidRDefault="00B33D9F" w:rsidP="001F0D9C">
      <w:pPr>
        <w:pStyle w:val="ListParagraph"/>
        <w:numPr>
          <w:ilvl w:val="0"/>
          <w:numId w:val="10"/>
        </w:numPr>
        <w:spacing w:line="276" w:lineRule="auto"/>
        <w:jc w:val="both"/>
        <w:rPr>
          <w:rFonts w:ascii="Times New Roman" w:eastAsia="Times New Roman" w:hAnsi="Times New Roman" w:cs="Times New Roman"/>
          <w:bCs/>
          <w:color w:val="000000"/>
          <w:sz w:val="24"/>
          <w:szCs w:val="24"/>
        </w:rPr>
      </w:pPr>
      <w:r w:rsidRPr="001F0D9C">
        <w:rPr>
          <w:rFonts w:ascii="Times New Roman" w:eastAsia="Times New Roman" w:hAnsi="Times New Roman" w:cs="Times New Roman"/>
          <w:bCs/>
          <w:color w:val="000000"/>
          <w:sz w:val="24"/>
          <w:szCs w:val="24"/>
        </w:rPr>
        <w:t>Analyze the significance of foreign exchange risk in today’s global business landscape. How do multinational corporations use hedging strategies to mitigate currency risk? Discuss how managing currency risk aligns with the goal of sustaining and enhancing human capital.</w:t>
      </w:r>
    </w:p>
    <w:p w14:paraId="60D4BFD0" w14:textId="77777777" w:rsidR="00B33D9F" w:rsidRPr="001F0D9C" w:rsidRDefault="00B33D9F" w:rsidP="001F0D9C">
      <w:pPr>
        <w:pStyle w:val="ListParagraph"/>
        <w:spacing w:line="276" w:lineRule="auto"/>
        <w:jc w:val="both"/>
        <w:rPr>
          <w:rFonts w:ascii="Times New Roman" w:eastAsia="Times New Roman" w:hAnsi="Times New Roman" w:cs="Times New Roman"/>
          <w:bCs/>
          <w:color w:val="000000"/>
          <w:sz w:val="24"/>
          <w:szCs w:val="24"/>
        </w:rPr>
      </w:pPr>
    </w:p>
    <w:p w14:paraId="5B747C41" w14:textId="6B6944E0" w:rsidR="00B33D9F" w:rsidRPr="001F0D9C" w:rsidRDefault="00B33D9F" w:rsidP="001F0D9C">
      <w:pPr>
        <w:pStyle w:val="ListParagraph"/>
        <w:numPr>
          <w:ilvl w:val="0"/>
          <w:numId w:val="10"/>
        </w:numPr>
        <w:spacing w:line="276" w:lineRule="auto"/>
        <w:jc w:val="both"/>
        <w:rPr>
          <w:rFonts w:ascii="Times New Roman" w:eastAsia="Times New Roman" w:hAnsi="Times New Roman" w:cs="Times New Roman"/>
          <w:bCs/>
          <w:color w:val="000000"/>
          <w:sz w:val="24"/>
          <w:szCs w:val="24"/>
        </w:rPr>
      </w:pPr>
      <w:r w:rsidRPr="001F0D9C">
        <w:rPr>
          <w:rFonts w:ascii="Times New Roman" w:eastAsia="Times New Roman" w:hAnsi="Times New Roman" w:cs="Times New Roman"/>
          <w:bCs/>
          <w:color w:val="000000"/>
          <w:sz w:val="24"/>
          <w:szCs w:val="24"/>
        </w:rPr>
        <w:t>Explain the importance of liquidity management in treasury operations. How can efficient cash and liquidity management directly impact an organization’s ability to invest in education, healthcare, and workforce development? Provide examples of how organizations balance liquidity with long-term investments in human capital.</w:t>
      </w:r>
    </w:p>
    <w:p w14:paraId="1ECFB177" w14:textId="77777777" w:rsidR="00B33D9F" w:rsidRPr="001F0D9C" w:rsidRDefault="00B33D9F" w:rsidP="001F0D9C">
      <w:pPr>
        <w:pStyle w:val="ListParagraph"/>
        <w:spacing w:line="276" w:lineRule="auto"/>
        <w:jc w:val="both"/>
        <w:rPr>
          <w:rFonts w:ascii="Times New Roman" w:eastAsia="Times New Roman" w:hAnsi="Times New Roman" w:cs="Times New Roman"/>
          <w:bCs/>
          <w:color w:val="000000"/>
          <w:sz w:val="24"/>
          <w:szCs w:val="24"/>
        </w:rPr>
      </w:pPr>
    </w:p>
    <w:p w14:paraId="465401C7" w14:textId="600C85C3" w:rsidR="007A2ECE" w:rsidRPr="001F0D9C" w:rsidRDefault="007A2ECE" w:rsidP="001F0D9C">
      <w:pPr>
        <w:pStyle w:val="ListParagraph"/>
        <w:numPr>
          <w:ilvl w:val="0"/>
          <w:numId w:val="10"/>
        </w:numPr>
        <w:spacing w:line="276" w:lineRule="auto"/>
        <w:jc w:val="both"/>
        <w:rPr>
          <w:rFonts w:ascii="Times New Roman" w:eastAsia="Times New Roman" w:hAnsi="Times New Roman" w:cs="Times New Roman"/>
          <w:bCs/>
          <w:color w:val="000000"/>
          <w:sz w:val="24"/>
          <w:szCs w:val="24"/>
        </w:rPr>
      </w:pPr>
      <w:r w:rsidRPr="001F0D9C">
        <w:rPr>
          <w:rFonts w:ascii="Times New Roman" w:eastAsia="Times New Roman" w:hAnsi="Times New Roman" w:cs="Times New Roman"/>
          <w:bCs/>
          <w:color w:val="000000"/>
          <w:sz w:val="24"/>
          <w:szCs w:val="24"/>
        </w:rPr>
        <w:t>How might a stable treasury operation indirectly support employee training and skills development?</w:t>
      </w:r>
    </w:p>
    <w:p w14:paraId="6B483A8F" w14:textId="77777777" w:rsidR="00A50663" w:rsidRPr="001F0D9C" w:rsidRDefault="00A50663" w:rsidP="001F0D9C">
      <w:pPr>
        <w:pStyle w:val="ListParagraph"/>
        <w:spacing w:line="276" w:lineRule="auto"/>
        <w:jc w:val="both"/>
        <w:rPr>
          <w:rFonts w:ascii="Times New Roman" w:eastAsia="Times New Roman" w:hAnsi="Times New Roman" w:cs="Times New Roman"/>
          <w:bCs/>
          <w:color w:val="000000"/>
          <w:sz w:val="24"/>
          <w:szCs w:val="24"/>
        </w:rPr>
      </w:pPr>
    </w:p>
    <w:p w14:paraId="07BFAA4C" w14:textId="3BBDFD51" w:rsidR="007A2ECE" w:rsidRPr="001F0D9C" w:rsidRDefault="007A2ECE" w:rsidP="001F0D9C">
      <w:pPr>
        <w:pStyle w:val="ListParagraph"/>
        <w:numPr>
          <w:ilvl w:val="0"/>
          <w:numId w:val="10"/>
        </w:numPr>
        <w:spacing w:line="276" w:lineRule="auto"/>
        <w:jc w:val="both"/>
        <w:rPr>
          <w:rFonts w:ascii="Times New Roman" w:eastAsia="Times New Roman" w:hAnsi="Times New Roman" w:cs="Times New Roman"/>
          <w:bCs/>
          <w:color w:val="000000"/>
          <w:sz w:val="24"/>
          <w:szCs w:val="24"/>
        </w:rPr>
      </w:pPr>
      <w:r w:rsidRPr="001F0D9C">
        <w:rPr>
          <w:rFonts w:ascii="Times New Roman" w:eastAsia="Times New Roman" w:hAnsi="Times New Roman" w:cs="Times New Roman"/>
          <w:bCs/>
          <w:color w:val="000000"/>
          <w:sz w:val="24"/>
          <w:szCs w:val="24"/>
        </w:rPr>
        <w:t xml:space="preserve">Consider the implications of efficient cash management and liquidity risk reduction </w:t>
      </w:r>
      <w:r w:rsidR="0059780E" w:rsidRPr="001F0D9C">
        <w:rPr>
          <w:rFonts w:ascii="Times New Roman" w:eastAsia="Times New Roman" w:hAnsi="Times New Roman" w:cs="Times New Roman"/>
          <w:bCs/>
          <w:color w:val="000000"/>
          <w:sz w:val="24"/>
          <w:szCs w:val="24"/>
        </w:rPr>
        <w:t>for</w:t>
      </w:r>
      <w:r w:rsidRPr="001F0D9C">
        <w:rPr>
          <w:rFonts w:ascii="Times New Roman" w:eastAsia="Times New Roman" w:hAnsi="Times New Roman" w:cs="Times New Roman"/>
          <w:bCs/>
          <w:color w:val="000000"/>
          <w:sz w:val="24"/>
          <w:szCs w:val="24"/>
        </w:rPr>
        <w:t xml:space="preserve"> workforce </w:t>
      </w:r>
      <w:r w:rsidR="00F65912" w:rsidRPr="001F0D9C">
        <w:rPr>
          <w:rFonts w:ascii="Times New Roman" w:eastAsia="Times New Roman" w:hAnsi="Times New Roman" w:cs="Times New Roman"/>
          <w:bCs/>
          <w:color w:val="000000"/>
          <w:sz w:val="24"/>
          <w:szCs w:val="24"/>
        </w:rPr>
        <w:t>productivity</w:t>
      </w:r>
      <w:r w:rsidRPr="001F0D9C">
        <w:rPr>
          <w:rFonts w:ascii="Times New Roman" w:eastAsia="Times New Roman" w:hAnsi="Times New Roman" w:cs="Times New Roman"/>
          <w:bCs/>
          <w:color w:val="000000"/>
          <w:sz w:val="24"/>
          <w:szCs w:val="24"/>
        </w:rPr>
        <w:t>.</w:t>
      </w:r>
    </w:p>
    <w:p w14:paraId="486DE8FB" w14:textId="77777777" w:rsidR="00A50663" w:rsidRPr="001F0D9C" w:rsidRDefault="00A50663" w:rsidP="001F0D9C">
      <w:pPr>
        <w:pStyle w:val="ListParagraph"/>
        <w:spacing w:line="276" w:lineRule="auto"/>
        <w:jc w:val="both"/>
        <w:rPr>
          <w:rFonts w:ascii="Times New Roman" w:eastAsia="Times New Roman" w:hAnsi="Times New Roman" w:cs="Times New Roman"/>
          <w:bCs/>
          <w:color w:val="000000"/>
          <w:sz w:val="24"/>
          <w:szCs w:val="24"/>
        </w:rPr>
      </w:pPr>
    </w:p>
    <w:p w14:paraId="665488E9" w14:textId="7D1A068B" w:rsidR="0059780E" w:rsidRPr="001F0D9C" w:rsidRDefault="00DE2A44" w:rsidP="001F0D9C">
      <w:pPr>
        <w:pStyle w:val="ListParagraph"/>
        <w:numPr>
          <w:ilvl w:val="0"/>
          <w:numId w:val="10"/>
        </w:numPr>
        <w:spacing w:line="276" w:lineRule="auto"/>
        <w:jc w:val="both"/>
        <w:rPr>
          <w:rFonts w:ascii="Times New Roman" w:eastAsia="Times New Roman" w:hAnsi="Times New Roman" w:cs="Times New Roman"/>
          <w:bCs/>
          <w:color w:val="000000"/>
          <w:sz w:val="24"/>
          <w:szCs w:val="24"/>
        </w:rPr>
      </w:pPr>
      <w:r w:rsidRPr="001F0D9C">
        <w:rPr>
          <w:rFonts w:ascii="Times New Roman" w:eastAsia="Times New Roman" w:hAnsi="Times New Roman" w:cs="Times New Roman"/>
          <w:bCs/>
          <w:color w:val="000000"/>
          <w:sz w:val="24"/>
          <w:szCs w:val="24"/>
        </w:rPr>
        <w:t>Reflect on how a well-structured treasury operation can serve as a foundation for informed market participation. Can you envision how financial prudence links the themes of Chapters 2 and 3, reinforcing the connection between financial acumen, human capital development, and economic prosperity?</w:t>
      </w:r>
    </w:p>
    <w:p w14:paraId="5DD9F802" w14:textId="58B68D9D" w:rsidR="00154063" w:rsidRPr="001F0D9C" w:rsidRDefault="00154063" w:rsidP="001F0D9C">
      <w:pPr>
        <w:spacing w:line="276" w:lineRule="auto"/>
        <w:jc w:val="both"/>
        <w:rPr>
          <w:rFonts w:ascii="Times New Roman" w:eastAsia="Times New Roman" w:hAnsi="Times New Roman" w:cs="Times New Roman"/>
          <w:bCs/>
          <w:color w:val="000000"/>
          <w:sz w:val="24"/>
          <w:szCs w:val="24"/>
        </w:rPr>
      </w:pPr>
      <w:r w:rsidRPr="001F0D9C">
        <w:rPr>
          <w:rFonts w:ascii="Times New Roman" w:eastAsia="Times New Roman" w:hAnsi="Times New Roman" w:cs="Times New Roman"/>
          <w:bCs/>
          <w:color w:val="000000"/>
          <w:sz w:val="24"/>
          <w:szCs w:val="24"/>
        </w:rPr>
        <w:br w:type="page"/>
      </w:r>
    </w:p>
    <w:p w14:paraId="000000E1" w14:textId="465AFC97" w:rsidR="00186D9A" w:rsidRPr="001F0D9C" w:rsidRDefault="00000000" w:rsidP="001F0D9C">
      <w:pPr>
        <w:pStyle w:val="Heading1"/>
        <w:spacing w:line="276" w:lineRule="auto"/>
        <w:jc w:val="both"/>
        <w:rPr>
          <w:rFonts w:ascii="Times New Roman" w:eastAsia="Times New Roman" w:hAnsi="Times New Roman" w:cs="Times New Roman"/>
          <w:b/>
          <w:color w:val="000000"/>
        </w:rPr>
      </w:pPr>
      <w:bookmarkStart w:id="29" w:name="_Toc146481292"/>
      <w:r w:rsidRPr="001F0D9C">
        <w:rPr>
          <w:rFonts w:ascii="Times New Roman" w:eastAsia="Times New Roman" w:hAnsi="Times New Roman" w:cs="Times New Roman"/>
          <w:b/>
          <w:color w:val="000000"/>
        </w:rPr>
        <w:lastRenderedPageBreak/>
        <w:t>Bibliography</w:t>
      </w:r>
      <w:bookmarkEnd w:id="29"/>
    </w:p>
    <w:p w14:paraId="000000E2" w14:textId="77777777" w:rsidR="00186D9A" w:rsidRPr="001F0D9C" w:rsidRDefault="00186D9A" w:rsidP="001F0D9C">
      <w:pPr>
        <w:spacing w:line="276" w:lineRule="auto"/>
        <w:jc w:val="both"/>
        <w:rPr>
          <w:rFonts w:ascii="Times New Roman" w:eastAsia="Times New Roman" w:hAnsi="Times New Roman" w:cs="Times New Roman"/>
        </w:rPr>
      </w:pPr>
    </w:p>
    <w:p w14:paraId="7574669C" w14:textId="77777777" w:rsidR="00AD57A2" w:rsidRPr="008572B0" w:rsidRDefault="00AD57A2" w:rsidP="00AD57A2">
      <w:pPr>
        <w:spacing w:line="276" w:lineRule="auto"/>
        <w:jc w:val="both"/>
        <w:rPr>
          <w:rStyle w:val="Emphasis"/>
          <w:rFonts w:ascii="Times New Roman" w:hAnsi="Times New Roman" w:cs="Times New Roman"/>
          <w:i w:val="0"/>
          <w:iCs w:val="0"/>
          <w:sz w:val="24"/>
          <w:szCs w:val="24"/>
          <w:bdr w:val="single" w:sz="2" w:space="0" w:color="D9D9E3" w:frame="1"/>
          <w:shd w:val="clear" w:color="auto" w:fill="F7F7F8"/>
        </w:rPr>
      </w:pPr>
      <w:r w:rsidRPr="008572B0">
        <w:rPr>
          <w:rStyle w:val="Emphasis"/>
          <w:rFonts w:ascii="Times New Roman" w:hAnsi="Times New Roman" w:cs="Times New Roman"/>
          <w:i w:val="0"/>
          <w:iCs w:val="0"/>
          <w:sz w:val="24"/>
          <w:szCs w:val="24"/>
          <w:bdr w:val="single" w:sz="2" w:space="0" w:color="D9D9E3" w:frame="1"/>
          <w:shd w:val="clear" w:color="auto" w:fill="F7F7F8"/>
        </w:rPr>
        <w:t xml:space="preserve">Apple Inc. (2022). </w:t>
      </w:r>
      <w:r w:rsidRPr="008572B0">
        <w:rPr>
          <w:rStyle w:val="Emphasis"/>
          <w:rFonts w:ascii="Times New Roman" w:hAnsi="Times New Roman" w:cs="Times New Roman"/>
          <w:sz w:val="24"/>
          <w:szCs w:val="24"/>
          <w:bdr w:val="single" w:sz="2" w:space="0" w:color="D9D9E3" w:frame="1"/>
          <w:shd w:val="clear" w:color="auto" w:fill="F7F7F8"/>
        </w:rPr>
        <w:t>Form 10-K for the Fiscal Year Ended September 27, 2022</w:t>
      </w:r>
      <w:r w:rsidRPr="008572B0">
        <w:rPr>
          <w:rStyle w:val="Emphasis"/>
          <w:rFonts w:ascii="Times New Roman" w:hAnsi="Times New Roman" w:cs="Times New Roman"/>
          <w:i w:val="0"/>
          <w:iCs w:val="0"/>
          <w:sz w:val="24"/>
          <w:szCs w:val="24"/>
          <w:bdr w:val="single" w:sz="2" w:space="0" w:color="D9D9E3" w:frame="1"/>
          <w:shd w:val="clear" w:color="auto" w:fill="F7F7F8"/>
        </w:rPr>
        <w:t xml:space="preserve">. Apple </w:t>
      </w:r>
    </w:p>
    <w:p w14:paraId="0F92568E" w14:textId="1EE2CF2B" w:rsidR="00AD57A2" w:rsidRPr="008572B0" w:rsidRDefault="00AD57A2" w:rsidP="00AD57A2">
      <w:pPr>
        <w:spacing w:line="276" w:lineRule="auto"/>
        <w:ind w:left="720"/>
        <w:jc w:val="both"/>
        <w:rPr>
          <w:rFonts w:ascii="Times New Roman" w:hAnsi="Times New Roman" w:cs="Times New Roman"/>
          <w:i/>
          <w:iCs/>
          <w:sz w:val="24"/>
          <w:szCs w:val="24"/>
          <w:shd w:val="clear" w:color="auto" w:fill="F7F7ED"/>
        </w:rPr>
      </w:pPr>
      <w:r w:rsidRPr="008572B0">
        <w:rPr>
          <w:rStyle w:val="Emphasis"/>
          <w:rFonts w:ascii="Times New Roman" w:hAnsi="Times New Roman" w:cs="Times New Roman"/>
          <w:i w:val="0"/>
          <w:iCs w:val="0"/>
          <w:sz w:val="24"/>
          <w:szCs w:val="24"/>
          <w:bdr w:val="single" w:sz="2" w:space="0" w:color="D9D9E3" w:frame="1"/>
          <w:shd w:val="clear" w:color="auto" w:fill="F7F7F8"/>
        </w:rPr>
        <w:t>Inc. https://s2.q4cdn.com/470004039/files/doc_financials/2022/q4/_10-K-2022-(As-Filed).pdf.</w:t>
      </w:r>
    </w:p>
    <w:p w14:paraId="00C9BA2D" w14:textId="1D7794C0" w:rsidR="0080135C" w:rsidRPr="001F0D9C" w:rsidRDefault="003D2340" w:rsidP="001F0D9C">
      <w:pPr>
        <w:spacing w:line="276" w:lineRule="auto"/>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Baudino, P., Thor Sturluson, J., &amp; Svoronos, J. (2020, March). </w:t>
      </w:r>
      <w:r w:rsidRPr="001F0D9C">
        <w:rPr>
          <w:rStyle w:val="Emphasis"/>
          <w:rFonts w:ascii="Times New Roman" w:hAnsi="Times New Roman" w:cs="Times New Roman"/>
          <w:sz w:val="24"/>
          <w:szCs w:val="24"/>
          <w:shd w:val="clear" w:color="auto" w:fill="F7F7ED"/>
        </w:rPr>
        <w:t>The banking crisis in Iceland</w:t>
      </w:r>
      <w:r w:rsidRPr="001F0D9C">
        <w:rPr>
          <w:rFonts w:ascii="Times New Roman" w:hAnsi="Times New Roman" w:cs="Times New Roman"/>
          <w:sz w:val="24"/>
          <w:szCs w:val="24"/>
          <w:shd w:val="clear" w:color="auto" w:fill="F7F7ED"/>
        </w:rPr>
        <w:t xml:space="preserve">. Bank </w:t>
      </w:r>
    </w:p>
    <w:p w14:paraId="04F56AF3" w14:textId="517D1C71" w:rsidR="0079180A" w:rsidRPr="001F0D9C" w:rsidRDefault="003D2340" w:rsidP="001F0D9C">
      <w:pPr>
        <w:spacing w:line="276" w:lineRule="auto"/>
        <w:ind w:left="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for International Settlements. </w:t>
      </w:r>
      <w:r w:rsidRPr="001F0D9C">
        <w:rPr>
          <w:rFonts w:ascii="Times New Roman" w:hAnsi="Times New Roman" w:cs="Times New Roman"/>
          <w:sz w:val="24"/>
          <w:szCs w:val="24"/>
          <w:shd w:val="clear" w:color="auto" w:fill="FFFFFF"/>
        </w:rPr>
        <w:t>FSI Crisis Management Series No 1.</w:t>
      </w:r>
      <w:r w:rsidRPr="001F0D9C">
        <w:rPr>
          <w:rFonts w:ascii="Times New Roman" w:hAnsi="Times New Roman" w:cs="Times New Roman"/>
          <w:sz w:val="24"/>
          <w:szCs w:val="24"/>
          <w:shd w:val="clear" w:color="auto" w:fill="F7F7ED"/>
        </w:rPr>
        <w:t> </w:t>
      </w:r>
      <w:r w:rsidR="0080135C" w:rsidRPr="001F0D9C">
        <w:rPr>
          <w:rFonts w:ascii="Times New Roman" w:hAnsi="Times New Roman" w:cs="Times New Roman"/>
          <w:sz w:val="24"/>
          <w:szCs w:val="24"/>
          <w:shd w:val="clear" w:color="auto" w:fill="F7F7ED"/>
        </w:rPr>
        <w:t>https://www.bis.org/fsi/fsicms1.pdf</w:t>
      </w:r>
      <w:r w:rsidRPr="001F0D9C">
        <w:rPr>
          <w:rFonts w:ascii="Times New Roman" w:hAnsi="Times New Roman" w:cs="Times New Roman"/>
          <w:sz w:val="24"/>
          <w:szCs w:val="24"/>
          <w:shd w:val="clear" w:color="auto" w:fill="F7F7ED"/>
        </w:rPr>
        <w:t>.</w:t>
      </w:r>
    </w:p>
    <w:p w14:paraId="26E80E06" w14:textId="77777777" w:rsidR="00064F14" w:rsidRPr="001F0D9C" w:rsidRDefault="00064F14" w:rsidP="001F0D9C">
      <w:pPr>
        <w:shd w:val="clear" w:color="auto" w:fill="FFFFFF"/>
        <w:spacing w:line="276" w:lineRule="auto"/>
        <w:jc w:val="both"/>
        <w:rPr>
          <w:rStyle w:val="Emphasis"/>
          <w:rFonts w:ascii="Times New Roman" w:hAnsi="Times New Roman" w:cs="Times New Roman"/>
          <w:sz w:val="24"/>
          <w:szCs w:val="24"/>
        </w:rPr>
      </w:pPr>
      <w:r w:rsidRPr="001F0D9C">
        <w:rPr>
          <w:rFonts w:ascii="Times New Roman" w:hAnsi="Times New Roman" w:cs="Times New Roman"/>
          <w:sz w:val="24"/>
          <w:szCs w:val="24"/>
        </w:rPr>
        <w:t>BBC News. (2021, March 10). </w:t>
      </w:r>
      <w:r w:rsidRPr="001F0D9C">
        <w:rPr>
          <w:rStyle w:val="Emphasis"/>
          <w:rFonts w:ascii="Times New Roman" w:hAnsi="Times New Roman" w:cs="Times New Roman"/>
          <w:sz w:val="24"/>
          <w:szCs w:val="24"/>
        </w:rPr>
        <w:t xml:space="preserve">Fukushima disaster: What happened at the nuclear </w:t>
      </w:r>
    </w:p>
    <w:p w14:paraId="2214841C" w14:textId="4C5EEA8C" w:rsidR="00064F14" w:rsidRPr="001F0D9C" w:rsidRDefault="00064F14" w:rsidP="001F0D9C">
      <w:pPr>
        <w:shd w:val="clear" w:color="auto" w:fill="FFFFFF"/>
        <w:spacing w:line="276" w:lineRule="auto"/>
        <w:ind w:firstLine="720"/>
        <w:jc w:val="both"/>
        <w:rPr>
          <w:rFonts w:ascii="Times New Roman" w:hAnsi="Times New Roman" w:cs="Times New Roman"/>
          <w:sz w:val="24"/>
          <w:szCs w:val="24"/>
        </w:rPr>
      </w:pPr>
      <w:r w:rsidRPr="001F0D9C">
        <w:rPr>
          <w:rStyle w:val="Emphasis"/>
          <w:rFonts w:ascii="Times New Roman" w:hAnsi="Times New Roman" w:cs="Times New Roman"/>
          <w:sz w:val="24"/>
          <w:szCs w:val="24"/>
        </w:rPr>
        <w:t>plant?</w:t>
      </w:r>
      <w:r w:rsidRPr="001F0D9C">
        <w:rPr>
          <w:rFonts w:ascii="Times New Roman" w:hAnsi="Times New Roman" w:cs="Times New Roman"/>
          <w:sz w:val="24"/>
          <w:szCs w:val="24"/>
        </w:rPr>
        <w:t> Retrieved September 18, 2023, from https://www.bbc.com/news/world-asia-</w:t>
      </w:r>
    </w:p>
    <w:p w14:paraId="1B157189" w14:textId="77777777" w:rsidR="00155D96" w:rsidRPr="001F0D9C" w:rsidRDefault="00064F14" w:rsidP="001F0D9C">
      <w:pPr>
        <w:shd w:val="clear" w:color="auto" w:fill="FFFFFF"/>
        <w:spacing w:line="276" w:lineRule="auto"/>
        <w:ind w:firstLine="720"/>
        <w:jc w:val="both"/>
        <w:rPr>
          <w:rFonts w:ascii="Times New Roman" w:hAnsi="Times New Roman" w:cs="Times New Roman"/>
          <w:sz w:val="24"/>
          <w:szCs w:val="24"/>
        </w:rPr>
      </w:pPr>
      <w:r w:rsidRPr="001F0D9C">
        <w:rPr>
          <w:rFonts w:ascii="Times New Roman" w:hAnsi="Times New Roman" w:cs="Times New Roman"/>
          <w:sz w:val="24"/>
          <w:szCs w:val="24"/>
        </w:rPr>
        <w:t>56252695.</w:t>
      </w:r>
    </w:p>
    <w:p w14:paraId="22F82B94" w14:textId="77777777" w:rsidR="00155D96" w:rsidRPr="001F0D9C" w:rsidRDefault="00155D96" w:rsidP="001F0D9C">
      <w:pPr>
        <w:shd w:val="clear" w:color="auto" w:fill="FFFFFF"/>
        <w:spacing w:line="276" w:lineRule="auto"/>
        <w:jc w:val="both"/>
        <w:rPr>
          <w:rStyle w:val="Emphasis"/>
          <w:rFonts w:ascii="Times New Roman" w:hAnsi="Times New Roman" w:cs="Times New Roman"/>
          <w:sz w:val="24"/>
          <w:szCs w:val="24"/>
        </w:rPr>
      </w:pPr>
      <w:r w:rsidRPr="001F0D9C">
        <w:rPr>
          <w:rFonts w:ascii="Times New Roman" w:hAnsi="Times New Roman" w:cs="Times New Roman"/>
          <w:sz w:val="24"/>
          <w:szCs w:val="24"/>
        </w:rPr>
        <w:t>Becker, T., Bryant, R., &amp; Henderson, D. (2016, July 29). </w:t>
      </w:r>
      <w:r w:rsidRPr="001F0D9C">
        <w:rPr>
          <w:rStyle w:val="Emphasis"/>
          <w:rFonts w:ascii="Times New Roman" w:hAnsi="Times New Roman" w:cs="Times New Roman"/>
          <w:sz w:val="24"/>
          <w:szCs w:val="24"/>
        </w:rPr>
        <w:t xml:space="preserve">Maintaining financial stability in an </w:t>
      </w:r>
    </w:p>
    <w:p w14:paraId="62ABB3FB" w14:textId="77777777" w:rsidR="00155D96" w:rsidRPr="001F0D9C" w:rsidRDefault="00155D96" w:rsidP="001F0D9C">
      <w:pPr>
        <w:shd w:val="clear" w:color="auto" w:fill="FFFFFF"/>
        <w:spacing w:line="276" w:lineRule="auto"/>
        <w:ind w:firstLine="720"/>
        <w:jc w:val="both"/>
        <w:rPr>
          <w:rFonts w:ascii="Times New Roman" w:hAnsi="Times New Roman" w:cs="Times New Roman"/>
          <w:sz w:val="24"/>
          <w:szCs w:val="24"/>
        </w:rPr>
      </w:pPr>
      <w:r w:rsidRPr="001F0D9C">
        <w:rPr>
          <w:rStyle w:val="Emphasis"/>
          <w:rFonts w:ascii="Times New Roman" w:hAnsi="Times New Roman" w:cs="Times New Roman"/>
          <w:sz w:val="24"/>
          <w:szCs w:val="24"/>
        </w:rPr>
        <w:t>open economy: Sweden in the global crisis and beyond</w:t>
      </w:r>
      <w:r w:rsidRPr="001F0D9C">
        <w:rPr>
          <w:rFonts w:ascii="Times New Roman" w:hAnsi="Times New Roman" w:cs="Times New Roman"/>
          <w:sz w:val="24"/>
          <w:szCs w:val="24"/>
        </w:rPr>
        <w:t xml:space="preserve">. Brookings. </w:t>
      </w:r>
    </w:p>
    <w:p w14:paraId="46F19096" w14:textId="31871A17" w:rsidR="00155D96" w:rsidRPr="001F0D9C" w:rsidRDefault="00155D96" w:rsidP="001F0D9C">
      <w:pPr>
        <w:shd w:val="clear" w:color="auto" w:fill="FFFFFF"/>
        <w:spacing w:line="276" w:lineRule="auto"/>
        <w:ind w:firstLine="720"/>
        <w:jc w:val="both"/>
        <w:rPr>
          <w:rFonts w:ascii="Times New Roman" w:hAnsi="Times New Roman" w:cs="Times New Roman"/>
          <w:sz w:val="24"/>
          <w:szCs w:val="24"/>
        </w:rPr>
      </w:pPr>
      <w:r w:rsidRPr="001F0D9C">
        <w:rPr>
          <w:rFonts w:ascii="Times New Roman" w:hAnsi="Times New Roman" w:cs="Times New Roman"/>
          <w:sz w:val="24"/>
          <w:szCs w:val="24"/>
        </w:rPr>
        <w:t>Retrieved September 22, 2023, from https://www.brookings.edu/articles/maintaining-</w:t>
      </w:r>
    </w:p>
    <w:p w14:paraId="48EFBDBE" w14:textId="7024983F" w:rsidR="00840FA3" w:rsidRPr="001F0D9C" w:rsidRDefault="00155D96" w:rsidP="001F0D9C">
      <w:pPr>
        <w:shd w:val="clear" w:color="auto" w:fill="FFFFFF"/>
        <w:spacing w:line="276" w:lineRule="auto"/>
        <w:ind w:firstLine="720"/>
        <w:jc w:val="both"/>
        <w:rPr>
          <w:rStyle w:val="Emphasis"/>
          <w:rFonts w:ascii="Times New Roman" w:hAnsi="Times New Roman" w:cs="Times New Roman"/>
          <w:sz w:val="24"/>
          <w:szCs w:val="24"/>
        </w:rPr>
      </w:pPr>
      <w:r w:rsidRPr="001F0D9C">
        <w:rPr>
          <w:rFonts w:ascii="Times New Roman" w:hAnsi="Times New Roman" w:cs="Times New Roman"/>
          <w:sz w:val="24"/>
          <w:szCs w:val="24"/>
        </w:rPr>
        <w:t>financial-stability-in-an-open-economy-sweden-in-the-global-crisis-and-beyond/.</w:t>
      </w:r>
      <w:r w:rsidR="00064F14" w:rsidRPr="001F0D9C">
        <w:rPr>
          <w:rFonts w:ascii="Times New Roman" w:hAnsi="Times New Roman" w:cs="Times New Roman"/>
          <w:color w:val="333333"/>
          <w:sz w:val="21"/>
          <w:szCs w:val="21"/>
          <w:shd w:val="clear" w:color="auto" w:fill="F7F7ED"/>
        </w:rPr>
        <w:br/>
      </w:r>
      <w:r w:rsidR="00163E3E" w:rsidRPr="001F0D9C">
        <w:rPr>
          <w:rFonts w:ascii="Times New Roman" w:hAnsi="Times New Roman" w:cs="Times New Roman"/>
          <w:sz w:val="24"/>
          <w:szCs w:val="24"/>
          <w:shd w:val="clear" w:color="auto" w:fill="F7F7ED"/>
        </w:rPr>
        <w:t>BIS. (2011). </w:t>
      </w:r>
      <w:r w:rsidR="00163E3E" w:rsidRPr="001F0D9C">
        <w:rPr>
          <w:rStyle w:val="Emphasis"/>
          <w:rFonts w:ascii="Times New Roman" w:hAnsi="Times New Roman" w:cs="Times New Roman"/>
          <w:sz w:val="24"/>
          <w:szCs w:val="24"/>
        </w:rPr>
        <w:t xml:space="preserve">Basel III: A global regulatory framework for more resilient banks and banking </w:t>
      </w:r>
    </w:p>
    <w:p w14:paraId="6681B0CA" w14:textId="55C385C5" w:rsidR="00163E3E" w:rsidRPr="001F0D9C" w:rsidRDefault="00163E3E" w:rsidP="001F0D9C">
      <w:pPr>
        <w:shd w:val="clear" w:color="auto" w:fill="FFFFFF"/>
        <w:spacing w:line="276" w:lineRule="auto"/>
        <w:ind w:firstLine="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rPr>
        <w:t>systems</w:t>
      </w:r>
      <w:r w:rsidRPr="001F0D9C">
        <w:rPr>
          <w:rFonts w:ascii="Times New Roman" w:hAnsi="Times New Roman" w:cs="Times New Roman"/>
          <w:sz w:val="24"/>
          <w:szCs w:val="24"/>
          <w:shd w:val="clear" w:color="auto" w:fill="F7F7ED"/>
        </w:rPr>
        <w:t>. Bank for International Settlements. </w:t>
      </w:r>
      <w:r w:rsidRPr="001F0D9C">
        <w:rPr>
          <w:rFonts w:ascii="Times New Roman" w:hAnsi="Times New Roman" w:cs="Times New Roman"/>
          <w:sz w:val="24"/>
          <w:szCs w:val="24"/>
        </w:rPr>
        <w:t>https://www.bis.org/publ/bcbs189.pdf.</w:t>
      </w:r>
    </w:p>
    <w:p w14:paraId="350259CD" w14:textId="77777777" w:rsidR="0090147B" w:rsidRPr="001F0D9C" w:rsidRDefault="0090147B" w:rsidP="001F0D9C">
      <w:pPr>
        <w:spacing w:line="276" w:lineRule="auto"/>
        <w:jc w:val="both"/>
        <w:rPr>
          <w:rStyle w:val="Emphasis"/>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BMWK - Federal Ministry for Economics Affairs and Climate Action. (2020). </w:t>
      </w:r>
      <w:r w:rsidRPr="001F0D9C">
        <w:rPr>
          <w:rStyle w:val="Emphasis"/>
          <w:rFonts w:ascii="Times New Roman" w:hAnsi="Times New Roman" w:cs="Times New Roman"/>
          <w:sz w:val="24"/>
          <w:szCs w:val="24"/>
          <w:shd w:val="clear" w:color="auto" w:fill="F7F7ED"/>
        </w:rPr>
        <w:t xml:space="preserve">The German </w:t>
      </w:r>
    </w:p>
    <w:p w14:paraId="225BD9BC" w14:textId="3E8CA77E" w:rsidR="0090147B" w:rsidRPr="001F0D9C" w:rsidRDefault="0090147B" w:rsidP="001F0D9C">
      <w:pPr>
        <w:spacing w:line="276" w:lineRule="auto"/>
        <w:ind w:left="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shd w:val="clear" w:color="auto" w:fill="F7F7ED"/>
        </w:rPr>
        <w:t>Mittelstand as a model for success</w:t>
      </w:r>
      <w:r w:rsidRPr="001F0D9C">
        <w:rPr>
          <w:rFonts w:ascii="Times New Roman" w:hAnsi="Times New Roman" w:cs="Times New Roman"/>
          <w:sz w:val="24"/>
          <w:szCs w:val="24"/>
          <w:shd w:val="clear" w:color="auto" w:fill="F7F7ED"/>
        </w:rPr>
        <w:t>. BMWK - Bundesministerium für Wirtschaft und Klimaschutz. https://www.bmwk.de/Redaktion/EN/Dossier/sme-policy.html.</w:t>
      </w:r>
    </w:p>
    <w:p w14:paraId="47B3CFA4" w14:textId="61480104" w:rsidR="0036311B" w:rsidRPr="001F0D9C" w:rsidRDefault="0036311B" w:rsidP="001F0D9C">
      <w:pPr>
        <w:spacing w:line="276" w:lineRule="auto"/>
        <w:jc w:val="both"/>
        <w:rPr>
          <w:rStyle w:val="Emphasis"/>
          <w:rFonts w:ascii="Times New Roman" w:hAnsi="Times New Roman" w:cs="Times New Roman"/>
          <w:sz w:val="24"/>
          <w:szCs w:val="24"/>
        </w:rPr>
      </w:pPr>
      <w:r w:rsidRPr="001F0D9C">
        <w:rPr>
          <w:rFonts w:ascii="Times New Roman" w:hAnsi="Times New Roman" w:cs="Times New Roman"/>
          <w:sz w:val="24"/>
          <w:szCs w:val="24"/>
          <w:shd w:val="clear" w:color="auto" w:fill="F7F7ED"/>
        </w:rPr>
        <w:t>Bulmer, S. (2022, March 23). </w:t>
      </w:r>
      <w:r w:rsidRPr="001F0D9C">
        <w:rPr>
          <w:rStyle w:val="Emphasis"/>
          <w:rFonts w:ascii="Times New Roman" w:hAnsi="Times New Roman" w:cs="Times New Roman"/>
          <w:sz w:val="24"/>
          <w:szCs w:val="24"/>
        </w:rPr>
        <w:t xml:space="preserve">Germany, the Eurozone crisis and the COVID-19 pandemic: Failing </w:t>
      </w:r>
    </w:p>
    <w:p w14:paraId="5D350453" w14:textId="05346FDB" w:rsidR="0036311B" w:rsidRPr="001F0D9C" w:rsidRDefault="0036311B" w:rsidP="001F0D9C">
      <w:pPr>
        <w:spacing w:line="276" w:lineRule="auto"/>
        <w:ind w:left="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rPr>
        <w:t>forward or moving on?</w:t>
      </w:r>
      <w:r w:rsidRPr="001F0D9C">
        <w:rPr>
          <w:rFonts w:ascii="Times New Roman" w:hAnsi="Times New Roman" w:cs="Times New Roman"/>
          <w:sz w:val="24"/>
          <w:szCs w:val="24"/>
          <w:shd w:val="clear" w:color="auto" w:fill="F7F7ED"/>
        </w:rPr>
        <w:t> PubMed Central (PMC). </w:t>
      </w:r>
      <w:r w:rsidRPr="001F0D9C">
        <w:rPr>
          <w:rFonts w:ascii="Times New Roman" w:hAnsi="Times New Roman" w:cs="Times New Roman"/>
          <w:sz w:val="24"/>
          <w:szCs w:val="24"/>
        </w:rPr>
        <w:t>https://www.ncbi.nlm.nih.gov/pmc/articles/PMC8942386/.</w:t>
      </w:r>
    </w:p>
    <w:p w14:paraId="3F539572" w14:textId="77777777" w:rsidR="008E7A26" w:rsidRPr="001F0D9C" w:rsidRDefault="008E7A26" w:rsidP="001F0D9C">
      <w:pPr>
        <w:spacing w:line="276" w:lineRule="auto"/>
        <w:jc w:val="both"/>
        <w:rPr>
          <w:rFonts w:ascii="Times New Roman" w:eastAsia="Times New Roman" w:hAnsi="Times New Roman" w:cs="Times New Roman"/>
          <w:i/>
          <w:sz w:val="24"/>
          <w:szCs w:val="24"/>
        </w:rPr>
      </w:pPr>
      <w:r w:rsidRPr="001F0D9C">
        <w:rPr>
          <w:rFonts w:ascii="Times New Roman" w:eastAsia="Times New Roman" w:hAnsi="Times New Roman" w:cs="Times New Roman"/>
          <w:sz w:val="24"/>
          <w:szCs w:val="24"/>
        </w:rPr>
        <w:t>CalPERS. (2021, June). </w:t>
      </w:r>
      <w:r w:rsidRPr="001F0D9C">
        <w:rPr>
          <w:rFonts w:ascii="Times New Roman" w:eastAsia="Times New Roman" w:hAnsi="Times New Roman" w:cs="Times New Roman"/>
          <w:i/>
          <w:sz w:val="24"/>
          <w:szCs w:val="24"/>
        </w:rPr>
        <w:t xml:space="preserve">CalPERS for California 2021: For the Fiscal Year Ended June 30, </w:t>
      </w:r>
    </w:p>
    <w:p w14:paraId="0499011F" w14:textId="77777777" w:rsidR="008E7A26" w:rsidRPr="001F0D9C" w:rsidRDefault="008E7A26" w:rsidP="001F0D9C">
      <w:pPr>
        <w:spacing w:line="276" w:lineRule="auto"/>
        <w:ind w:firstLine="720"/>
        <w:jc w:val="both"/>
        <w:rPr>
          <w:rFonts w:ascii="Times New Roman" w:eastAsia="Times New Roman" w:hAnsi="Times New Roman" w:cs="Times New Roman"/>
          <w:sz w:val="24"/>
          <w:szCs w:val="24"/>
        </w:rPr>
      </w:pPr>
      <w:r w:rsidRPr="001F0D9C">
        <w:rPr>
          <w:rFonts w:ascii="Times New Roman" w:eastAsia="Times New Roman" w:hAnsi="Times New Roman" w:cs="Times New Roman"/>
          <w:i/>
          <w:sz w:val="24"/>
          <w:szCs w:val="24"/>
        </w:rPr>
        <w:t>2021</w:t>
      </w:r>
      <w:r w:rsidRPr="001F0D9C">
        <w:rPr>
          <w:rFonts w:ascii="Times New Roman" w:eastAsia="Times New Roman" w:hAnsi="Times New Roman" w:cs="Times New Roman"/>
          <w:sz w:val="24"/>
          <w:szCs w:val="24"/>
        </w:rPr>
        <w:t xml:space="preserve">. California Public Employees' Retirement System - </w:t>
      </w:r>
    </w:p>
    <w:p w14:paraId="7CCCB968" w14:textId="77777777" w:rsidR="008E7A26" w:rsidRPr="001F0D9C" w:rsidRDefault="008E7A26" w:rsidP="001F0D9C">
      <w:pPr>
        <w:spacing w:line="276" w:lineRule="auto"/>
        <w:ind w:firstLine="72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CalPERS. https://www.calpers.ca.gov/docs/board-agendas/202211/invest/item04i-</w:t>
      </w:r>
    </w:p>
    <w:p w14:paraId="54F1BEFE" w14:textId="77777777" w:rsidR="008E7A26" w:rsidRPr="001F0D9C" w:rsidRDefault="008E7A26" w:rsidP="001F0D9C">
      <w:pPr>
        <w:spacing w:line="276" w:lineRule="auto"/>
        <w:ind w:firstLine="720"/>
        <w:jc w:val="both"/>
        <w:rPr>
          <w:rFonts w:ascii="Times New Roman" w:eastAsia="Times New Roman" w:hAnsi="Times New Roman" w:cs="Times New Roman"/>
          <w:sz w:val="24"/>
          <w:szCs w:val="24"/>
        </w:rPr>
      </w:pPr>
      <w:r w:rsidRPr="001F0D9C">
        <w:rPr>
          <w:rFonts w:ascii="Times New Roman" w:eastAsia="Times New Roman" w:hAnsi="Times New Roman" w:cs="Times New Roman"/>
          <w:sz w:val="24"/>
          <w:szCs w:val="24"/>
        </w:rPr>
        <w:t>01_a.pdf.</w:t>
      </w:r>
    </w:p>
    <w:p w14:paraId="3EDDDF96" w14:textId="5B7EAC4C" w:rsidR="00E104D1" w:rsidRPr="001F0D9C" w:rsidRDefault="00E104D1" w:rsidP="001F0D9C">
      <w:pPr>
        <w:spacing w:line="276" w:lineRule="auto"/>
        <w:jc w:val="both"/>
        <w:rPr>
          <w:rStyle w:val="Emphasis"/>
          <w:rFonts w:ascii="Times New Roman" w:hAnsi="Times New Roman" w:cs="Times New Roman"/>
          <w:sz w:val="24"/>
          <w:szCs w:val="24"/>
          <w:bdr w:val="single" w:sz="2" w:space="0" w:color="D9D9E3" w:frame="1"/>
          <w:shd w:val="clear" w:color="auto" w:fill="F7F7F8"/>
        </w:rPr>
      </w:pPr>
      <w:r w:rsidRPr="001F0D9C">
        <w:rPr>
          <w:rStyle w:val="Emphasis"/>
          <w:rFonts w:ascii="Times New Roman" w:hAnsi="Times New Roman" w:cs="Times New Roman"/>
          <w:i w:val="0"/>
          <w:iCs w:val="0"/>
          <w:sz w:val="24"/>
          <w:szCs w:val="24"/>
          <w:bdr w:val="single" w:sz="2" w:space="0" w:color="D9D9E3" w:frame="1"/>
          <w:shd w:val="clear" w:color="auto" w:fill="F7F7F8"/>
        </w:rPr>
        <w:lastRenderedPageBreak/>
        <w:t>Centers for Disease Control and Prevention. (2022, April 2).</w:t>
      </w:r>
      <w:r w:rsidRPr="001F0D9C">
        <w:rPr>
          <w:rStyle w:val="Emphasis"/>
          <w:rFonts w:ascii="Times New Roman" w:hAnsi="Times New Roman" w:cs="Times New Roman"/>
          <w:sz w:val="24"/>
          <w:szCs w:val="24"/>
          <w:bdr w:val="single" w:sz="2" w:space="0" w:color="D9D9E3" w:frame="1"/>
          <w:shd w:val="clear" w:color="auto" w:fill="F7F7F8"/>
        </w:rPr>
        <w:t xml:space="preserve"> National Pandemic Strategy. U.S. </w:t>
      </w:r>
    </w:p>
    <w:p w14:paraId="6163998F" w14:textId="313E5209" w:rsidR="00E104D1" w:rsidRPr="001F0D9C" w:rsidRDefault="00E104D1" w:rsidP="001F0D9C">
      <w:pPr>
        <w:spacing w:line="276" w:lineRule="auto"/>
        <w:ind w:left="720"/>
        <w:jc w:val="both"/>
        <w:rPr>
          <w:rFonts w:ascii="Times New Roman" w:hAnsi="Times New Roman" w:cs="Times New Roman"/>
          <w:sz w:val="24"/>
          <w:szCs w:val="24"/>
        </w:rPr>
      </w:pPr>
      <w:r w:rsidRPr="001F0D9C">
        <w:rPr>
          <w:rStyle w:val="Emphasis"/>
          <w:rFonts w:ascii="Times New Roman" w:hAnsi="Times New Roman" w:cs="Times New Roman"/>
          <w:sz w:val="24"/>
          <w:szCs w:val="24"/>
          <w:bdr w:val="single" w:sz="2" w:space="0" w:color="D9D9E3" w:frame="1"/>
          <w:shd w:val="clear" w:color="auto" w:fill="F7F7F8"/>
        </w:rPr>
        <w:t>Department of Health &amp; Human Services. </w:t>
      </w:r>
      <w:r w:rsidRPr="001F0D9C">
        <w:rPr>
          <w:rStyle w:val="Emphasis"/>
          <w:rFonts w:ascii="Times New Roman" w:hAnsi="Times New Roman" w:cs="Times New Roman"/>
          <w:i w:val="0"/>
          <w:iCs w:val="0"/>
          <w:sz w:val="24"/>
          <w:szCs w:val="24"/>
          <w:bdr w:val="single" w:sz="2" w:space="0" w:color="D9D9E3" w:frame="1"/>
          <w:shd w:val="clear" w:color="auto" w:fill="F7F7ED"/>
        </w:rPr>
        <w:t>Retrieved September 23, 2023, from</w:t>
      </w:r>
      <w:r w:rsidRPr="001F0D9C">
        <w:rPr>
          <w:rStyle w:val="Emphasis"/>
          <w:rFonts w:ascii="Times New Roman" w:hAnsi="Times New Roman" w:cs="Times New Roman"/>
          <w:i w:val="0"/>
          <w:iCs w:val="0"/>
          <w:sz w:val="24"/>
          <w:szCs w:val="24"/>
          <w:bdr w:val="single" w:sz="2" w:space="0" w:color="D9D9E3" w:frame="1"/>
          <w:shd w:val="clear" w:color="auto" w:fill="F7F7F8"/>
        </w:rPr>
        <w:t> https://www.cdc.gov/flu/pandemic-resources/national-strategy/index.html.</w:t>
      </w:r>
    </w:p>
    <w:p w14:paraId="03E99163" w14:textId="3F98BBA6" w:rsidR="00A67026" w:rsidRPr="001F0D9C" w:rsidRDefault="00A67026" w:rsidP="001F0D9C">
      <w:pPr>
        <w:shd w:val="clear" w:color="auto" w:fill="FFFFFF"/>
        <w:spacing w:line="276" w:lineRule="auto"/>
        <w:jc w:val="both"/>
        <w:rPr>
          <w:rStyle w:val="Emphasis"/>
          <w:rFonts w:ascii="Times New Roman" w:hAnsi="Times New Roman" w:cs="Times New Roman"/>
          <w:sz w:val="24"/>
          <w:szCs w:val="24"/>
        </w:rPr>
      </w:pPr>
      <w:r w:rsidRPr="001F0D9C">
        <w:rPr>
          <w:rFonts w:ascii="Times New Roman" w:hAnsi="Times New Roman" w:cs="Times New Roman"/>
          <w:sz w:val="24"/>
          <w:szCs w:val="24"/>
        </w:rPr>
        <w:t>Centre For Public Impact A BCG Foundation. (2019, September 2). </w:t>
      </w:r>
      <w:r w:rsidRPr="001F0D9C">
        <w:rPr>
          <w:rStyle w:val="Emphasis"/>
          <w:rFonts w:ascii="Times New Roman" w:hAnsi="Times New Roman" w:cs="Times New Roman"/>
          <w:sz w:val="24"/>
          <w:szCs w:val="24"/>
        </w:rPr>
        <w:t xml:space="preserve">The government pension fund </w:t>
      </w:r>
    </w:p>
    <w:p w14:paraId="3A29B2A4" w14:textId="77777777" w:rsidR="00A67026" w:rsidRPr="001F0D9C" w:rsidRDefault="00A67026" w:rsidP="001F0D9C">
      <w:pPr>
        <w:shd w:val="clear" w:color="auto" w:fill="FFFFFF"/>
        <w:spacing w:line="276" w:lineRule="auto"/>
        <w:ind w:firstLine="720"/>
        <w:jc w:val="both"/>
        <w:rPr>
          <w:rFonts w:ascii="Times New Roman" w:hAnsi="Times New Roman" w:cs="Times New Roman"/>
          <w:sz w:val="24"/>
          <w:szCs w:val="24"/>
        </w:rPr>
      </w:pPr>
      <w:r w:rsidRPr="001F0D9C">
        <w:rPr>
          <w:rStyle w:val="Emphasis"/>
          <w:rFonts w:ascii="Times New Roman" w:hAnsi="Times New Roman" w:cs="Times New Roman"/>
          <w:sz w:val="24"/>
          <w:szCs w:val="24"/>
        </w:rPr>
        <w:t>global (GPFG) in Norway</w:t>
      </w:r>
      <w:r w:rsidRPr="001F0D9C">
        <w:rPr>
          <w:rFonts w:ascii="Times New Roman" w:hAnsi="Times New Roman" w:cs="Times New Roman"/>
          <w:sz w:val="24"/>
          <w:szCs w:val="24"/>
        </w:rPr>
        <w:t xml:space="preserve">. Centre For Public Impact </w:t>
      </w:r>
    </w:p>
    <w:p w14:paraId="44585495" w14:textId="275EE4D1" w:rsidR="00A67026" w:rsidRPr="001F0D9C" w:rsidRDefault="00A67026" w:rsidP="001F0D9C">
      <w:pPr>
        <w:shd w:val="clear" w:color="auto" w:fill="FFFFFF"/>
        <w:spacing w:line="276" w:lineRule="auto"/>
        <w:ind w:firstLine="720"/>
        <w:jc w:val="both"/>
        <w:rPr>
          <w:rFonts w:ascii="Times New Roman" w:hAnsi="Times New Roman" w:cs="Times New Roman"/>
          <w:sz w:val="24"/>
          <w:szCs w:val="24"/>
        </w:rPr>
      </w:pPr>
      <w:r w:rsidRPr="001F0D9C">
        <w:rPr>
          <w:rFonts w:ascii="Times New Roman" w:hAnsi="Times New Roman" w:cs="Times New Roman"/>
          <w:sz w:val="24"/>
          <w:szCs w:val="24"/>
        </w:rPr>
        <w:t>(CPI). https://www.centreforpublicimpact.org/case-study/government-pension-fund-</w:t>
      </w:r>
    </w:p>
    <w:p w14:paraId="77301667" w14:textId="77777777" w:rsidR="00045896" w:rsidRPr="001F0D9C" w:rsidRDefault="00A67026" w:rsidP="001F0D9C">
      <w:pPr>
        <w:shd w:val="clear" w:color="auto" w:fill="FFFFFF"/>
        <w:spacing w:line="276" w:lineRule="auto"/>
        <w:ind w:firstLine="720"/>
        <w:jc w:val="both"/>
        <w:rPr>
          <w:rFonts w:ascii="Times New Roman" w:hAnsi="Times New Roman" w:cs="Times New Roman"/>
          <w:sz w:val="24"/>
          <w:szCs w:val="24"/>
        </w:rPr>
      </w:pPr>
      <w:r w:rsidRPr="001F0D9C">
        <w:rPr>
          <w:rFonts w:ascii="Times New Roman" w:hAnsi="Times New Roman" w:cs="Times New Roman"/>
          <w:sz w:val="24"/>
          <w:szCs w:val="24"/>
        </w:rPr>
        <w:t>global-gpfg-norway.</w:t>
      </w:r>
    </w:p>
    <w:p w14:paraId="3C82058D" w14:textId="77777777" w:rsidR="00045896" w:rsidRPr="001F0D9C" w:rsidRDefault="00045896" w:rsidP="001F0D9C">
      <w:pPr>
        <w:shd w:val="clear" w:color="auto" w:fill="FFFFFF"/>
        <w:spacing w:line="276" w:lineRule="auto"/>
        <w:jc w:val="both"/>
        <w:rPr>
          <w:rFonts w:ascii="Times New Roman" w:hAnsi="Times New Roman" w:cs="Times New Roman"/>
          <w:sz w:val="24"/>
          <w:szCs w:val="24"/>
        </w:rPr>
      </w:pPr>
      <w:r w:rsidRPr="001F0D9C">
        <w:rPr>
          <w:rFonts w:ascii="Times New Roman" w:hAnsi="Times New Roman" w:cs="Times New Roman"/>
          <w:sz w:val="24"/>
          <w:szCs w:val="24"/>
        </w:rPr>
        <w:t>Duignan, B. (2023, August 14). </w:t>
      </w:r>
      <w:r w:rsidRPr="001F0D9C">
        <w:rPr>
          <w:rStyle w:val="Emphasis"/>
          <w:rFonts w:ascii="Times New Roman" w:hAnsi="Times New Roman" w:cs="Times New Roman"/>
          <w:sz w:val="24"/>
          <w:szCs w:val="24"/>
        </w:rPr>
        <w:t>Financial crisis of 2007–08 | Definition, causes, effects, &amp; facts</w:t>
      </w:r>
      <w:r w:rsidRPr="001F0D9C">
        <w:rPr>
          <w:rFonts w:ascii="Times New Roman" w:hAnsi="Times New Roman" w:cs="Times New Roman"/>
          <w:sz w:val="24"/>
          <w:szCs w:val="24"/>
        </w:rPr>
        <w:t xml:space="preserve">. </w:t>
      </w:r>
    </w:p>
    <w:p w14:paraId="1BA821EE" w14:textId="77777777" w:rsidR="00045896" w:rsidRPr="001F0D9C" w:rsidRDefault="00045896" w:rsidP="001F0D9C">
      <w:pPr>
        <w:shd w:val="clear" w:color="auto" w:fill="FFFFFF"/>
        <w:spacing w:line="276" w:lineRule="auto"/>
        <w:ind w:firstLine="720"/>
        <w:jc w:val="both"/>
        <w:rPr>
          <w:rFonts w:ascii="Times New Roman" w:hAnsi="Times New Roman" w:cs="Times New Roman"/>
          <w:sz w:val="24"/>
          <w:szCs w:val="24"/>
        </w:rPr>
      </w:pPr>
      <w:r w:rsidRPr="001F0D9C">
        <w:rPr>
          <w:rFonts w:ascii="Times New Roman" w:hAnsi="Times New Roman" w:cs="Times New Roman"/>
          <w:sz w:val="24"/>
          <w:szCs w:val="24"/>
        </w:rPr>
        <w:t xml:space="preserve">Encyclopedia Britannica. Retrieved September 23, 2023, </w:t>
      </w:r>
    </w:p>
    <w:p w14:paraId="19071BBF" w14:textId="1EB833CE" w:rsidR="007630EC" w:rsidRPr="001F0D9C" w:rsidRDefault="00045896" w:rsidP="001F0D9C">
      <w:pPr>
        <w:shd w:val="clear" w:color="auto" w:fill="FFFFFF"/>
        <w:spacing w:line="276" w:lineRule="auto"/>
        <w:ind w:firstLine="720"/>
        <w:jc w:val="both"/>
        <w:rPr>
          <w:rStyle w:val="Emphasis"/>
          <w:rFonts w:ascii="Times New Roman" w:hAnsi="Times New Roman" w:cs="Times New Roman"/>
          <w:sz w:val="24"/>
          <w:szCs w:val="24"/>
          <w:shd w:val="clear" w:color="auto" w:fill="F7F7ED"/>
        </w:rPr>
      </w:pPr>
      <w:r w:rsidRPr="001F0D9C">
        <w:rPr>
          <w:rFonts w:ascii="Times New Roman" w:hAnsi="Times New Roman" w:cs="Times New Roman"/>
          <w:sz w:val="24"/>
          <w:szCs w:val="24"/>
        </w:rPr>
        <w:t>from https://www.britannica.com/money/topic/financial-crisis-of-2007-2008.</w:t>
      </w:r>
      <w:r w:rsidR="00A67026" w:rsidRPr="001F0D9C">
        <w:rPr>
          <w:rFonts w:ascii="Times New Roman" w:hAnsi="Times New Roman" w:cs="Times New Roman"/>
          <w:sz w:val="24"/>
          <w:szCs w:val="24"/>
        </w:rPr>
        <w:br/>
      </w:r>
      <w:r w:rsidR="007630EC" w:rsidRPr="001F0D9C">
        <w:rPr>
          <w:rFonts w:ascii="Times New Roman" w:hAnsi="Times New Roman" w:cs="Times New Roman"/>
          <w:sz w:val="24"/>
          <w:szCs w:val="24"/>
          <w:shd w:val="clear" w:color="auto" w:fill="F7F7ED"/>
        </w:rPr>
        <w:t>Ferris, E., &amp; Solis, M. (2016, July 29). </w:t>
      </w:r>
      <w:r w:rsidR="007630EC" w:rsidRPr="001F0D9C">
        <w:rPr>
          <w:rStyle w:val="Emphasis"/>
          <w:rFonts w:ascii="Times New Roman" w:hAnsi="Times New Roman" w:cs="Times New Roman"/>
          <w:sz w:val="24"/>
          <w:szCs w:val="24"/>
          <w:shd w:val="clear" w:color="auto" w:fill="F7F7ED"/>
        </w:rPr>
        <w:t xml:space="preserve">Earthquake, tsunami, meltdown - The triple disaster's </w:t>
      </w:r>
    </w:p>
    <w:p w14:paraId="1AE386FE" w14:textId="3F396C93" w:rsidR="007630EC" w:rsidRPr="001F0D9C" w:rsidRDefault="007630EC" w:rsidP="001F0D9C">
      <w:pPr>
        <w:spacing w:line="276" w:lineRule="auto"/>
        <w:ind w:left="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shd w:val="clear" w:color="auto" w:fill="F7F7ED"/>
        </w:rPr>
        <w:t>impact on Japan, impact on the world | Brookings</w:t>
      </w:r>
      <w:r w:rsidRPr="001F0D9C">
        <w:rPr>
          <w:rFonts w:ascii="Times New Roman" w:hAnsi="Times New Roman" w:cs="Times New Roman"/>
          <w:sz w:val="24"/>
          <w:szCs w:val="24"/>
          <w:shd w:val="clear" w:color="auto" w:fill="F7F7ED"/>
        </w:rPr>
        <w:t>. Brookings. Retrieved September 18, 2023, from https://www.brookings.edu/articles/earthquake-tsunami-meltdown-the-triple-disasters-impact-on-japan-impact-on-the-world/.</w:t>
      </w:r>
    </w:p>
    <w:p w14:paraId="0283E5E5" w14:textId="77777777" w:rsidR="002D4981" w:rsidRPr="001F0D9C" w:rsidRDefault="0074154C" w:rsidP="001F0D9C">
      <w:pPr>
        <w:spacing w:line="276" w:lineRule="auto"/>
        <w:jc w:val="both"/>
        <w:rPr>
          <w:rFonts w:ascii="Times New Roman" w:hAnsi="Times New Roman" w:cs="Times New Roman"/>
          <w:i/>
          <w:iCs/>
          <w:sz w:val="24"/>
          <w:szCs w:val="24"/>
          <w:bdr w:val="single" w:sz="2" w:space="0" w:color="D9D9E3" w:frame="1"/>
        </w:rPr>
      </w:pPr>
      <w:r w:rsidRPr="001F0D9C">
        <w:rPr>
          <w:rFonts w:ascii="Times New Roman" w:hAnsi="Times New Roman" w:cs="Times New Roman"/>
          <w:sz w:val="24"/>
          <w:szCs w:val="24"/>
          <w:bdr w:val="single" w:sz="2" w:space="0" w:color="D9D9E3" w:frame="1"/>
        </w:rPr>
        <w:t>Financial Crisis Inquiry Commission. (2011, February 25). </w:t>
      </w:r>
      <w:r w:rsidRPr="001F0D9C">
        <w:rPr>
          <w:rFonts w:ascii="Times New Roman" w:hAnsi="Times New Roman" w:cs="Times New Roman"/>
          <w:i/>
          <w:iCs/>
          <w:sz w:val="24"/>
          <w:szCs w:val="24"/>
          <w:bdr w:val="single" w:sz="2" w:space="0" w:color="D9D9E3" w:frame="1"/>
        </w:rPr>
        <w:t xml:space="preserve">The Financial Crisis Inquiry </w:t>
      </w:r>
    </w:p>
    <w:p w14:paraId="266A491A" w14:textId="2ABF2890" w:rsidR="0074154C" w:rsidRPr="001F0D9C" w:rsidRDefault="0074154C" w:rsidP="001F0D9C">
      <w:pPr>
        <w:spacing w:line="276" w:lineRule="auto"/>
        <w:ind w:left="720"/>
        <w:jc w:val="both"/>
        <w:rPr>
          <w:rFonts w:ascii="Times New Roman" w:hAnsi="Times New Roman" w:cs="Times New Roman"/>
          <w:sz w:val="24"/>
          <w:szCs w:val="24"/>
          <w:shd w:val="clear" w:color="auto" w:fill="F7F7ED"/>
        </w:rPr>
      </w:pPr>
      <w:r w:rsidRPr="001F0D9C">
        <w:rPr>
          <w:rFonts w:ascii="Times New Roman" w:hAnsi="Times New Roman" w:cs="Times New Roman"/>
          <w:i/>
          <w:iCs/>
          <w:sz w:val="24"/>
          <w:szCs w:val="24"/>
          <w:bdr w:val="single" w:sz="2" w:space="0" w:color="D9D9E3" w:frame="1"/>
        </w:rPr>
        <w:t>Report. </w:t>
      </w:r>
      <w:r w:rsidRPr="001F0D9C">
        <w:rPr>
          <w:rFonts w:ascii="Times New Roman" w:hAnsi="Times New Roman" w:cs="Times New Roman"/>
          <w:sz w:val="24"/>
          <w:szCs w:val="24"/>
          <w:bdr w:val="single" w:sz="2" w:space="0" w:color="D9D9E3" w:frame="1"/>
        </w:rPr>
        <w:t>Final report of the national commission on the causes of the financial and economic crisis in the united states. U.S. Government Printing Office. https://www.govinfo.gov/content/pkg/GPO-FCIC/pdf/GPO-FCIC.pdf.</w:t>
      </w:r>
    </w:p>
    <w:p w14:paraId="5DBF95C7" w14:textId="36D86367" w:rsidR="00A445B0" w:rsidRPr="001F0D9C" w:rsidRDefault="00154063" w:rsidP="001F0D9C">
      <w:pPr>
        <w:spacing w:line="276" w:lineRule="auto"/>
        <w:jc w:val="both"/>
        <w:rPr>
          <w:rFonts w:ascii="Times New Roman" w:hAnsi="Times New Roman" w:cs="Times New Roman"/>
          <w:sz w:val="24"/>
          <w:szCs w:val="24"/>
          <w:shd w:val="clear" w:color="auto" w:fill="FFFFFF"/>
        </w:rPr>
      </w:pPr>
      <w:r w:rsidRPr="001F0D9C">
        <w:rPr>
          <w:rFonts w:ascii="Times New Roman" w:hAnsi="Times New Roman" w:cs="Times New Roman"/>
          <w:sz w:val="24"/>
          <w:szCs w:val="24"/>
          <w:shd w:val="clear" w:color="auto" w:fill="F7F7ED"/>
        </w:rPr>
        <w:t>GAO. (2010, April). </w:t>
      </w:r>
      <w:r w:rsidRPr="001F0D9C">
        <w:rPr>
          <w:rStyle w:val="Emphasis"/>
          <w:rFonts w:ascii="Times New Roman" w:hAnsi="Times New Roman" w:cs="Times New Roman"/>
          <w:sz w:val="24"/>
          <w:szCs w:val="24"/>
          <w:shd w:val="clear" w:color="auto" w:fill="F7F7ED"/>
        </w:rPr>
        <w:t>Lessons Learned from Cash for Clunkers Program</w:t>
      </w:r>
      <w:r w:rsidRPr="001F0D9C">
        <w:rPr>
          <w:rFonts w:ascii="Times New Roman" w:hAnsi="Times New Roman" w:cs="Times New Roman"/>
          <w:sz w:val="24"/>
          <w:szCs w:val="24"/>
          <w:shd w:val="clear" w:color="auto" w:fill="F7F7ED"/>
        </w:rPr>
        <w:t>. </w:t>
      </w:r>
      <w:r w:rsidRPr="001F0D9C">
        <w:rPr>
          <w:rFonts w:ascii="Times New Roman" w:hAnsi="Times New Roman" w:cs="Times New Roman"/>
          <w:sz w:val="24"/>
          <w:szCs w:val="24"/>
          <w:shd w:val="clear" w:color="auto" w:fill="FFFFFF"/>
        </w:rPr>
        <w:t> Highlights of GAO-10-</w:t>
      </w:r>
    </w:p>
    <w:p w14:paraId="73E2668E" w14:textId="24BF662D" w:rsidR="00154063" w:rsidRPr="001F0D9C" w:rsidRDefault="00154063" w:rsidP="001F0D9C">
      <w:pPr>
        <w:spacing w:line="276" w:lineRule="auto"/>
        <w:ind w:left="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FFFFF"/>
        </w:rPr>
        <w:t xml:space="preserve">486, a report to congressional </w:t>
      </w:r>
      <w:r w:rsidR="00A445B0" w:rsidRPr="001F0D9C">
        <w:rPr>
          <w:rFonts w:ascii="Times New Roman" w:hAnsi="Times New Roman" w:cs="Times New Roman"/>
          <w:sz w:val="24"/>
          <w:szCs w:val="24"/>
          <w:shd w:val="clear" w:color="auto" w:fill="FFFFFF"/>
        </w:rPr>
        <w:t>committees.</w:t>
      </w:r>
      <w:r w:rsidRPr="001F0D9C">
        <w:rPr>
          <w:rFonts w:ascii="Times New Roman" w:hAnsi="Times New Roman" w:cs="Times New Roman"/>
          <w:sz w:val="24"/>
          <w:szCs w:val="24"/>
          <w:shd w:val="clear" w:color="auto" w:fill="FFFFFF"/>
        </w:rPr>
        <w:t xml:space="preserve"> </w:t>
      </w:r>
      <w:r w:rsidR="00A445B0" w:rsidRPr="001F0D9C">
        <w:rPr>
          <w:rFonts w:ascii="Times New Roman" w:hAnsi="Times New Roman" w:cs="Times New Roman"/>
          <w:sz w:val="24"/>
          <w:szCs w:val="24"/>
          <w:shd w:val="clear" w:color="auto" w:fill="FFFFFF"/>
        </w:rPr>
        <w:t>Auto industry</w:t>
      </w:r>
      <w:r w:rsidRPr="001F0D9C">
        <w:rPr>
          <w:rFonts w:ascii="Times New Roman" w:hAnsi="Times New Roman" w:cs="Times New Roman"/>
          <w:sz w:val="24"/>
          <w:szCs w:val="24"/>
          <w:shd w:val="clear" w:color="auto" w:fill="FFFFFF"/>
        </w:rPr>
        <w:t>.</w:t>
      </w:r>
      <w:r w:rsidRPr="001F0D9C">
        <w:rPr>
          <w:rFonts w:ascii="Times New Roman" w:hAnsi="Times New Roman" w:cs="Times New Roman"/>
          <w:sz w:val="24"/>
          <w:szCs w:val="24"/>
          <w:shd w:val="clear" w:color="auto" w:fill="F7F7ED"/>
        </w:rPr>
        <w:t> U.S. Government Accountability Office (U.S. GAO). https://www.gao.gov/assets/gao-10-486.pdf.</w:t>
      </w:r>
    </w:p>
    <w:p w14:paraId="129F1FF8" w14:textId="77777777" w:rsidR="00EE7135" w:rsidRPr="001F0D9C" w:rsidRDefault="00EE7135" w:rsidP="001F0D9C">
      <w:pPr>
        <w:spacing w:line="276" w:lineRule="auto"/>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General Electric Company. (2022, December). </w:t>
      </w:r>
      <w:r w:rsidRPr="001F0D9C">
        <w:rPr>
          <w:rStyle w:val="Emphasis"/>
          <w:rFonts w:ascii="Times New Roman" w:hAnsi="Times New Roman" w:cs="Times New Roman"/>
          <w:sz w:val="24"/>
          <w:szCs w:val="24"/>
        </w:rPr>
        <w:t>GE 2022 Company Overview</w:t>
      </w:r>
      <w:r w:rsidRPr="001F0D9C">
        <w:rPr>
          <w:rFonts w:ascii="Times New Roman" w:hAnsi="Times New Roman" w:cs="Times New Roman"/>
          <w:sz w:val="24"/>
          <w:szCs w:val="24"/>
          <w:shd w:val="clear" w:color="auto" w:fill="F7F7ED"/>
        </w:rPr>
        <w:t xml:space="preserve">. GE | Building a </w:t>
      </w:r>
    </w:p>
    <w:p w14:paraId="19531C33" w14:textId="338A902A" w:rsidR="00EE7135" w:rsidRPr="001F0D9C" w:rsidRDefault="00EE7135" w:rsidP="001F0D9C">
      <w:pPr>
        <w:spacing w:line="276" w:lineRule="auto"/>
        <w:ind w:left="720"/>
        <w:jc w:val="both"/>
        <w:rPr>
          <w:rFonts w:ascii="Times New Roman" w:hAnsi="Times New Roman" w:cs="Times New Roman"/>
          <w:sz w:val="24"/>
          <w:szCs w:val="24"/>
        </w:rPr>
      </w:pPr>
      <w:r w:rsidRPr="001F0D9C">
        <w:rPr>
          <w:rFonts w:ascii="Times New Roman" w:hAnsi="Times New Roman" w:cs="Times New Roman"/>
          <w:sz w:val="24"/>
          <w:szCs w:val="24"/>
          <w:shd w:val="clear" w:color="auto" w:fill="F7F7ED"/>
        </w:rPr>
        <w:t>world that works | General Electric. </w:t>
      </w:r>
      <w:r w:rsidRPr="001F0D9C">
        <w:rPr>
          <w:rFonts w:ascii="Times New Roman" w:hAnsi="Times New Roman" w:cs="Times New Roman"/>
          <w:sz w:val="24"/>
          <w:szCs w:val="24"/>
        </w:rPr>
        <w:t>https://www.ge.com/sites/default/files/ge-company-overview.pdf.</w:t>
      </w:r>
    </w:p>
    <w:p w14:paraId="113E9A05" w14:textId="47BF84B6" w:rsidR="00AD750D" w:rsidRPr="001F0D9C" w:rsidRDefault="00403589" w:rsidP="001F0D9C">
      <w:pPr>
        <w:spacing w:line="276" w:lineRule="auto"/>
        <w:jc w:val="both"/>
        <w:rPr>
          <w:rStyle w:val="Emphasis"/>
          <w:rFonts w:ascii="Times New Roman" w:hAnsi="Times New Roman" w:cs="Times New Roman"/>
          <w:sz w:val="24"/>
          <w:szCs w:val="24"/>
        </w:rPr>
      </w:pPr>
      <w:r w:rsidRPr="001F0D9C">
        <w:rPr>
          <w:rFonts w:ascii="Times New Roman" w:hAnsi="Times New Roman" w:cs="Times New Roman"/>
          <w:sz w:val="24"/>
          <w:szCs w:val="24"/>
        </w:rPr>
        <w:t>GIC. (2022). </w:t>
      </w:r>
      <w:r w:rsidR="00AD750D" w:rsidRPr="001F0D9C">
        <w:rPr>
          <w:rStyle w:val="Emphasis"/>
          <w:rFonts w:ascii="Times New Roman" w:hAnsi="Times New Roman" w:cs="Times New Roman"/>
          <w:sz w:val="24"/>
          <w:szCs w:val="24"/>
        </w:rPr>
        <w:t xml:space="preserve">Report on the management of the government’s </w:t>
      </w:r>
    </w:p>
    <w:p w14:paraId="27699DEF" w14:textId="31A5D0B0" w:rsidR="00C33588" w:rsidRPr="001F0D9C" w:rsidRDefault="00EB4480" w:rsidP="001F0D9C">
      <w:pPr>
        <w:spacing w:line="276" w:lineRule="auto"/>
        <w:ind w:left="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rPr>
        <w:t>P</w:t>
      </w:r>
      <w:r w:rsidR="00AD750D" w:rsidRPr="001F0D9C">
        <w:rPr>
          <w:rStyle w:val="Emphasis"/>
          <w:rFonts w:ascii="Times New Roman" w:hAnsi="Times New Roman" w:cs="Times New Roman"/>
          <w:sz w:val="24"/>
          <w:szCs w:val="24"/>
        </w:rPr>
        <w:t>ortfolio</w:t>
      </w:r>
      <w:r w:rsidR="00C33588" w:rsidRPr="001F0D9C">
        <w:rPr>
          <w:rStyle w:val="Emphasis"/>
          <w:rFonts w:ascii="Times New Roman" w:hAnsi="Times New Roman" w:cs="Times New Roman"/>
          <w:sz w:val="24"/>
          <w:szCs w:val="24"/>
        </w:rPr>
        <w:t xml:space="preserve"> </w:t>
      </w:r>
      <w:r w:rsidRPr="001F0D9C">
        <w:rPr>
          <w:rStyle w:val="Emphasis"/>
          <w:rFonts w:ascii="Times New Roman" w:hAnsi="Times New Roman" w:cs="Times New Roman"/>
          <w:sz w:val="24"/>
          <w:szCs w:val="24"/>
        </w:rPr>
        <w:t>2021/2022</w:t>
      </w:r>
      <w:r w:rsidR="00403589" w:rsidRPr="001F0D9C">
        <w:rPr>
          <w:rFonts w:ascii="Times New Roman" w:hAnsi="Times New Roman" w:cs="Times New Roman"/>
          <w:sz w:val="24"/>
          <w:szCs w:val="24"/>
        </w:rPr>
        <w:t>. </w:t>
      </w:r>
      <w:r w:rsidR="00C33588" w:rsidRPr="001F0D9C">
        <w:rPr>
          <w:rFonts w:ascii="Times New Roman" w:hAnsi="Times New Roman" w:cs="Times New Roman"/>
          <w:sz w:val="24"/>
          <w:szCs w:val="24"/>
        </w:rPr>
        <w:t>https://www.gic.com.sg/wp-</w:t>
      </w:r>
      <w:r w:rsidR="00AD750D" w:rsidRPr="001F0D9C">
        <w:rPr>
          <w:rFonts w:ascii="Times New Roman" w:hAnsi="Times New Roman" w:cs="Times New Roman"/>
          <w:sz w:val="24"/>
          <w:szCs w:val="24"/>
        </w:rPr>
        <w:t>content/uploads/2022/07/GIC_AR_2021-</w:t>
      </w:r>
      <w:r w:rsidR="00403589" w:rsidRPr="001F0D9C">
        <w:rPr>
          <w:rFonts w:ascii="Times New Roman" w:hAnsi="Times New Roman" w:cs="Times New Roman"/>
          <w:sz w:val="24"/>
          <w:szCs w:val="24"/>
        </w:rPr>
        <w:t>22_PRINT.pdf.</w:t>
      </w:r>
    </w:p>
    <w:p w14:paraId="220E19C9" w14:textId="7BCAA003" w:rsidR="00E54109" w:rsidRPr="001F0D9C" w:rsidRDefault="00E54109" w:rsidP="001F0D9C">
      <w:pPr>
        <w:spacing w:line="276" w:lineRule="auto"/>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Glover, F. (2023, July 19). </w:t>
      </w:r>
      <w:r w:rsidRPr="001F0D9C">
        <w:rPr>
          <w:rStyle w:val="Emphasis"/>
          <w:rFonts w:ascii="Times New Roman" w:hAnsi="Times New Roman" w:cs="Times New Roman"/>
          <w:sz w:val="24"/>
          <w:szCs w:val="24"/>
          <w:shd w:val="clear" w:color="auto" w:fill="F7F7ED"/>
        </w:rPr>
        <w:t>Emergency fund a top financial goal for UAE savers, survey finds</w:t>
      </w:r>
      <w:r w:rsidRPr="001F0D9C">
        <w:rPr>
          <w:rFonts w:ascii="Times New Roman" w:hAnsi="Times New Roman" w:cs="Times New Roman"/>
          <w:sz w:val="24"/>
          <w:szCs w:val="24"/>
          <w:shd w:val="clear" w:color="auto" w:fill="F7F7ED"/>
        </w:rPr>
        <w:t xml:space="preserve">. The </w:t>
      </w:r>
    </w:p>
    <w:p w14:paraId="2970F50C" w14:textId="39C3CEA6" w:rsidR="00E54109" w:rsidRPr="001F0D9C" w:rsidRDefault="00E54109" w:rsidP="001F0D9C">
      <w:pPr>
        <w:spacing w:line="276" w:lineRule="auto"/>
        <w:ind w:left="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lastRenderedPageBreak/>
        <w:t>National. https://www.thenationalnews.com/business/money/2023/07/19/emergency-fund-a-top-financial-goal-for-uae-savers-survey-finds/.</w:t>
      </w:r>
    </w:p>
    <w:p w14:paraId="15C716D1" w14:textId="77777777" w:rsidR="00E3404B" w:rsidRPr="001F0D9C" w:rsidRDefault="00E3404B" w:rsidP="001F0D9C">
      <w:pPr>
        <w:spacing w:line="276" w:lineRule="auto"/>
        <w:jc w:val="both"/>
        <w:rPr>
          <w:rStyle w:val="Emphasis"/>
          <w:rFonts w:ascii="Times New Roman" w:hAnsi="Times New Roman" w:cs="Times New Roman"/>
          <w:i w:val="0"/>
          <w:iCs w:val="0"/>
          <w:sz w:val="24"/>
          <w:szCs w:val="24"/>
          <w:bdr w:val="single" w:sz="2" w:space="0" w:color="D9D9E3" w:frame="1"/>
          <w:shd w:val="clear" w:color="auto" w:fill="F7F7F8"/>
        </w:rPr>
      </w:pPr>
      <w:r w:rsidRPr="001F0D9C">
        <w:rPr>
          <w:rStyle w:val="Emphasis"/>
          <w:rFonts w:ascii="Times New Roman" w:hAnsi="Times New Roman" w:cs="Times New Roman"/>
          <w:i w:val="0"/>
          <w:iCs w:val="0"/>
          <w:sz w:val="24"/>
          <w:szCs w:val="24"/>
          <w:bdr w:val="single" w:sz="2" w:space="0" w:color="D9D9E3" w:frame="1"/>
          <w:shd w:val="clear" w:color="auto" w:fill="F7F7F8"/>
        </w:rPr>
        <w:t>Google LLC. (2023).</w:t>
      </w:r>
      <w:r w:rsidRPr="001F0D9C">
        <w:rPr>
          <w:rStyle w:val="Emphasis"/>
          <w:rFonts w:ascii="Times New Roman" w:hAnsi="Times New Roman" w:cs="Times New Roman"/>
          <w:sz w:val="24"/>
          <w:szCs w:val="24"/>
          <w:bdr w:val="single" w:sz="2" w:space="0" w:color="D9D9E3" w:frame="1"/>
          <w:shd w:val="clear" w:color="auto" w:fill="F7F7F8"/>
        </w:rPr>
        <w:t> Benefits Overview: United States. </w:t>
      </w:r>
      <w:r w:rsidRPr="001F0D9C">
        <w:rPr>
          <w:rStyle w:val="Emphasis"/>
          <w:rFonts w:ascii="Times New Roman" w:hAnsi="Times New Roman" w:cs="Times New Roman"/>
          <w:i w:val="0"/>
          <w:iCs w:val="0"/>
          <w:sz w:val="24"/>
          <w:szCs w:val="24"/>
          <w:bdr w:val="single" w:sz="2" w:space="0" w:color="D9D9E3" w:frame="1"/>
          <w:shd w:val="clear" w:color="auto" w:fill="F7F7F8"/>
        </w:rPr>
        <w:t xml:space="preserve">Google </w:t>
      </w:r>
    </w:p>
    <w:p w14:paraId="3E534126" w14:textId="0DB5E2B6" w:rsidR="00E3404B" w:rsidRPr="001F0D9C" w:rsidRDefault="00E3404B" w:rsidP="001F0D9C">
      <w:pPr>
        <w:spacing w:line="276" w:lineRule="auto"/>
        <w:ind w:firstLine="720"/>
        <w:jc w:val="both"/>
        <w:rPr>
          <w:rFonts w:ascii="Times New Roman" w:hAnsi="Times New Roman" w:cs="Times New Roman"/>
          <w:i/>
          <w:iCs/>
          <w:sz w:val="24"/>
          <w:szCs w:val="24"/>
          <w:shd w:val="clear" w:color="auto" w:fill="F7F7ED"/>
        </w:rPr>
      </w:pPr>
      <w:r w:rsidRPr="001F0D9C">
        <w:rPr>
          <w:rStyle w:val="Emphasis"/>
          <w:rFonts w:ascii="Times New Roman" w:hAnsi="Times New Roman" w:cs="Times New Roman"/>
          <w:i w:val="0"/>
          <w:iCs w:val="0"/>
          <w:sz w:val="24"/>
          <w:szCs w:val="24"/>
          <w:bdr w:val="single" w:sz="2" w:space="0" w:color="D9D9E3" w:frame="1"/>
          <w:shd w:val="clear" w:color="auto" w:fill="F7F7F8"/>
        </w:rPr>
        <w:t>Careers. https://careers.google.com/benefits/.</w:t>
      </w:r>
    </w:p>
    <w:p w14:paraId="42F1C93F" w14:textId="48DF6C87" w:rsidR="00AD2C63" w:rsidRPr="001F0D9C" w:rsidRDefault="00AD2C63" w:rsidP="001F0D9C">
      <w:pPr>
        <w:spacing w:line="276" w:lineRule="auto"/>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Gordon, S. (2017, October). </w:t>
      </w:r>
      <w:r w:rsidRPr="001F0D9C">
        <w:rPr>
          <w:rStyle w:val="Emphasis"/>
          <w:rFonts w:ascii="Times New Roman" w:hAnsi="Times New Roman" w:cs="Times New Roman"/>
          <w:sz w:val="24"/>
          <w:szCs w:val="24"/>
          <w:shd w:val="clear" w:color="auto" w:fill="F7F7ED"/>
        </w:rPr>
        <w:t>Recession of 2008–09 in Canada</w:t>
      </w:r>
      <w:r w:rsidRPr="001F0D9C">
        <w:rPr>
          <w:rFonts w:ascii="Times New Roman" w:hAnsi="Times New Roman" w:cs="Times New Roman"/>
          <w:sz w:val="24"/>
          <w:szCs w:val="24"/>
          <w:shd w:val="clear" w:color="auto" w:fill="F7F7ED"/>
        </w:rPr>
        <w:t xml:space="preserve">. The Canadian </w:t>
      </w:r>
    </w:p>
    <w:p w14:paraId="50C254D2" w14:textId="77777777" w:rsidR="00AD2C63" w:rsidRPr="001F0D9C" w:rsidRDefault="00AD2C63" w:rsidP="001F0D9C">
      <w:pPr>
        <w:spacing w:line="276" w:lineRule="auto"/>
        <w:ind w:left="720"/>
        <w:jc w:val="both"/>
        <w:rPr>
          <w:rFonts w:ascii="Times New Roman" w:hAnsi="Times New Roman" w:cs="Times New Roman"/>
          <w:sz w:val="24"/>
          <w:szCs w:val="24"/>
          <w:bdr w:val="single" w:sz="2" w:space="0" w:color="D9D9E3" w:frame="1"/>
          <w:shd w:val="clear" w:color="auto" w:fill="F7F7F8"/>
        </w:rPr>
      </w:pPr>
      <w:r w:rsidRPr="001F0D9C">
        <w:rPr>
          <w:rFonts w:ascii="Times New Roman" w:hAnsi="Times New Roman" w:cs="Times New Roman"/>
          <w:sz w:val="24"/>
          <w:szCs w:val="24"/>
          <w:shd w:val="clear" w:color="auto" w:fill="F7F7ED"/>
        </w:rPr>
        <w:t>Encyclopedia. </w:t>
      </w:r>
      <w:r w:rsidRPr="001F0D9C">
        <w:rPr>
          <w:rFonts w:ascii="Times New Roman" w:hAnsi="Times New Roman" w:cs="Times New Roman"/>
          <w:sz w:val="24"/>
          <w:szCs w:val="24"/>
          <w:shd w:val="clear" w:color="auto" w:fill="FFFFFF"/>
        </w:rPr>
        <w:t>https://www.thecanadianencyclopedia.ca/en/article/recession-of-200809-in-canada#:~:text=Partly%20because%20of%20this%20stronger,see%20Stock%20and%20Bond%20Markets).</w:t>
      </w:r>
    </w:p>
    <w:p w14:paraId="194FED28" w14:textId="77777777" w:rsidR="002F4B17" w:rsidRPr="001F0D9C" w:rsidRDefault="002F4B17" w:rsidP="001F0D9C">
      <w:pPr>
        <w:spacing w:line="276" w:lineRule="auto"/>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Harbourfront Technologies. (2023, September 5). </w:t>
      </w:r>
      <w:r w:rsidRPr="001F0D9C">
        <w:rPr>
          <w:rStyle w:val="Emphasis"/>
          <w:rFonts w:ascii="Times New Roman" w:hAnsi="Times New Roman" w:cs="Times New Roman"/>
          <w:sz w:val="24"/>
          <w:szCs w:val="24"/>
          <w:shd w:val="clear" w:color="auto" w:fill="F7F7ED"/>
        </w:rPr>
        <w:t>How the airlines hedge fuel costs</w:t>
      </w:r>
      <w:r w:rsidRPr="001F0D9C">
        <w:rPr>
          <w:rFonts w:ascii="Times New Roman" w:hAnsi="Times New Roman" w:cs="Times New Roman"/>
          <w:sz w:val="24"/>
          <w:szCs w:val="24"/>
          <w:shd w:val="clear" w:color="auto" w:fill="F7F7ED"/>
        </w:rPr>
        <w:t xml:space="preserve">. Risk </w:t>
      </w:r>
    </w:p>
    <w:p w14:paraId="47E81B2B" w14:textId="210D8F72" w:rsidR="002F4B17" w:rsidRPr="001F0D9C" w:rsidRDefault="002F4B17" w:rsidP="001F0D9C">
      <w:pPr>
        <w:spacing w:line="276" w:lineRule="auto"/>
        <w:ind w:left="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Management. Retrieved September 24, 2023, from </w:t>
      </w:r>
      <w:r w:rsidRPr="001F0D9C">
        <w:rPr>
          <w:rFonts w:ascii="Times New Roman" w:hAnsi="Times New Roman" w:cs="Times New Roman"/>
          <w:sz w:val="24"/>
          <w:szCs w:val="24"/>
          <w:shd w:val="clear" w:color="auto" w:fill="FFFFFF"/>
        </w:rPr>
        <w:t>https://harbourfronts.com/how-the-airlines-hedge-fuel-costs/#:~:text=To%20counter%20the%20adverse%20impact,sudden%20spikes%20in%20fuel%20costs.</w:t>
      </w:r>
    </w:p>
    <w:p w14:paraId="0C53D5FF" w14:textId="68CE282C" w:rsidR="00AA5C78" w:rsidRPr="001F0D9C" w:rsidRDefault="00AA5C78" w:rsidP="001F0D9C">
      <w:pPr>
        <w:spacing w:line="276" w:lineRule="auto"/>
        <w:jc w:val="both"/>
        <w:rPr>
          <w:rStyle w:val="Emphasis"/>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Ha Tran, M., &amp; Mai Tran, N. (2023, March 1). </w:t>
      </w:r>
      <w:r w:rsidRPr="001F0D9C">
        <w:rPr>
          <w:rStyle w:val="Emphasis"/>
          <w:rFonts w:ascii="Times New Roman" w:hAnsi="Times New Roman" w:cs="Times New Roman"/>
          <w:sz w:val="24"/>
          <w:szCs w:val="24"/>
          <w:shd w:val="clear" w:color="auto" w:fill="F7F7ED"/>
        </w:rPr>
        <w:t xml:space="preserve">Value-at-risk and the global financial crisis – </w:t>
      </w:r>
    </w:p>
    <w:p w14:paraId="350FB8B1" w14:textId="46848C5E" w:rsidR="00AA5C78" w:rsidRPr="001F0D9C" w:rsidRDefault="00AA5C78" w:rsidP="001F0D9C">
      <w:pPr>
        <w:spacing w:line="276" w:lineRule="auto"/>
        <w:ind w:left="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shd w:val="clear" w:color="auto" w:fill="F7F7ED"/>
        </w:rPr>
        <w:t>Journal of risk model validation</w:t>
      </w:r>
      <w:r w:rsidRPr="001F0D9C">
        <w:rPr>
          <w:rFonts w:ascii="Times New Roman" w:hAnsi="Times New Roman" w:cs="Times New Roman"/>
          <w:sz w:val="24"/>
          <w:szCs w:val="24"/>
          <w:shd w:val="clear" w:color="auto" w:fill="F7F7ED"/>
        </w:rPr>
        <w:t>. Risk.net. https://www.risk.net/journal-of-risk-model-validation/7956141/value-at-risk-and-the-global-financial-crisis.</w:t>
      </w:r>
    </w:p>
    <w:p w14:paraId="3BD595B4" w14:textId="39600E41" w:rsidR="000E3F00" w:rsidRPr="001F0D9C" w:rsidRDefault="000E3F00" w:rsidP="001F0D9C">
      <w:pPr>
        <w:spacing w:line="276" w:lineRule="auto"/>
        <w:jc w:val="both"/>
        <w:rPr>
          <w:rStyle w:val="Emphasis"/>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Hui Ting, Y. (2023, June 30). </w:t>
      </w:r>
      <w:r w:rsidRPr="001F0D9C">
        <w:rPr>
          <w:rStyle w:val="Emphasis"/>
          <w:rFonts w:ascii="Times New Roman" w:hAnsi="Times New Roman" w:cs="Times New Roman"/>
          <w:sz w:val="24"/>
          <w:szCs w:val="24"/>
          <w:shd w:val="clear" w:color="auto" w:fill="F7F7ED"/>
        </w:rPr>
        <w:t xml:space="preserve">Temasek tops 200 sovereign and pension funds in governance, </w:t>
      </w:r>
    </w:p>
    <w:p w14:paraId="4F1944CD" w14:textId="1779EF14" w:rsidR="000E3F00" w:rsidRPr="001F0D9C" w:rsidRDefault="000E3F00" w:rsidP="001F0D9C">
      <w:pPr>
        <w:spacing w:line="276" w:lineRule="auto"/>
        <w:ind w:left="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shd w:val="clear" w:color="auto" w:fill="F7F7ED"/>
        </w:rPr>
        <w:t>sustainability and resilience practices</w:t>
      </w:r>
      <w:r w:rsidRPr="001F0D9C">
        <w:rPr>
          <w:rFonts w:ascii="Times New Roman" w:hAnsi="Times New Roman" w:cs="Times New Roman"/>
          <w:sz w:val="24"/>
          <w:szCs w:val="24"/>
          <w:shd w:val="clear" w:color="auto" w:fill="F7F7ED"/>
        </w:rPr>
        <w:t>. https://www.businesstimes.com.sg/singapore/temasek-tops-200-sovereign-and-pension-funds-governance-sustainability-and-resilience.</w:t>
      </w:r>
    </w:p>
    <w:p w14:paraId="43874FD7" w14:textId="77777777" w:rsidR="00E3404B" w:rsidRPr="001F0D9C" w:rsidRDefault="00E3404B" w:rsidP="001F0D9C">
      <w:pPr>
        <w:shd w:val="clear" w:color="auto" w:fill="FFFFFF"/>
        <w:spacing w:line="276" w:lineRule="auto"/>
        <w:jc w:val="both"/>
        <w:rPr>
          <w:rFonts w:ascii="Times New Roman" w:hAnsi="Times New Roman" w:cs="Times New Roman"/>
          <w:sz w:val="24"/>
          <w:szCs w:val="24"/>
        </w:rPr>
      </w:pPr>
      <w:r w:rsidRPr="001F0D9C">
        <w:rPr>
          <w:rFonts w:ascii="Times New Roman" w:hAnsi="Times New Roman" w:cs="Times New Roman"/>
          <w:sz w:val="24"/>
          <w:szCs w:val="24"/>
        </w:rPr>
        <w:t>International Trade Administration. (2023). </w:t>
      </w:r>
      <w:r w:rsidRPr="001F0D9C">
        <w:rPr>
          <w:rStyle w:val="Emphasis"/>
          <w:rFonts w:ascii="Times New Roman" w:hAnsi="Times New Roman" w:cs="Times New Roman"/>
          <w:sz w:val="24"/>
          <w:szCs w:val="24"/>
        </w:rPr>
        <w:t>Export credit insurance</w:t>
      </w:r>
      <w:r w:rsidRPr="001F0D9C">
        <w:rPr>
          <w:rFonts w:ascii="Times New Roman" w:hAnsi="Times New Roman" w:cs="Times New Roman"/>
          <w:sz w:val="24"/>
          <w:szCs w:val="24"/>
        </w:rPr>
        <w:t xml:space="preserve">. International Trade </w:t>
      </w:r>
    </w:p>
    <w:p w14:paraId="201DA324" w14:textId="5DC757FC" w:rsidR="00667E5B" w:rsidRPr="001F0D9C" w:rsidRDefault="00E3404B" w:rsidP="001F0D9C">
      <w:pPr>
        <w:shd w:val="clear" w:color="auto" w:fill="FFFFFF"/>
        <w:spacing w:line="276" w:lineRule="auto"/>
        <w:ind w:firstLine="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rPr>
        <w:t>Administration | Trade.gov. https://www.trade.gov/export-credit-insurance.</w:t>
      </w:r>
      <w:r w:rsidRPr="001F0D9C">
        <w:rPr>
          <w:rFonts w:ascii="Times New Roman" w:hAnsi="Times New Roman" w:cs="Times New Roman"/>
          <w:sz w:val="24"/>
          <w:szCs w:val="24"/>
        </w:rPr>
        <w:br/>
      </w:r>
      <w:r w:rsidR="00667E5B" w:rsidRPr="001F0D9C">
        <w:rPr>
          <w:rFonts w:ascii="Times New Roman" w:hAnsi="Times New Roman" w:cs="Times New Roman"/>
          <w:sz w:val="24"/>
          <w:szCs w:val="24"/>
          <w:shd w:val="clear" w:color="auto" w:fill="F7F7ED"/>
        </w:rPr>
        <w:t>International Atomic Energy Agency. (2021). </w:t>
      </w:r>
      <w:r w:rsidR="00667E5B" w:rsidRPr="001F0D9C">
        <w:rPr>
          <w:rStyle w:val="Emphasis"/>
          <w:rFonts w:ascii="Times New Roman" w:hAnsi="Times New Roman" w:cs="Times New Roman"/>
          <w:sz w:val="24"/>
          <w:szCs w:val="24"/>
          <w:shd w:val="clear" w:color="auto" w:fill="F7F7ED"/>
        </w:rPr>
        <w:t>Fukushima Daiichi nuclear accident</w:t>
      </w:r>
      <w:r w:rsidR="00667E5B" w:rsidRPr="001F0D9C">
        <w:rPr>
          <w:rFonts w:ascii="Times New Roman" w:hAnsi="Times New Roman" w:cs="Times New Roman"/>
          <w:sz w:val="24"/>
          <w:szCs w:val="24"/>
          <w:shd w:val="clear" w:color="auto" w:fill="F7F7ED"/>
        </w:rPr>
        <w:t xml:space="preserve">. International </w:t>
      </w:r>
    </w:p>
    <w:p w14:paraId="0193E937" w14:textId="60C27C0B" w:rsidR="00667E5B" w:rsidRPr="001F0D9C" w:rsidRDefault="00667E5B" w:rsidP="001F0D9C">
      <w:pPr>
        <w:spacing w:line="276" w:lineRule="auto"/>
        <w:ind w:left="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Atomic Energy Agency | Atoms for Peace and Development. https://www.iaea.org/topics/response/fukushima-daiichi-nuclear-accident.</w:t>
      </w:r>
    </w:p>
    <w:p w14:paraId="6EC911B4" w14:textId="3DCD21BB" w:rsidR="00B1421F" w:rsidRPr="001F0D9C" w:rsidRDefault="00B1421F" w:rsidP="001F0D9C">
      <w:pPr>
        <w:spacing w:line="276" w:lineRule="auto"/>
        <w:jc w:val="both"/>
        <w:rPr>
          <w:rStyle w:val="Emphasis"/>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International Monetary Fund. (2013, November). </w:t>
      </w:r>
      <w:r w:rsidRPr="001F0D9C">
        <w:rPr>
          <w:rStyle w:val="Emphasis"/>
          <w:rFonts w:ascii="Times New Roman" w:hAnsi="Times New Roman" w:cs="Times New Roman"/>
          <w:sz w:val="24"/>
          <w:szCs w:val="24"/>
          <w:shd w:val="clear" w:color="auto" w:fill="F7F7ED"/>
        </w:rPr>
        <w:t xml:space="preserve">Singapore financial system stability </w:t>
      </w:r>
    </w:p>
    <w:p w14:paraId="26A35367" w14:textId="49CD948F" w:rsidR="00B1421F" w:rsidRPr="001F0D9C" w:rsidRDefault="00B1421F" w:rsidP="001F0D9C">
      <w:pPr>
        <w:spacing w:line="276" w:lineRule="auto"/>
        <w:ind w:firstLine="720"/>
        <w:jc w:val="both"/>
        <w:rPr>
          <w:rFonts w:ascii="Times New Roman" w:hAnsi="Times New Roman" w:cs="Times New Roman"/>
          <w:sz w:val="24"/>
          <w:szCs w:val="24"/>
        </w:rPr>
      </w:pPr>
      <w:r w:rsidRPr="001F0D9C">
        <w:rPr>
          <w:rStyle w:val="Emphasis"/>
          <w:rFonts w:ascii="Times New Roman" w:hAnsi="Times New Roman" w:cs="Times New Roman"/>
          <w:sz w:val="24"/>
          <w:szCs w:val="24"/>
          <w:shd w:val="clear" w:color="auto" w:fill="F7F7ED"/>
        </w:rPr>
        <w:t>assessment</w:t>
      </w:r>
      <w:r w:rsidRPr="001F0D9C">
        <w:rPr>
          <w:rFonts w:ascii="Times New Roman" w:hAnsi="Times New Roman" w:cs="Times New Roman"/>
          <w:sz w:val="24"/>
          <w:szCs w:val="24"/>
          <w:shd w:val="clear" w:color="auto" w:fill="F7F7ED"/>
        </w:rPr>
        <w:t>. https://www.imf.org/external/pubs/ft/scr/2013/cr13325.pdf.</w:t>
      </w:r>
    </w:p>
    <w:p w14:paraId="2BABFB35" w14:textId="77777777" w:rsidR="007F3E2A" w:rsidRPr="001F0D9C" w:rsidRDefault="007F3E2A" w:rsidP="001F0D9C">
      <w:pPr>
        <w:spacing w:line="276" w:lineRule="auto"/>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International Trade Administration. (2023). </w:t>
      </w:r>
      <w:r w:rsidRPr="001F0D9C">
        <w:rPr>
          <w:rStyle w:val="Emphasis"/>
          <w:rFonts w:ascii="Times New Roman" w:hAnsi="Times New Roman" w:cs="Times New Roman"/>
          <w:sz w:val="24"/>
          <w:szCs w:val="24"/>
          <w:shd w:val="clear" w:color="auto" w:fill="F7F7ED"/>
        </w:rPr>
        <w:t>Singapore budget 2023</w:t>
      </w:r>
      <w:r w:rsidRPr="001F0D9C">
        <w:rPr>
          <w:rFonts w:ascii="Times New Roman" w:hAnsi="Times New Roman" w:cs="Times New Roman"/>
          <w:sz w:val="24"/>
          <w:szCs w:val="24"/>
          <w:shd w:val="clear" w:color="auto" w:fill="F7F7ED"/>
        </w:rPr>
        <w:t xml:space="preserve">. International Trade </w:t>
      </w:r>
    </w:p>
    <w:p w14:paraId="1FEE3345" w14:textId="03ADEAA8" w:rsidR="007F3E2A" w:rsidRPr="001F0D9C" w:rsidRDefault="007F3E2A" w:rsidP="001F0D9C">
      <w:pPr>
        <w:spacing w:line="276" w:lineRule="auto"/>
        <w:ind w:left="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lastRenderedPageBreak/>
        <w:t>Administration | Trade.gov. </w:t>
      </w:r>
      <w:r w:rsidRPr="001F0D9C">
        <w:rPr>
          <w:rFonts w:ascii="Times New Roman" w:hAnsi="Times New Roman" w:cs="Times New Roman"/>
          <w:sz w:val="24"/>
          <w:szCs w:val="24"/>
          <w:shd w:val="clear" w:color="auto" w:fill="FFFFFF"/>
        </w:rPr>
        <w:t>https://www.trade.gov/market-intelligence/singapore-budget-2023#:~:text=In%20the%20area%20of%20education,students%20and%20salaries%20for%20educators.</w:t>
      </w:r>
    </w:p>
    <w:p w14:paraId="59EAB8F9" w14:textId="77777777" w:rsidR="001B6021" w:rsidRPr="001F0D9C" w:rsidRDefault="001B6021" w:rsidP="001F0D9C">
      <w:pPr>
        <w:spacing w:line="276" w:lineRule="auto"/>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Jassy, D. (2023, August 29). </w:t>
      </w:r>
      <w:r w:rsidRPr="001F0D9C">
        <w:rPr>
          <w:rStyle w:val="Emphasis"/>
          <w:rFonts w:ascii="Times New Roman" w:hAnsi="Times New Roman" w:cs="Times New Roman"/>
          <w:sz w:val="24"/>
          <w:szCs w:val="24"/>
          <w:shd w:val="clear" w:color="auto" w:fill="F7F7ED"/>
        </w:rPr>
        <w:t>How to calculate value at risk (Var) in Excel</w:t>
      </w:r>
      <w:r w:rsidRPr="001F0D9C">
        <w:rPr>
          <w:rFonts w:ascii="Times New Roman" w:hAnsi="Times New Roman" w:cs="Times New Roman"/>
          <w:sz w:val="24"/>
          <w:szCs w:val="24"/>
          <w:shd w:val="clear" w:color="auto" w:fill="F7F7ED"/>
        </w:rPr>
        <w:t xml:space="preserve">. Investopedia. </w:t>
      </w:r>
    </w:p>
    <w:p w14:paraId="2F816FD0" w14:textId="3A5E979A" w:rsidR="001B6021" w:rsidRPr="001F0D9C" w:rsidRDefault="001B6021" w:rsidP="001F0D9C">
      <w:pPr>
        <w:spacing w:line="276" w:lineRule="auto"/>
        <w:ind w:left="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Retrieved September 23, 2023, from https://www.investopedia.com/ask/answers/033115/how-can-you-calculate-value-risk-var-excel.asp.</w:t>
      </w:r>
    </w:p>
    <w:p w14:paraId="1B2712A6" w14:textId="77777777" w:rsidR="00C76F27" w:rsidRPr="001F0D9C" w:rsidRDefault="00C76F27" w:rsidP="001F0D9C">
      <w:pPr>
        <w:shd w:val="clear" w:color="auto" w:fill="FFFFFF"/>
        <w:spacing w:line="276" w:lineRule="auto"/>
        <w:jc w:val="both"/>
        <w:rPr>
          <w:rStyle w:val="Emphasis"/>
          <w:rFonts w:ascii="Times New Roman" w:hAnsi="Times New Roman" w:cs="Times New Roman"/>
          <w:sz w:val="24"/>
          <w:szCs w:val="24"/>
        </w:rPr>
      </w:pPr>
      <w:r w:rsidRPr="001F0D9C">
        <w:rPr>
          <w:rFonts w:ascii="Times New Roman" w:hAnsi="Times New Roman" w:cs="Times New Roman"/>
          <w:sz w:val="24"/>
          <w:szCs w:val="24"/>
        </w:rPr>
        <w:t>Karwal, A. (2021, November 16). </w:t>
      </w:r>
      <w:r w:rsidRPr="001F0D9C">
        <w:rPr>
          <w:rStyle w:val="Emphasis"/>
          <w:rFonts w:ascii="Times New Roman" w:hAnsi="Times New Roman" w:cs="Times New Roman"/>
          <w:sz w:val="24"/>
          <w:szCs w:val="24"/>
        </w:rPr>
        <w:t xml:space="preserve">P&amp;G defends no-hedging policy, insists customers will pay for </w:t>
      </w:r>
    </w:p>
    <w:p w14:paraId="7DD888E4" w14:textId="77777777" w:rsidR="00C76F27" w:rsidRPr="001F0D9C" w:rsidRDefault="00C76F27" w:rsidP="001F0D9C">
      <w:pPr>
        <w:shd w:val="clear" w:color="auto" w:fill="FFFFFF"/>
        <w:spacing w:line="276" w:lineRule="auto"/>
        <w:ind w:firstLine="720"/>
        <w:jc w:val="both"/>
        <w:rPr>
          <w:rFonts w:ascii="Times New Roman" w:hAnsi="Times New Roman" w:cs="Times New Roman"/>
          <w:sz w:val="24"/>
          <w:szCs w:val="24"/>
        </w:rPr>
      </w:pPr>
      <w:r w:rsidRPr="001F0D9C">
        <w:rPr>
          <w:rStyle w:val="Emphasis"/>
          <w:rFonts w:ascii="Times New Roman" w:hAnsi="Times New Roman" w:cs="Times New Roman"/>
          <w:sz w:val="24"/>
          <w:szCs w:val="24"/>
        </w:rPr>
        <w:t>$2.3bn commodity hit</w:t>
      </w:r>
      <w:r w:rsidRPr="001F0D9C">
        <w:rPr>
          <w:rFonts w:ascii="Times New Roman" w:hAnsi="Times New Roman" w:cs="Times New Roman"/>
          <w:sz w:val="24"/>
          <w:szCs w:val="24"/>
        </w:rPr>
        <w:t xml:space="preserve">. EuroFinance | The global treasury community. </w:t>
      </w:r>
    </w:p>
    <w:p w14:paraId="1E177600" w14:textId="63D33664" w:rsidR="00C76F27" w:rsidRPr="001F0D9C" w:rsidRDefault="00C76F27" w:rsidP="001F0D9C">
      <w:pPr>
        <w:shd w:val="clear" w:color="auto" w:fill="FFFFFF"/>
        <w:spacing w:line="276" w:lineRule="auto"/>
        <w:ind w:firstLine="720"/>
        <w:jc w:val="both"/>
        <w:rPr>
          <w:rFonts w:ascii="Times New Roman" w:hAnsi="Times New Roman" w:cs="Times New Roman"/>
          <w:sz w:val="24"/>
          <w:szCs w:val="24"/>
        </w:rPr>
      </w:pPr>
      <w:r w:rsidRPr="001F0D9C">
        <w:rPr>
          <w:rFonts w:ascii="Times New Roman" w:hAnsi="Times New Roman" w:cs="Times New Roman"/>
          <w:sz w:val="24"/>
          <w:szCs w:val="24"/>
        </w:rPr>
        <w:t>Retrieved September 24, 2023, from https://www.eurofinance.com/news/pg-defends-no-</w:t>
      </w:r>
    </w:p>
    <w:p w14:paraId="580314B6" w14:textId="77088D08" w:rsidR="000E3F00" w:rsidRPr="001F0D9C" w:rsidRDefault="00C76F27" w:rsidP="001F0D9C">
      <w:pPr>
        <w:shd w:val="clear" w:color="auto" w:fill="FFFFFF"/>
        <w:spacing w:line="276" w:lineRule="auto"/>
        <w:ind w:firstLine="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rPr>
        <w:t>hedging-policy-insists-customers-will-pay-for-2-3bn-commodity-hit/.</w:t>
      </w:r>
      <w:r w:rsidRPr="001F0D9C">
        <w:rPr>
          <w:rFonts w:ascii="Times New Roman" w:hAnsi="Times New Roman" w:cs="Times New Roman"/>
          <w:color w:val="333333"/>
          <w:sz w:val="21"/>
          <w:szCs w:val="21"/>
          <w:shd w:val="clear" w:color="auto" w:fill="F7F7ED"/>
        </w:rPr>
        <w:br/>
      </w:r>
      <w:r w:rsidR="00C625F0" w:rsidRPr="001F0D9C">
        <w:rPr>
          <w:rFonts w:ascii="Times New Roman" w:hAnsi="Times New Roman" w:cs="Times New Roman"/>
          <w:sz w:val="24"/>
          <w:szCs w:val="24"/>
          <w:shd w:val="clear" w:color="auto" w:fill="F7F7ED"/>
        </w:rPr>
        <w:t>Kenton, W. (2021, October 28). </w:t>
      </w:r>
      <w:r w:rsidR="00C625F0" w:rsidRPr="001F0D9C">
        <w:rPr>
          <w:rStyle w:val="Emphasis"/>
          <w:rFonts w:ascii="Times New Roman" w:hAnsi="Times New Roman" w:cs="Times New Roman"/>
          <w:sz w:val="24"/>
          <w:szCs w:val="24"/>
          <w:shd w:val="clear" w:color="auto" w:fill="F7F7ED"/>
        </w:rPr>
        <w:t>Learn about the European sovereign debt crisis</w:t>
      </w:r>
      <w:r w:rsidR="00C625F0" w:rsidRPr="001F0D9C">
        <w:rPr>
          <w:rFonts w:ascii="Times New Roman" w:hAnsi="Times New Roman" w:cs="Times New Roman"/>
          <w:sz w:val="24"/>
          <w:szCs w:val="24"/>
          <w:shd w:val="clear" w:color="auto" w:fill="F7F7ED"/>
        </w:rPr>
        <w:t xml:space="preserve">. Investopedia. </w:t>
      </w:r>
    </w:p>
    <w:p w14:paraId="54546B02" w14:textId="5E9AE8FF" w:rsidR="00C625F0" w:rsidRPr="001F0D9C" w:rsidRDefault="00C625F0" w:rsidP="001F0D9C">
      <w:pPr>
        <w:spacing w:line="276" w:lineRule="auto"/>
        <w:ind w:left="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Retrieved September 18, 2023, from </w:t>
      </w:r>
      <w:r w:rsidR="000E3F00" w:rsidRPr="001F0D9C">
        <w:rPr>
          <w:rFonts w:ascii="Times New Roman" w:hAnsi="Times New Roman" w:cs="Times New Roman"/>
          <w:sz w:val="24"/>
          <w:szCs w:val="24"/>
          <w:shd w:val="clear" w:color="auto" w:fill="F7F7ED"/>
        </w:rPr>
        <w:t>https://www.investopedia.com/terms/e/european-</w:t>
      </w:r>
      <w:r w:rsidRPr="001F0D9C">
        <w:rPr>
          <w:rFonts w:ascii="Times New Roman" w:hAnsi="Times New Roman" w:cs="Times New Roman"/>
          <w:sz w:val="24"/>
          <w:szCs w:val="24"/>
          <w:shd w:val="clear" w:color="auto" w:fill="F7F7ED"/>
        </w:rPr>
        <w:t>sovereign-debt-crisis.asp.</w:t>
      </w:r>
    </w:p>
    <w:p w14:paraId="32ABD4B2" w14:textId="77777777" w:rsidR="00480A56" w:rsidRPr="001F0D9C" w:rsidRDefault="00480A56" w:rsidP="001F0D9C">
      <w:pPr>
        <w:spacing w:line="276" w:lineRule="auto"/>
        <w:jc w:val="both"/>
        <w:rPr>
          <w:rStyle w:val="Emphasis"/>
          <w:rFonts w:ascii="Times New Roman" w:hAnsi="Times New Roman" w:cs="Times New Roman"/>
          <w:i w:val="0"/>
          <w:iCs w:val="0"/>
          <w:sz w:val="24"/>
          <w:szCs w:val="24"/>
          <w:bdr w:val="single" w:sz="2" w:space="0" w:color="D9D9E3" w:frame="1"/>
          <w:shd w:val="clear" w:color="auto" w:fill="F7F7ED"/>
        </w:rPr>
      </w:pPr>
      <w:r w:rsidRPr="001F0D9C">
        <w:rPr>
          <w:rStyle w:val="Emphasis"/>
          <w:rFonts w:ascii="Times New Roman" w:hAnsi="Times New Roman" w:cs="Times New Roman"/>
          <w:i w:val="0"/>
          <w:iCs w:val="0"/>
          <w:sz w:val="24"/>
          <w:szCs w:val="24"/>
          <w:bdr w:val="single" w:sz="2" w:space="0" w:color="D9D9E3" w:frame="1"/>
          <w:shd w:val="clear" w:color="auto" w:fill="F7F7ED"/>
        </w:rPr>
        <w:t>Kenton, W. (2023, March 23). </w:t>
      </w:r>
      <w:r w:rsidRPr="001F0D9C">
        <w:rPr>
          <w:rStyle w:val="Emphasis"/>
          <w:rFonts w:ascii="Times New Roman" w:hAnsi="Times New Roman" w:cs="Times New Roman"/>
          <w:sz w:val="24"/>
          <w:szCs w:val="24"/>
          <w:bdr w:val="single" w:sz="2" w:space="0" w:color="D9D9E3" w:frame="1"/>
          <w:shd w:val="clear" w:color="auto" w:fill="F7F7ED"/>
        </w:rPr>
        <w:t>Understanding value at risk (Var) and how it's computed</w:t>
      </w:r>
      <w:r w:rsidRPr="001F0D9C">
        <w:rPr>
          <w:rStyle w:val="Emphasis"/>
          <w:rFonts w:ascii="Times New Roman" w:hAnsi="Times New Roman" w:cs="Times New Roman"/>
          <w:i w:val="0"/>
          <w:iCs w:val="0"/>
          <w:sz w:val="24"/>
          <w:szCs w:val="24"/>
          <w:bdr w:val="single" w:sz="2" w:space="0" w:color="D9D9E3" w:frame="1"/>
          <w:shd w:val="clear" w:color="auto" w:fill="F7F7ED"/>
        </w:rPr>
        <w:t xml:space="preserve">. </w:t>
      </w:r>
    </w:p>
    <w:p w14:paraId="562AD499" w14:textId="0D528B04" w:rsidR="00480A56" w:rsidRPr="001F0D9C" w:rsidRDefault="00480A56" w:rsidP="001F0D9C">
      <w:pPr>
        <w:spacing w:line="276" w:lineRule="auto"/>
        <w:ind w:left="720"/>
        <w:jc w:val="both"/>
        <w:rPr>
          <w:rFonts w:ascii="Times New Roman" w:hAnsi="Times New Roman" w:cs="Times New Roman"/>
          <w:sz w:val="24"/>
          <w:szCs w:val="24"/>
          <w:bdr w:val="single" w:sz="2" w:space="0" w:color="D9D9E3" w:frame="1"/>
        </w:rPr>
      </w:pPr>
      <w:r w:rsidRPr="001F0D9C">
        <w:rPr>
          <w:rStyle w:val="Emphasis"/>
          <w:rFonts w:ascii="Times New Roman" w:hAnsi="Times New Roman" w:cs="Times New Roman"/>
          <w:i w:val="0"/>
          <w:iCs w:val="0"/>
          <w:sz w:val="24"/>
          <w:szCs w:val="24"/>
          <w:bdr w:val="single" w:sz="2" w:space="0" w:color="D9D9E3" w:frame="1"/>
          <w:shd w:val="clear" w:color="auto" w:fill="F7F7ED"/>
        </w:rPr>
        <w:t>Investopedia. Retrieved September 23, 2023, from https://www.investopedia.com/terms/v/var.asp.</w:t>
      </w:r>
    </w:p>
    <w:p w14:paraId="7CED9507" w14:textId="30B6215E" w:rsidR="007314A5" w:rsidRPr="001F0D9C" w:rsidRDefault="007314A5" w:rsidP="001F0D9C">
      <w:pPr>
        <w:shd w:val="clear" w:color="auto" w:fill="FFFFFF"/>
        <w:spacing w:line="276" w:lineRule="auto"/>
        <w:jc w:val="both"/>
        <w:rPr>
          <w:rFonts w:ascii="Times New Roman" w:hAnsi="Times New Roman" w:cs="Times New Roman"/>
          <w:sz w:val="24"/>
          <w:szCs w:val="24"/>
          <w:bdr w:val="single" w:sz="2" w:space="0" w:color="D9D9E3" w:frame="1"/>
        </w:rPr>
      </w:pPr>
      <w:r w:rsidRPr="001F0D9C">
        <w:rPr>
          <w:rFonts w:ascii="Times New Roman" w:hAnsi="Times New Roman" w:cs="Times New Roman"/>
          <w:sz w:val="24"/>
          <w:szCs w:val="24"/>
          <w:bdr w:val="single" w:sz="2" w:space="0" w:color="D9D9E3" w:frame="1"/>
        </w:rPr>
        <w:t>National Commission on the BP Deepwater Horizon Oil Spill and Offshore Drilling</w:t>
      </w:r>
      <w:r w:rsidRPr="001F0D9C">
        <w:rPr>
          <w:rFonts w:ascii="Times New Roman" w:hAnsi="Times New Roman" w:cs="Times New Roman"/>
          <w:i/>
          <w:iCs/>
          <w:sz w:val="24"/>
          <w:szCs w:val="24"/>
          <w:bdr w:val="single" w:sz="2" w:space="0" w:color="D9D9E3" w:frame="1"/>
        </w:rPr>
        <w:t xml:space="preserve">. </w:t>
      </w:r>
      <w:r w:rsidRPr="001F0D9C">
        <w:rPr>
          <w:rFonts w:ascii="Times New Roman" w:hAnsi="Times New Roman" w:cs="Times New Roman"/>
          <w:sz w:val="24"/>
          <w:szCs w:val="24"/>
          <w:bdr w:val="single" w:sz="2" w:space="0" w:color="D9D9E3" w:frame="1"/>
        </w:rPr>
        <w:t xml:space="preserve">(2011, </w:t>
      </w:r>
    </w:p>
    <w:p w14:paraId="1B98B8E7" w14:textId="77777777" w:rsidR="007314A5" w:rsidRPr="001F0D9C" w:rsidRDefault="007314A5" w:rsidP="001F0D9C">
      <w:pPr>
        <w:shd w:val="clear" w:color="auto" w:fill="FFFFFF"/>
        <w:spacing w:line="276" w:lineRule="auto"/>
        <w:ind w:firstLine="720"/>
        <w:jc w:val="both"/>
        <w:rPr>
          <w:rFonts w:ascii="Times New Roman" w:hAnsi="Times New Roman" w:cs="Times New Roman"/>
          <w:sz w:val="24"/>
          <w:szCs w:val="24"/>
          <w:bdr w:val="single" w:sz="2" w:space="0" w:color="D9D9E3" w:frame="1"/>
        </w:rPr>
      </w:pPr>
      <w:r w:rsidRPr="001F0D9C">
        <w:rPr>
          <w:rFonts w:ascii="Times New Roman" w:hAnsi="Times New Roman" w:cs="Times New Roman"/>
          <w:sz w:val="24"/>
          <w:szCs w:val="24"/>
          <w:bdr w:val="single" w:sz="2" w:space="0" w:color="D9D9E3" w:frame="1"/>
        </w:rPr>
        <w:t>January).</w:t>
      </w:r>
      <w:r w:rsidRPr="001F0D9C">
        <w:rPr>
          <w:rFonts w:ascii="Times New Roman" w:hAnsi="Times New Roman" w:cs="Times New Roman"/>
          <w:i/>
          <w:iCs/>
          <w:sz w:val="24"/>
          <w:szCs w:val="24"/>
          <w:bdr w:val="single" w:sz="2" w:space="0" w:color="D9D9E3" w:frame="1"/>
        </w:rPr>
        <w:t xml:space="preserve"> Deep Water: The Gulf Oil Disaster and the Future of Offshore Drilling. </w:t>
      </w:r>
      <w:r w:rsidRPr="001F0D9C">
        <w:rPr>
          <w:rFonts w:ascii="Times New Roman" w:hAnsi="Times New Roman" w:cs="Times New Roman"/>
          <w:sz w:val="24"/>
          <w:szCs w:val="24"/>
          <w:bdr w:val="single" w:sz="2" w:space="0" w:color="D9D9E3" w:frame="1"/>
        </w:rPr>
        <w:t xml:space="preserve">U.S. </w:t>
      </w:r>
    </w:p>
    <w:p w14:paraId="35E4846A" w14:textId="77777777" w:rsidR="007314A5" w:rsidRPr="001F0D9C" w:rsidRDefault="007314A5" w:rsidP="001F0D9C">
      <w:pPr>
        <w:shd w:val="clear" w:color="auto" w:fill="FFFFFF"/>
        <w:spacing w:line="276" w:lineRule="auto"/>
        <w:ind w:firstLine="720"/>
        <w:jc w:val="both"/>
        <w:rPr>
          <w:rFonts w:ascii="Times New Roman" w:hAnsi="Times New Roman" w:cs="Times New Roman"/>
          <w:sz w:val="24"/>
          <w:szCs w:val="24"/>
          <w:bdr w:val="single" w:sz="2" w:space="0" w:color="D9D9E3" w:frame="1"/>
        </w:rPr>
      </w:pPr>
      <w:r w:rsidRPr="001F0D9C">
        <w:rPr>
          <w:rFonts w:ascii="Times New Roman" w:hAnsi="Times New Roman" w:cs="Times New Roman"/>
          <w:sz w:val="24"/>
          <w:szCs w:val="24"/>
          <w:bdr w:val="single" w:sz="2" w:space="0" w:color="D9D9E3" w:frame="1"/>
        </w:rPr>
        <w:t>Government Printing Office</w:t>
      </w:r>
      <w:r w:rsidRPr="001F0D9C">
        <w:rPr>
          <w:rStyle w:val="Emphasis"/>
          <w:rFonts w:ascii="Times New Roman" w:hAnsi="Times New Roman" w:cs="Times New Roman"/>
          <w:sz w:val="24"/>
          <w:szCs w:val="24"/>
          <w:bdr w:val="single" w:sz="2" w:space="0" w:color="D9D9E3" w:frame="1"/>
        </w:rPr>
        <w:t>. </w:t>
      </w:r>
      <w:r w:rsidRPr="001F0D9C">
        <w:rPr>
          <w:rFonts w:ascii="Times New Roman" w:hAnsi="Times New Roman" w:cs="Times New Roman"/>
          <w:sz w:val="24"/>
          <w:szCs w:val="24"/>
          <w:bdr w:val="single" w:sz="2" w:space="0" w:color="D9D9E3" w:frame="1"/>
        </w:rPr>
        <w:t xml:space="preserve">Report to the </w:t>
      </w:r>
    </w:p>
    <w:p w14:paraId="37F0B36C" w14:textId="0AAF4719" w:rsidR="007314A5" w:rsidRPr="001F0D9C" w:rsidRDefault="007314A5" w:rsidP="001F0D9C">
      <w:pPr>
        <w:shd w:val="clear" w:color="auto" w:fill="FFFFFF"/>
        <w:spacing w:line="276" w:lineRule="auto"/>
        <w:ind w:firstLine="720"/>
        <w:jc w:val="both"/>
        <w:rPr>
          <w:rFonts w:ascii="Times New Roman" w:hAnsi="Times New Roman" w:cs="Times New Roman"/>
          <w:sz w:val="24"/>
          <w:szCs w:val="24"/>
          <w:bdr w:val="single" w:sz="2" w:space="0" w:color="D9D9E3" w:frame="1"/>
        </w:rPr>
      </w:pPr>
      <w:r w:rsidRPr="001F0D9C">
        <w:rPr>
          <w:rFonts w:ascii="Times New Roman" w:hAnsi="Times New Roman" w:cs="Times New Roman"/>
          <w:sz w:val="24"/>
          <w:szCs w:val="24"/>
          <w:bdr w:val="single" w:sz="2" w:space="0" w:color="D9D9E3" w:frame="1"/>
        </w:rPr>
        <w:t>President. https://www.govinfo.gov/content/pkg/GPO-OILCOMMISSION/pdf/GPO-</w:t>
      </w:r>
    </w:p>
    <w:p w14:paraId="73122443" w14:textId="1AB8A077" w:rsidR="00F02710" w:rsidRPr="001F0D9C" w:rsidRDefault="007314A5" w:rsidP="001F0D9C">
      <w:pPr>
        <w:shd w:val="clear" w:color="auto" w:fill="FFFFFF"/>
        <w:spacing w:line="276" w:lineRule="auto"/>
        <w:ind w:firstLine="720"/>
        <w:jc w:val="both"/>
        <w:rPr>
          <w:rStyle w:val="Emphasis"/>
          <w:rFonts w:ascii="Times New Roman" w:hAnsi="Times New Roman" w:cs="Times New Roman"/>
          <w:sz w:val="24"/>
          <w:szCs w:val="24"/>
        </w:rPr>
      </w:pPr>
      <w:r w:rsidRPr="001F0D9C">
        <w:rPr>
          <w:rFonts w:ascii="Times New Roman" w:hAnsi="Times New Roman" w:cs="Times New Roman"/>
          <w:sz w:val="24"/>
          <w:szCs w:val="24"/>
          <w:bdr w:val="single" w:sz="2" w:space="0" w:color="D9D9E3" w:frame="1"/>
        </w:rPr>
        <w:t>OILCOMMISSION.pdf.</w:t>
      </w:r>
      <w:r w:rsidRPr="001F0D9C">
        <w:rPr>
          <w:rFonts w:ascii="Times New Roman" w:hAnsi="Times New Roman" w:cs="Times New Roman"/>
          <w:sz w:val="24"/>
          <w:szCs w:val="24"/>
        </w:rPr>
        <w:br/>
      </w:r>
      <w:r w:rsidR="00F02710" w:rsidRPr="001F0D9C">
        <w:rPr>
          <w:rFonts w:ascii="Times New Roman" w:hAnsi="Times New Roman" w:cs="Times New Roman"/>
          <w:sz w:val="24"/>
          <w:szCs w:val="24"/>
          <w:shd w:val="clear" w:color="auto" w:fill="F7F7ED"/>
        </w:rPr>
        <w:t>Netherlands Ministry of Education, Culture and Science. (2015, July). </w:t>
      </w:r>
      <w:r w:rsidR="00F02710" w:rsidRPr="001F0D9C">
        <w:rPr>
          <w:rStyle w:val="Emphasis"/>
          <w:rFonts w:ascii="Times New Roman" w:hAnsi="Times New Roman" w:cs="Times New Roman"/>
          <w:sz w:val="24"/>
          <w:szCs w:val="24"/>
        </w:rPr>
        <w:t xml:space="preserve">Strategic Agenda for </w:t>
      </w:r>
    </w:p>
    <w:p w14:paraId="1F7CEC1F" w14:textId="3D7CAD53" w:rsidR="00F02710" w:rsidRPr="001F0D9C" w:rsidRDefault="00F02710" w:rsidP="001F0D9C">
      <w:pPr>
        <w:spacing w:line="276" w:lineRule="auto"/>
        <w:ind w:left="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rPr>
        <w:t>Higher Education and Research 2015-2025</w:t>
      </w:r>
      <w:r w:rsidRPr="001F0D9C">
        <w:rPr>
          <w:rFonts w:ascii="Times New Roman" w:hAnsi="Times New Roman" w:cs="Times New Roman"/>
          <w:sz w:val="24"/>
          <w:szCs w:val="24"/>
          <w:shd w:val="clear" w:color="auto" w:fill="F7F7ED"/>
        </w:rPr>
        <w:t>. European Higher Education Area and Bologna Process. </w:t>
      </w:r>
      <w:r w:rsidRPr="001F0D9C">
        <w:rPr>
          <w:rFonts w:ascii="Times New Roman" w:hAnsi="Times New Roman" w:cs="Times New Roman"/>
          <w:sz w:val="24"/>
          <w:szCs w:val="24"/>
        </w:rPr>
        <w:t>https://ehea.info/Upload/the_value_of_knowledge.pdf.</w:t>
      </w:r>
    </w:p>
    <w:p w14:paraId="0FFCFB21" w14:textId="77777777" w:rsidR="00E36FC0" w:rsidRPr="001F0D9C" w:rsidRDefault="00E36FC0" w:rsidP="001F0D9C">
      <w:pPr>
        <w:shd w:val="clear" w:color="auto" w:fill="FFFFFF"/>
        <w:spacing w:line="276" w:lineRule="auto"/>
        <w:jc w:val="both"/>
        <w:rPr>
          <w:rFonts w:ascii="Times New Roman" w:hAnsi="Times New Roman" w:cs="Times New Roman"/>
          <w:sz w:val="24"/>
          <w:szCs w:val="24"/>
        </w:rPr>
      </w:pPr>
      <w:r w:rsidRPr="001F0D9C">
        <w:rPr>
          <w:rFonts w:ascii="Times New Roman" w:hAnsi="Times New Roman" w:cs="Times New Roman"/>
          <w:sz w:val="24"/>
          <w:szCs w:val="24"/>
        </w:rPr>
        <w:t>New Zealand Superannuation Fund. (2023, July 20). </w:t>
      </w:r>
      <w:r w:rsidRPr="001F0D9C">
        <w:rPr>
          <w:rStyle w:val="Emphasis"/>
          <w:rFonts w:ascii="Times New Roman" w:hAnsi="Times New Roman" w:cs="Times New Roman"/>
          <w:sz w:val="24"/>
          <w:szCs w:val="24"/>
        </w:rPr>
        <w:t>Sustainable finance</w:t>
      </w:r>
      <w:r w:rsidRPr="001F0D9C">
        <w:rPr>
          <w:rFonts w:ascii="Times New Roman" w:hAnsi="Times New Roman" w:cs="Times New Roman"/>
          <w:sz w:val="24"/>
          <w:szCs w:val="24"/>
        </w:rPr>
        <w:t xml:space="preserve">. NZ Super </w:t>
      </w:r>
    </w:p>
    <w:p w14:paraId="12B90CF2" w14:textId="7B4FDDEC" w:rsidR="00631945" w:rsidRPr="001F0D9C" w:rsidRDefault="00E36FC0" w:rsidP="001F0D9C">
      <w:pPr>
        <w:shd w:val="clear" w:color="auto" w:fill="FFFFFF"/>
        <w:spacing w:line="276" w:lineRule="auto"/>
        <w:ind w:firstLine="720"/>
        <w:jc w:val="both"/>
        <w:rPr>
          <w:rFonts w:ascii="Times New Roman" w:hAnsi="Times New Roman" w:cs="Times New Roman"/>
          <w:sz w:val="24"/>
          <w:szCs w:val="24"/>
        </w:rPr>
      </w:pPr>
      <w:r w:rsidRPr="001F0D9C">
        <w:rPr>
          <w:rFonts w:ascii="Times New Roman" w:hAnsi="Times New Roman" w:cs="Times New Roman"/>
          <w:sz w:val="24"/>
          <w:szCs w:val="24"/>
        </w:rPr>
        <w:t>Fund. </w:t>
      </w:r>
      <w:r w:rsidR="00631945" w:rsidRPr="001F0D9C">
        <w:rPr>
          <w:rFonts w:ascii="Times New Roman" w:hAnsi="Times New Roman" w:cs="Times New Roman"/>
          <w:sz w:val="24"/>
          <w:szCs w:val="24"/>
        </w:rPr>
        <w:t>https://nzsuperfund.nz/how-we-invest/sustainable-finance/</w:t>
      </w:r>
      <w:r w:rsidRPr="001F0D9C">
        <w:rPr>
          <w:rFonts w:ascii="Times New Roman" w:hAnsi="Times New Roman" w:cs="Times New Roman"/>
          <w:sz w:val="24"/>
          <w:szCs w:val="24"/>
        </w:rPr>
        <w:t>.</w:t>
      </w:r>
    </w:p>
    <w:p w14:paraId="61944E08" w14:textId="77777777" w:rsidR="00631945" w:rsidRPr="001F0D9C" w:rsidRDefault="00631945" w:rsidP="001F0D9C">
      <w:pPr>
        <w:shd w:val="clear" w:color="auto" w:fill="FFFFFF"/>
        <w:spacing w:line="276" w:lineRule="auto"/>
        <w:jc w:val="both"/>
        <w:rPr>
          <w:rStyle w:val="Emphasis"/>
          <w:rFonts w:ascii="Times New Roman" w:hAnsi="Times New Roman" w:cs="Times New Roman"/>
          <w:sz w:val="24"/>
          <w:szCs w:val="24"/>
        </w:rPr>
      </w:pPr>
      <w:r w:rsidRPr="001F0D9C">
        <w:rPr>
          <w:rFonts w:ascii="Times New Roman" w:hAnsi="Times New Roman" w:cs="Times New Roman"/>
          <w:sz w:val="24"/>
          <w:szCs w:val="24"/>
        </w:rPr>
        <w:t>Pan, G. (2023, March). </w:t>
      </w:r>
      <w:r w:rsidRPr="001F0D9C">
        <w:rPr>
          <w:rStyle w:val="Emphasis"/>
          <w:rFonts w:ascii="Times New Roman" w:hAnsi="Times New Roman" w:cs="Times New Roman"/>
          <w:sz w:val="24"/>
          <w:szCs w:val="24"/>
        </w:rPr>
        <w:t xml:space="preserve">The Impact of Exchange Rate Fluctuation on Toyota Financial </w:t>
      </w:r>
    </w:p>
    <w:p w14:paraId="536EDB69" w14:textId="5EE4249B" w:rsidR="00631945" w:rsidRPr="001F0D9C" w:rsidRDefault="00631945" w:rsidP="001F0D9C">
      <w:pPr>
        <w:shd w:val="clear" w:color="auto" w:fill="FFFFFF"/>
        <w:spacing w:line="276" w:lineRule="auto"/>
        <w:ind w:left="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rPr>
        <w:lastRenderedPageBreak/>
        <w:t>Performance and Its Hedging Strategy</w:t>
      </w:r>
      <w:r w:rsidRPr="001F0D9C">
        <w:rPr>
          <w:rFonts w:ascii="Times New Roman" w:hAnsi="Times New Roman" w:cs="Times New Roman"/>
          <w:sz w:val="24"/>
          <w:szCs w:val="24"/>
        </w:rPr>
        <w:t>. ResearchGate | Find and share research. https://www.researchgate.net/publication/369525380_The_Impact_of_Exchange_Rate_Fluctuation_on_Toyota_Financial_Performance_and_Its_Hedging_Strategy.</w:t>
      </w:r>
    </w:p>
    <w:p w14:paraId="3DC71078" w14:textId="11826BD1" w:rsidR="002061F8" w:rsidRPr="001F0D9C" w:rsidRDefault="002061F8" w:rsidP="001F0D9C">
      <w:pPr>
        <w:shd w:val="clear" w:color="auto" w:fill="FFFFFF"/>
        <w:spacing w:line="276" w:lineRule="auto"/>
        <w:jc w:val="both"/>
        <w:rPr>
          <w:rStyle w:val="Emphasis"/>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Qatar Investment Authority. (2023). </w:t>
      </w:r>
      <w:r w:rsidRPr="001F0D9C">
        <w:rPr>
          <w:rStyle w:val="Emphasis"/>
          <w:rFonts w:ascii="Times New Roman" w:hAnsi="Times New Roman" w:cs="Times New Roman"/>
          <w:sz w:val="24"/>
          <w:szCs w:val="24"/>
          <w:shd w:val="clear" w:color="auto" w:fill="F7F7ED"/>
        </w:rPr>
        <w:t xml:space="preserve">About Qatar Investment </w:t>
      </w:r>
    </w:p>
    <w:p w14:paraId="5E4FE628" w14:textId="78F08263" w:rsidR="002061F8" w:rsidRPr="001F0D9C" w:rsidRDefault="002061F8" w:rsidP="001F0D9C">
      <w:pPr>
        <w:spacing w:line="276" w:lineRule="auto"/>
        <w:ind w:firstLine="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shd w:val="clear" w:color="auto" w:fill="F7F7ED"/>
        </w:rPr>
        <w:t>Authority</w:t>
      </w:r>
      <w:r w:rsidRPr="001F0D9C">
        <w:rPr>
          <w:rFonts w:ascii="Times New Roman" w:hAnsi="Times New Roman" w:cs="Times New Roman"/>
          <w:sz w:val="24"/>
          <w:szCs w:val="24"/>
          <w:shd w:val="clear" w:color="auto" w:fill="F7F7ED"/>
        </w:rPr>
        <w:t>. https://www.qia.qa/en/About/Pages/default.aspx.</w:t>
      </w:r>
    </w:p>
    <w:p w14:paraId="51A0165F" w14:textId="77777777" w:rsidR="002F352C" w:rsidRPr="001F0D9C" w:rsidRDefault="002F352C" w:rsidP="001F0D9C">
      <w:pPr>
        <w:shd w:val="clear" w:color="auto" w:fill="FFFFFF"/>
        <w:spacing w:line="276" w:lineRule="auto"/>
        <w:jc w:val="both"/>
        <w:rPr>
          <w:rStyle w:val="Emphasis"/>
          <w:rFonts w:ascii="Times New Roman" w:hAnsi="Times New Roman" w:cs="Times New Roman"/>
          <w:sz w:val="24"/>
          <w:szCs w:val="24"/>
        </w:rPr>
      </w:pPr>
      <w:r w:rsidRPr="001F0D9C">
        <w:rPr>
          <w:rFonts w:ascii="Times New Roman" w:hAnsi="Times New Roman" w:cs="Times New Roman"/>
          <w:sz w:val="24"/>
          <w:szCs w:val="24"/>
        </w:rPr>
        <w:t>Rodini, L. (2023, July 14). </w:t>
      </w:r>
      <w:r w:rsidRPr="001F0D9C">
        <w:rPr>
          <w:rStyle w:val="Emphasis"/>
          <w:rFonts w:ascii="Times New Roman" w:hAnsi="Times New Roman" w:cs="Times New Roman"/>
          <w:sz w:val="24"/>
          <w:szCs w:val="24"/>
        </w:rPr>
        <w:t xml:space="preserve">What Happened to Lehman Brothers? Why Did It </w:t>
      </w:r>
    </w:p>
    <w:p w14:paraId="73307B8B" w14:textId="20429903" w:rsidR="002F352C" w:rsidRPr="001F0D9C" w:rsidRDefault="002F352C" w:rsidP="001F0D9C">
      <w:pPr>
        <w:shd w:val="clear" w:color="auto" w:fill="FFFFFF"/>
        <w:spacing w:line="276" w:lineRule="auto"/>
        <w:ind w:firstLine="720"/>
        <w:jc w:val="both"/>
        <w:rPr>
          <w:rFonts w:ascii="Times New Roman" w:hAnsi="Times New Roman" w:cs="Times New Roman"/>
          <w:sz w:val="24"/>
          <w:szCs w:val="24"/>
        </w:rPr>
      </w:pPr>
      <w:r w:rsidRPr="001F0D9C">
        <w:rPr>
          <w:rStyle w:val="Emphasis"/>
          <w:rFonts w:ascii="Times New Roman" w:hAnsi="Times New Roman" w:cs="Times New Roman"/>
          <w:sz w:val="24"/>
          <w:szCs w:val="24"/>
        </w:rPr>
        <w:t>Fail?</w:t>
      </w:r>
      <w:r w:rsidRPr="001F0D9C">
        <w:rPr>
          <w:rFonts w:ascii="Times New Roman" w:hAnsi="Times New Roman" w:cs="Times New Roman"/>
          <w:sz w:val="24"/>
          <w:szCs w:val="24"/>
        </w:rPr>
        <w:t> thestreet.com. https://www.thestreet.com/banking/what-happened-to-lehman-</w:t>
      </w:r>
    </w:p>
    <w:p w14:paraId="4C26845C" w14:textId="77777777" w:rsidR="002F352C" w:rsidRPr="001F0D9C" w:rsidRDefault="002F352C" w:rsidP="001F0D9C">
      <w:pPr>
        <w:shd w:val="clear" w:color="auto" w:fill="FFFFFF"/>
        <w:spacing w:line="276" w:lineRule="auto"/>
        <w:ind w:firstLine="720"/>
        <w:jc w:val="both"/>
        <w:rPr>
          <w:rFonts w:ascii="Times New Roman" w:hAnsi="Times New Roman" w:cs="Times New Roman"/>
          <w:sz w:val="24"/>
          <w:szCs w:val="24"/>
        </w:rPr>
      </w:pPr>
      <w:r w:rsidRPr="001F0D9C">
        <w:rPr>
          <w:rFonts w:ascii="Times New Roman" w:hAnsi="Times New Roman" w:cs="Times New Roman"/>
          <w:sz w:val="24"/>
          <w:szCs w:val="24"/>
        </w:rPr>
        <w:t>brothers#:~:text=On%20September%2015%2C%202008%2C%20Lehman,11%2C%202</w:t>
      </w:r>
    </w:p>
    <w:p w14:paraId="39BC3A88" w14:textId="77777777" w:rsidR="00F21BD0" w:rsidRPr="001F0D9C" w:rsidRDefault="002F352C" w:rsidP="001F0D9C">
      <w:pPr>
        <w:shd w:val="clear" w:color="auto" w:fill="FFFFFF"/>
        <w:spacing w:line="276" w:lineRule="auto"/>
        <w:ind w:firstLine="720"/>
        <w:jc w:val="both"/>
        <w:rPr>
          <w:rFonts w:ascii="Times New Roman" w:hAnsi="Times New Roman" w:cs="Times New Roman"/>
          <w:sz w:val="24"/>
          <w:szCs w:val="24"/>
        </w:rPr>
      </w:pPr>
      <w:r w:rsidRPr="001F0D9C">
        <w:rPr>
          <w:rFonts w:ascii="Times New Roman" w:hAnsi="Times New Roman" w:cs="Times New Roman"/>
          <w:sz w:val="24"/>
          <w:szCs w:val="24"/>
        </w:rPr>
        <w:t>001%2C%20terrorist%20attacks.</w:t>
      </w:r>
    </w:p>
    <w:p w14:paraId="32F9F170" w14:textId="77777777" w:rsidR="007F2822" w:rsidRPr="001F0D9C" w:rsidRDefault="007F2822" w:rsidP="001F0D9C">
      <w:pPr>
        <w:pStyle w:val="Bibliography"/>
        <w:spacing w:line="276" w:lineRule="auto"/>
        <w:ind w:left="720" w:hanging="720"/>
        <w:jc w:val="both"/>
        <w:rPr>
          <w:rStyle w:val="Emphasis"/>
          <w:rFonts w:ascii="Times New Roman" w:hAnsi="Times New Roman" w:cs="Times New Roman"/>
          <w:i w:val="0"/>
          <w:iCs w:val="0"/>
          <w:sz w:val="24"/>
          <w:szCs w:val="24"/>
          <w:shd w:val="clear" w:color="auto" w:fill="F7F7ED"/>
        </w:rPr>
      </w:pPr>
      <w:r w:rsidRPr="001F0D9C">
        <w:rPr>
          <w:rFonts w:ascii="Times New Roman" w:hAnsi="Times New Roman" w:cs="Times New Roman"/>
          <w:sz w:val="24"/>
          <w:szCs w:val="24"/>
          <w:shd w:val="clear" w:color="auto" w:fill="F7F7ED"/>
        </w:rPr>
        <w:t>Segal, T. (2023, April 5). </w:t>
      </w:r>
      <w:r w:rsidRPr="001F0D9C">
        <w:rPr>
          <w:rStyle w:val="Emphasis"/>
          <w:rFonts w:ascii="Times New Roman" w:hAnsi="Times New Roman" w:cs="Times New Roman"/>
          <w:sz w:val="24"/>
          <w:szCs w:val="24"/>
          <w:shd w:val="clear" w:color="auto" w:fill="F7F7ED"/>
        </w:rPr>
        <w:t>Enron scandal: The fall of a Wall Street darling</w:t>
      </w:r>
      <w:r w:rsidRPr="001F0D9C">
        <w:rPr>
          <w:rFonts w:ascii="Times New Roman" w:hAnsi="Times New Roman" w:cs="Times New Roman"/>
          <w:sz w:val="24"/>
          <w:szCs w:val="24"/>
          <w:shd w:val="clear" w:color="auto" w:fill="F7F7ED"/>
        </w:rPr>
        <w:t>. Investopedia. Retrieved August 11, 2023, from https://www.investopedia.com/updates/enron-scandal-summary/.</w:t>
      </w:r>
    </w:p>
    <w:p w14:paraId="4AECB948" w14:textId="71584C2B" w:rsidR="00F21BD0" w:rsidRPr="001F0D9C" w:rsidRDefault="00F21BD0" w:rsidP="001F0D9C">
      <w:pPr>
        <w:shd w:val="clear" w:color="auto" w:fill="FFFFFF"/>
        <w:spacing w:line="276" w:lineRule="auto"/>
        <w:jc w:val="both"/>
        <w:rPr>
          <w:rStyle w:val="Emphasis"/>
          <w:rFonts w:ascii="Times New Roman" w:hAnsi="Times New Roman" w:cs="Times New Roman"/>
          <w:sz w:val="24"/>
          <w:szCs w:val="24"/>
        </w:rPr>
      </w:pPr>
      <w:r w:rsidRPr="001F0D9C">
        <w:rPr>
          <w:rFonts w:ascii="Times New Roman" w:hAnsi="Times New Roman" w:cs="Times New Roman"/>
          <w:sz w:val="24"/>
          <w:szCs w:val="24"/>
        </w:rPr>
        <w:t>Taleb, N. N. (2010, May 11). </w:t>
      </w:r>
      <w:r w:rsidRPr="001F0D9C">
        <w:rPr>
          <w:rStyle w:val="Emphasis"/>
          <w:rFonts w:ascii="Times New Roman" w:hAnsi="Times New Roman" w:cs="Times New Roman"/>
          <w:sz w:val="24"/>
          <w:szCs w:val="24"/>
        </w:rPr>
        <w:t xml:space="preserve">The Black swan: Second edition: The impact of the highly </w:t>
      </w:r>
    </w:p>
    <w:p w14:paraId="09EE9A62" w14:textId="77777777" w:rsidR="00F21BD0" w:rsidRPr="001F0D9C" w:rsidRDefault="00F21BD0" w:rsidP="001F0D9C">
      <w:pPr>
        <w:shd w:val="clear" w:color="auto" w:fill="FFFFFF"/>
        <w:spacing w:line="276" w:lineRule="auto"/>
        <w:ind w:firstLine="720"/>
        <w:jc w:val="both"/>
        <w:rPr>
          <w:rStyle w:val="Emphasis"/>
          <w:rFonts w:ascii="Times New Roman" w:hAnsi="Times New Roman" w:cs="Times New Roman"/>
          <w:sz w:val="24"/>
          <w:szCs w:val="24"/>
        </w:rPr>
      </w:pPr>
      <w:r w:rsidRPr="001F0D9C">
        <w:rPr>
          <w:rStyle w:val="Emphasis"/>
          <w:rFonts w:ascii="Times New Roman" w:hAnsi="Times New Roman" w:cs="Times New Roman"/>
          <w:sz w:val="24"/>
          <w:szCs w:val="24"/>
        </w:rPr>
        <w:t xml:space="preserve">improbable: With a new section: "On robustness and fragility" (Incerto): Taleb, Nassim </w:t>
      </w:r>
    </w:p>
    <w:p w14:paraId="5EB51253" w14:textId="77777777" w:rsidR="00F21BD0" w:rsidRPr="001F0D9C" w:rsidRDefault="00F21BD0" w:rsidP="001F0D9C">
      <w:pPr>
        <w:shd w:val="clear" w:color="auto" w:fill="FFFFFF"/>
        <w:spacing w:line="276" w:lineRule="auto"/>
        <w:ind w:firstLine="720"/>
        <w:jc w:val="both"/>
        <w:rPr>
          <w:rFonts w:ascii="Times New Roman" w:hAnsi="Times New Roman" w:cs="Times New Roman"/>
          <w:sz w:val="24"/>
          <w:szCs w:val="24"/>
        </w:rPr>
      </w:pPr>
      <w:r w:rsidRPr="001F0D9C">
        <w:rPr>
          <w:rStyle w:val="Emphasis"/>
          <w:rFonts w:ascii="Times New Roman" w:hAnsi="Times New Roman" w:cs="Times New Roman"/>
          <w:sz w:val="24"/>
          <w:szCs w:val="24"/>
        </w:rPr>
        <w:t>Nicholas: 8601404990557: Amazon.com: Books</w:t>
      </w:r>
      <w:r w:rsidRPr="001F0D9C">
        <w:rPr>
          <w:rFonts w:ascii="Times New Roman" w:hAnsi="Times New Roman" w:cs="Times New Roman"/>
          <w:sz w:val="24"/>
          <w:szCs w:val="24"/>
        </w:rPr>
        <w:t xml:space="preserve">. Amazon.com. Spend less. Smile </w:t>
      </w:r>
    </w:p>
    <w:p w14:paraId="7220DBBD" w14:textId="7031BFD2" w:rsidR="00E104D1" w:rsidRPr="001F0D9C" w:rsidRDefault="00F21BD0" w:rsidP="001F0D9C">
      <w:pPr>
        <w:shd w:val="clear" w:color="auto" w:fill="FFFFFF"/>
        <w:spacing w:line="276" w:lineRule="auto"/>
        <w:ind w:firstLine="720"/>
        <w:jc w:val="both"/>
        <w:rPr>
          <w:rFonts w:ascii="Times New Roman" w:hAnsi="Times New Roman" w:cs="Times New Roman"/>
          <w:sz w:val="24"/>
          <w:szCs w:val="24"/>
        </w:rPr>
      </w:pPr>
      <w:r w:rsidRPr="001F0D9C">
        <w:rPr>
          <w:rFonts w:ascii="Times New Roman" w:hAnsi="Times New Roman" w:cs="Times New Roman"/>
          <w:sz w:val="24"/>
          <w:szCs w:val="24"/>
        </w:rPr>
        <w:t>more. </w:t>
      </w:r>
      <w:r w:rsidR="00E104D1" w:rsidRPr="001F0D9C">
        <w:rPr>
          <w:rFonts w:ascii="Times New Roman" w:hAnsi="Times New Roman" w:cs="Times New Roman"/>
          <w:sz w:val="24"/>
          <w:szCs w:val="24"/>
        </w:rPr>
        <w:t>https://www.amazon.com/Black-Swan-Improbable-Robustness-</w:t>
      </w:r>
    </w:p>
    <w:p w14:paraId="4C5782D2" w14:textId="7B8D2DBE" w:rsidR="002A7AA0" w:rsidRPr="001F0D9C" w:rsidRDefault="00F21BD0" w:rsidP="001F0D9C">
      <w:pPr>
        <w:shd w:val="clear" w:color="auto" w:fill="FFFFFF"/>
        <w:spacing w:line="276" w:lineRule="auto"/>
        <w:ind w:firstLine="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rPr>
        <w:t>Fragility/dp/081297381X.</w:t>
      </w:r>
      <w:r w:rsidR="002F352C" w:rsidRPr="001F0D9C">
        <w:rPr>
          <w:rFonts w:ascii="Times New Roman" w:hAnsi="Times New Roman" w:cs="Times New Roman"/>
          <w:color w:val="333333"/>
          <w:sz w:val="21"/>
          <w:szCs w:val="21"/>
          <w:shd w:val="clear" w:color="auto" w:fill="F7F7ED"/>
        </w:rPr>
        <w:br/>
      </w:r>
      <w:r w:rsidR="002A7AA0" w:rsidRPr="001F0D9C">
        <w:rPr>
          <w:rFonts w:ascii="Times New Roman" w:hAnsi="Times New Roman" w:cs="Times New Roman"/>
          <w:sz w:val="24"/>
          <w:szCs w:val="24"/>
          <w:shd w:val="clear" w:color="auto" w:fill="F7F7ED"/>
        </w:rPr>
        <w:t>Temasek Holdings. (2023). </w:t>
      </w:r>
      <w:r w:rsidR="002A7AA0" w:rsidRPr="001F0D9C">
        <w:rPr>
          <w:rStyle w:val="Emphasis"/>
          <w:rFonts w:ascii="Times New Roman" w:hAnsi="Times New Roman" w:cs="Times New Roman"/>
          <w:sz w:val="24"/>
          <w:szCs w:val="24"/>
          <w:shd w:val="clear" w:color="auto" w:fill="F7F7ED"/>
        </w:rPr>
        <w:t>Temasek review 2023: Our compass in a complex world</w:t>
      </w:r>
      <w:r w:rsidR="002A7AA0" w:rsidRPr="001F0D9C">
        <w:rPr>
          <w:rFonts w:ascii="Times New Roman" w:hAnsi="Times New Roman" w:cs="Times New Roman"/>
          <w:sz w:val="24"/>
          <w:szCs w:val="24"/>
          <w:shd w:val="clear" w:color="auto" w:fill="F7F7ED"/>
        </w:rPr>
        <w:t xml:space="preserve">. Temasek </w:t>
      </w:r>
    </w:p>
    <w:p w14:paraId="09CE586D" w14:textId="7E84EBD0" w:rsidR="002A7AA0" w:rsidRPr="001F0D9C" w:rsidRDefault="002A7AA0" w:rsidP="001F0D9C">
      <w:pPr>
        <w:spacing w:line="276" w:lineRule="auto"/>
        <w:ind w:firstLine="720"/>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Review 2023. https://www.temasekreview.com.sg/#performance-overview.</w:t>
      </w:r>
    </w:p>
    <w:p w14:paraId="4CEF1A88" w14:textId="77777777" w:rsidR="00AA5C78" w:rsidRPr="001F0D9C" w:rsidRDefault="00AA5C78" w:rsidP="001F0D9C">
      <w:pPr>
        <w:spacing w:line="276" w:lineRule="auto"/>
        <w:jc w:val="both"/>
        <w:rPr>
          <w:rStyle w:val="Emphasis"/>
          <w:rFonts w:ascii="Times New Roman" w:hAnsi="Times New Roman" w:cs="Times New Roman"/>
          <w:sz w:val="24"/>
          <w:szCs w:val="24"/>
          <w:bdr w:val="single" w:sz="2" w:space="0" w:color="D9D9E3" w:frame="1"/>
          <w:shd w:val="clear" w:color="auto" w:fill="F7F7ED"/>
        </w:rPr>
      </w:pPr>
      <w:r w:rsidRPr="001F0D9C">
        <w:rPr>
          <w:rStyle w:val="Emphasis"/>
          <w:rFonts w:ascii="Times New Roman" w:hAnsi="Times New Roman" w:cs="Times New Roman"/>
          <w:i w:val="0"/>
          <w:iCs w:val="0"/>
          <w:sz w:val="24"/>
          <w:szCs w:val="24"/>
          <w:bdr w:val="single" w:sz="2" w:space="0" w:color="D9D9E3" w:frame="1"/>
          <w:shd w:val="clear" w:color="auto" w:fill="F7F7ED"/>
        </w:rPr>
        <w:t>The Investopedia Team. (2022, June 7). </w:t>
      </w:r>
      <w:r w:rsidRPr="001F0D9C">
        <w:rPr>
          <w:rStyle w:val="Emphasis"/>
          <w:rFonts w:ascii="Times New Roman" w:hAnsi="Times New Roman" w:cs="Times New Roman"/>
          <w:sz w:val="24"/>
          <w:szCs w:val="24"/>
          <w:bdr w:val="single" w:sz="2" w:space="0" w:color="D9D9E3" w:frame="1"/>
          <w:shd w:val="clear" w:color="auto" w:fill="F7F7ED"/>
        </w:rPr>
        <w:t xml:space="preserve">Black swan in the stock market: What is it, with examples </w:t>
      </w:r>
    </w:p>
    <w:p w14:paraId="21875336" w14:textId="0E9388AD" w:rsidR="00AA5C78" w:rsidRPr="001F0D9C" w:rsidRDefault="00AA5C78" w:rsidP="001F0D9C">
      <w:pPr>
        <w:spacing w:line="276" w:lineRule="auto"/>
        <w:ind w:left="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bdr w:val="single" w:sz="2" w:space="0" w:color="D9D9E3" w:frame="1"/>
          <w:shd w:val="clear" w:color="auto" w:fill="F7F7ED"/>
        </w:rPr>
        <w:t>and history</w:t>
      </w:r>
      <w:r w:rsidRPr="001F0D9C">
        <w:rPr>
          <w:rStyle w:val="Emphasis"/>
          <w:rFonts w:ascii="Times New Roman" w:hAnsi="Times New Roman" w:cs="Times New Roman"/>
          <w:i w:val="0"/>
          <w:iCs w:val="0"/>
          <w:sz w:val="24"/>
          <w:szCs w:val="24"/>
          <w:bdr w:val="single" w:sz="2" w:space="0" w:color="D9D9E3" w:frame="1"/>
          <w:shd w:val="clear" w:color="auto" w:fill="F7F7ED"/>
        </w:rPr>
        <w:t>. Investopedia. Retrieved September 23, 2023, from https://www.investopedia.com/terms/b/blackswan.asp.</w:t>
      </w:r>
    </w:p>
    <w:p w14:paraId="049F9C7F" w14:textId="5069D735" w:rsidR="00111595" w:rsidRPr="001F0D9C" w:rsidRDefault="00631945" w:rsidP="001F0D9C">
      <w:pPr>
        <w:spacing w:line="276" w:lineRule="auto"/>
        <w:jc w:val="both"/>
        <w:rPr>
          <w:rStyle w:val="Emphasis"/>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Us Securities and Exchange Commission</w:t>
      </w:r>
      <w:r w:rsidR="00636407" w:rsidRPr="001F0D9C">
        <w:rPr>
          <w:rFonts w:ascii="Times New Roman" w:hAnsi="Times New Roman" w:cs="Times New Roman"/>
          <w:sz w:val="24"/>
          <w:szCs w:val="24"/>
          <w:shd w:val="clear" w:color="auto" w:fill="F7F7ED"/>
        </w:rPr>
        <w:t>. (2010, June 25). </w:t>
      </w:r>
      <w:r w:rsidR="00636407" w:rsidRPr="001F0D9C">
        <w:rPr>
          <w:rStyle w:val="Emphasis"/>
          <w:rFonts w:ascii="Times New Roman" w:hAnsi="Times New Roman" w:cs="Times New Roman"/>
          <w:sz w:val="24"/>
          <w:szCs w:val="24"/>
          <w:shd w:val="clear" w:color="auto" w:fill="F7F7ED"/>
        </w:rPr>
        <w:t xml:space="preserve">Request rate threshold </w:t>
      </w:r>
    </w:p>
    <w:p w14:paraId="0D0A9067" w14:textId="389D4652" w:rsidR="00636407" w:rsidRPr="001F0D9C" w:rsidRDefault="00636407" w:rsidP="001F0D9C">
      <w:pPr>
        <w:spacing w:line="276" w:lineRule="auto"/>
        <w:ind w:left="720"/>
        <w:jc w:val="both"/>
        <w:rPr>
          <w:rFonts w:ascii="Times New Roman" w:hAnsi="Times New Roman" w:cs="Times New Roman"/>
          <w:sz w:val="24"/>
          <w:szCs w:val="24"/>
          <w:shd w:val="clear" w:color="auto" w:fill="F7F7F8"/>
        </w:rPr>
      </w:pPr>
      <w:r w:rsidRPr="001F0D9C">
        <w:rPr>
          <w:rStyle w:val="Emphasis"/>
          <w:rFonts w:ascii="Times New Roman" w:hAnsi="Times New Roman" w:cs="Times New Roman"/>
          <w:sz w:val="24"/>
          <w:szCs w:val="24"/>
          <w:shd w:val="clear" w:color="auto" w:fill="F7F7ED"/>
        </w:rPr>
        <w:t>exceeded</w:t>
      </w:r>
      <w:r w:rsidRPr="001F0D9C">
        <w:rPr>
          <w:rFonts w:ascii="Times New Roman" w:hAnsi="Times New Roman" w:cs="Times New Roman"/>
          <w:sz w:val="24"/>
          <w:szCs w:val="24"/>
          <w:shd w:val="clear" w:color="auto" w:fill="F7F7ED"/>
        </w:rPr>
        <w:t>. SEC.gov. </w:t>
      </w:r>
      <w:r w:rsidRPr="001F0D9C">
        <w:rPr>
          <w:rFonts w:ascii="Times New Roman" w:hAnsi="Times New Roman" w:cs="Times New Roman"/>
          <w:sz w:val="24"/>
          <w:szCs w:val="24"/>
          <w:shd w:val="clear" w:color="auto" w:fill="FFFFFF"/>
        </w:rPr>
        <w:t>https://www.sec.gov/Archives/edgar/data/1094517/000119312510146673/d20f.htm.</w:t>
      </w:r>
    </w:p>
    <w:p w14:paraId="45435780" w14:textId="4EC22AD6" w:rsidR="00631945" w:rsidRPr="001F0D9C" w:rsidRDefault="00E87D22" w:rsidP="001F0D9C">
      <w:pPr>
        <w:spacing w:line="276" w:lineRule="auto"/>
        <w:jc w:val="both"/>
        <w:rPr>
          <w:rStyle w:val="Emphasis"/>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Us Securities and Exchange Commission</w:t>
      </w:r>
      <w:r w:rsidR="00631945" w:rsidRPr="001F0D9C">
        <w:rPr>
          <w:rFonts w:ascii="Times New Roman" w:hAnsi="Times New Roman" w:cs="Times New Roman"/>
          <w:sz w:val="24"/>
          <w:szCs w:val="24"/>
          <w:shd w:val="clear" w:color="auto" w:fill="F7F7ED"/>
        </w:rPr>
        <w:t>. (2021, September 20). </w:t>
      </w:r>
      <w:r w:rsidR="00631945" w:rsidRPr="001F0D9C">
        <w:rPr>
          <w:rStyle w:val="Emphasis"/>
          <w:rFonts w:ascii="Times New Roman" w:hAnsi="Times New Roman" w:cs="Times New Roman"/>
          <w:sz w:val="24"/>
          <w:szCs w:val="24"/>
          <w:shd w:val="clear" w:color="auto" w:fill="F7F7ED"/>
        </w:rPr>
        <w:t xml:space="preserve">Request rate </w:t>
      </w:r>
    </w:p>
    <w:p w14:paraId="22E79148" w14:textId="08BC9240" w:rsidR="00631945" w:rsidRPr="001F0D9C" w:rsidRDefault="00631945" w:rsidP="001F0D9C">
      <w:pPr>
        <w:spacing w:line="276" w:lineRule="auto"/>
        <w:ind w:left="720"/>
        <w:jc w:val="both"/>
        <w:rPr>
          <w:rFonts w:ascii="Times New Roman" w:hAnsi="Times New Roman" w:cs="Times New Roman"/>
          <w:sz w:val="24"/>
          <w:szCs w:val="24"/>
          <w:shd w:val="clear" w:color="auto" w:fill="F7F7F8"/>
        </w:rPr>
      </w:pPr>
      <w:r w:rsidRPr="001F0D9C">
        <w:rPr>
          <w:rStyle w:val="Emphasis"/>
          <w:rFonts w:ascii="Times New Roman" w:hAnsi="Times New Roman" w:cs="Times New Roman"/>
          <w:sz w:val="24"/>
          <w:szCs w:val="24"/>
          <w:shd w:val="clear" w:color="auto" w:fill="F7F7ED"/>
        </w:rPr>
        <w:lastRenderedPageBreak/>
        <w:t>threshold exceeded</w:t>
      </w:r>
      <w:r w:rsidRPr="001F0D9C">
        <w:rPr>
          <w:rFonts w:ascii="Times New Roman" w:hAnsi="Times New Roman" w:cs="Times New Roman"/>
          <w:sz w:val="24"/>
          <w:szCs w:val="24"/>
          <w:shd w:val="clear" w:color="auto" w:fill="F7F7ED"/>
        </w:rPr>
        <w:t>. SEC.gov. https://www.sec.gov/Archives/edgar/data/7084/000000708421000039/adm-20210930.htm.</w:t>
      </w:r>
    </w:p>
    <w:p w14:paraId="591189DA" w14:textId="715D49DD" w:rsidR="00D4016D" w:rsidRPr="001F0D9C" w:rsidRDefault="00841831" w:rsidP="001F0D9C">
      <w:pPr>
        <w:spacing w:line="276" w:lineRule="auto"/>
        <w:jc w:val="both"/>
        <w:rPr>
          <w:rFonts w:ascii="Times New Roman" w:hAnsi="Times New Roman" w:cs="Times New Roman"/>
          <w:i/>
          <w:iCs/>
          <w:sz w:val="24"/>
          <w:szCs w:val="24"/>
        </w:rPr>
      </w:pPr>
      <w:r w:rsidRPr="001F0D9C">
        <w:rPr>
          <w:rFonts w:ascii="Times New Roman" w:hAnsi="Times New Roman" w:cs="Times New Roman"/>
          <w:sz w:val="24"/>
          <w:szCs w:val="24"/>
          <w:shd w:val="clear" w:color="auto" w:fill="F7F7F8"/>
        </w:rPr>
        <w:t>Vanguard. (2023). </w:t>
      </w:r>
      <w:r w:rsidRPr="001F0D9C">
        <w:rPr>
          <w:rFonts w:ascii="Times New Roman" w:hAnsi="Times New Roman" w:cs="Times New Roman"/>
          <w:i/>
          <w:iCs/>
          <w:sz w:val="24"/>
          <w:szCs w:val="24"/>
        </w:rPr>
        <w:t xml:space="preserve">Vanguard Information Technology ETF </w:t>
      </w:r>
    </w:p>
    <w:p w14:paraId="00CB566C" w14:textId="56C4DAFA" w:rsidR="00841831" w:rsidRPr="001F0D9C" w:rsidRDefault="00841831" w:rsidP="001F0D9C">
      <w:pPr>
        <w:spacing w:line="276" w:lineRule="auto"/>
        <w:ind w:firstLine="720"/>
        <w:jc w:val="both"/>
        <w:rPr>
          <w:rFonts w:ascii="Times New Roman" w:hAnsi="Times New Roman" w:cs="Times New Roman"/>
          <w:sz w:val="24"/>
          <w:szCs w:val="24"/>
          <w:shd w:val="clear" w:color="auto" w:fill="F7F7ED"/>
        </w:rPr>
      </w:pPr>
      <w:r w:rsidRPr="001F0D9C">
        <w:rPr>
          <w:rFonts w:ascii="Times New Roman" w:hAnsi="Times New Roman" w:cs="Times New Roman"/>
          <w:i/>
          <w:iCs/>
          <w:sz w:val="24"/>
          <w:szCs w:val="24"/>
        </w:rPr>
        <w:t>(VGT). </w:t>
      </w:r>
      <w:r w:rsidRPr="001F0D9C">
        <w:rPr>
          <w:rFonts w:ascii="Times New Roman" w:hAnsi="Times New Roman" w:cs="Times New Roman"/>
          <w:sz w:val="24"/>
          <w:szCs w:val="24"/>
          <w:shd w:val="clear" w:color="auto" w:fill="F7F7F8"/>
        </w:rPr>
        <w:t>Vanguard. </w:t>
      </w:r>
      <w:r w:rsidRPr="001F0D9C">
        <w:rPr>
          <w:rFonts w:ascii="Times New Roman" w:hAnsi="Times New Roman" w:cs="Times New Roman"/>
          <w:sz w:val="24"/>
          <w:szCs w:val="24"/>
        </w:rPr>
        <w:t>https://investor.vanguard.com/investment-products/etfs/profile/vgt</w:t>
      </w:r>
      <w:r w:rsidRPr="001F0D9C">
        <w:rPr>
          <w:rFonts w:ascii="Times New Roman" w:hAnsi="Times New Roman" w:cs="Times New Roman"/>
          <w:sz w:val="24"/>
          <w:szCs w:val="24"/>
          <w:shd w:val="clear" w:color="auto" w:fill="F7F7F8"/>
        </w:rPr>
        <w:t>.</w:t>
      </w:r>
    </w:p>
    <w:p w14:paraId="3E5E14A7" w14:textId="7112FEF1" w:rsidR="00B1421F" w:rsidRPr="001F0D9C" w:rsidRDefault="00B1421F" w:rsidP="001F0D9C">
      <w:pPr>
        <w:spacing w:line="276" w:lineRule="auto"/>
        <w:jc w:val="both"/>
        <w:rPr>
          <w:rStyle w:val="Emphasis"/>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Velculescu, D. (2015, September 28). </w:t>
      </w:r>
      <w:r w:rsidRPr="001F0D9C">
        <w:rPr>
          <w:rStyle w:val="Emphasis"/>
          <w:rFonts w:ascii="Times New Roman" w:hAnsi="Times New Roman" w:cs="Times New Roman"/>
          <w:sz w:val="24"/>
          <w:szCs w:val="24"/>
          <w:shd w:val="clear" w:color="auto" w:fill="F7F7ED"/>
        </w:rPr>
        <w:t xml:space="preserve">IMF survey: Norway's oil fund shows the way for wealth </w:t>
      </w:r>
    </w:p>
    <w:p w14:paraId="7D2C975D" w14:textId="455DE66F" w:rsidR="00B1421F" w:rsidRPr="001F0D9C" w:rsidRDefault="00B1421F" w:rsidP="001F0D9C">
      <w:pPr>
        <w:spacing w:line="276" w:lineRule="auto"/>
        <w:ind w:left="720"/>
        <w:jc w:val="both"/>
        <w:rPr>
          <w:rFonts w:ascii="Times New Roman" w:hAnsi="Times New Roman" w:cs="Times New Roman"/>
          <w:sz w:val="24"/>
          <w:szCs w:val="24"/>
        </w:rPr>
      </w:pPr>
      <w:r w:rsidRPr="001F0D9C">
        <w:rPr>
          <w:rStyle w:val="Emphasis"/>
          <w:rFonts w:ascii="Times New Roman" w:hAnsi="Times New Roman" w:cs="Times New Roman"/>
          <w:sz w:val="24"/>
          <w:szCs w:val="24"/>
          <w:shd w:val="clear" w:color="auto" w:fill="F7F7ED"/>
        </w:rPr>
        <w:t>funds</w:t>
      </w:r>
      <w:r w:rsidRPr="001F0D9C">
        <w:rPr>
          <w:rFonts w:ascii="Times New Roman" w:hAnsi="Times New Roman" w:cs="Times New Roman"/>
          <w:sz w:val="24"/>
          <w:szCs w:val="24"/>
          <w:shd w:val="clear" w:color="auto" w:fill="F7F7ED"/>
        </w:rPr>
        <w:t>. IMF. IMF European Department. Retrieved September 18, 2023, from https://www.imf.org/en/News/Articles/2015/09/28/04/53/sopol070908a.</w:t>
      </w:r>
    </w:p>
    <w:p w14:paraId="31D842B3" w14:textId="77777777" w:rsidR="00E87D22" w:rsidRPr="001F0D9C" w:rsidRDefault="00E87D22" w:rsidP="001F0D9C">
      <w:pPr>
        <w:spacing w:line="276" w:lineRule="auto"/>
        <w:jc w:val="both"/>
        <w:rPr>
          <w:rStyle w:val="Emphasis"/>
          <w:rFonts w:ascii="Times New Roman" w:hAnsi="Times New Roman" w:cs="Times New Roman"/>
          <w:sz w:val="24"/>
          <w:szCs w:val="24"/>
        </w:rPr>
      </w:pPr>
      <w:r w:rsidRPr="001F0D9C">
        <w:rPr>
          <w:rFonts w:ascii="Times New Roman" w:hAnsi="Times New Roman" w:cs="Times New Roman"/>
          <w:sz w:val="24"/>
          <w:szCs w:val="24"/>
          <w:shd w:val="clear" w:color="auto" w:fill="F7F7ED"/>
        </w:rPr>
        <w:t>Wells Fargo corporate &amp; investment banking. (2023). </w:t>
      </w:r>
      <w:r w:rsidRPr="001F0D9C">
        <w:rPr>
          <w:rStyle w:val="Emphasis"/>
          <w:rFonts w:ascii="Times New Roman" w:hAnsi="Times New Roman" w:cs="Times New Roman"/>
          <w:sz w:val="24"/>
          <w:szCs w:val="24"/>
        </w:rPr>
        <w:t xml:space="preserve">Market risk management and foreign </w:t>
      </w:r>
    </w:p>
    <w:p w14:paraId="2BC5938D" w14:textId="1E54AF5D" w:rsidR="00E87D22" w:rsidRPr="001F0D9C" w:rsidRDefault="00E87D22" w:rsidP="001F0D9C">
      <w:pPr>
        <w:spacing w:line="276" w:lineRule="auto"/>
        <w:ind w:left="720"/>
        <w:jc w:val="both"/>
        <w:rPr>
          <w:rFonts w:ascii="Times New Roman" w:hAnsi="Times New Roman" w:cs="Times New Roman"/>
          <w:sz w:val="24"/>
          <w:szCs w:val="24"/>
          <w:shd w:val="clear" w:color="auto" w:fill="F7F7ED"/>
        </w:rPr>
      </w:pPr>
      <w:r w:rsidRPr="001F0D9C">
        <w:rPr>
          <w:rStyle w:val="Emphasis"/>
          <w:rFonts w:ascii="Times New Roman" w:hAnsi="Times New Roman" w:cs="Times New Roman"/>
          <w:sz w:val="24"/>
          <w:szCs w:val="24"/>
        </w:rPr>
        <w:t>exchange - Wells Fargo corporate &amp; investment banking</w:t>
      </w:r>
      <w:r w:rsidRPr="001F0D9C">
        <w:rPr>
          <w:rFonts w:ascii="Times New Roman" w:hAnsi="Times New Roman" w:cs="Times New Roman"/>
          <w:sz w:val="24"/>
          <w:szCs w:val="24"/>
          <w:shd w:val="clear" w:color="auto" w:fill="F7F7ED"/>
        </w:rPr>
        <w:t>. Wells Fargo Bank | Financial Services &amp; Online Banking. </w:t>
      </w:r>
      <w:r w:rsidRPr="001F0D9C">
        <w:rPr>
          <w:rFonts w:ascii="Times New Roman" w:hAnsi="Times New Roman" w:cs="Times New Roman"/>
          <w:sz w:val="24"/>
          <w:szCs w:val="24"/>
        </w:rPr>
        <w:t>https://www.wellsfargo.com/cib/institutional-investing/market-risk-management/.</w:t>
      </w:r>
    </w:p>
    <w:p w14:paraId="0DA484F7" w14:textId="09F2341B" w:rsidR="003361AC" w:rsidRPr="001F0D9C" w:rsidRDefault="00E22255" w:rsidP="001F0D9C">
      <w:pPr>
        <w:spacing w:line="276" w:lineRule="auto"/>
        <w:jc w:val="both"/>
        <w:rPr>
          <w:rFonts w:ascii="Times New Roman" w:hAnsi="Times New Roman" w:cs="Times New Roman"/>
          <w:sz w:val="24"/>
          <w:szCs w:val="24"/>
          <w:shd w:val="clear" w:color="auto" w:fill="F7F7ED"/>
        </w:rPr>
      </w:pPr>
      <w:r w:rsidRPr="001F0D9C">
        <w:rPr>
          <w:rFonts w:ascii="Times New Roman" w:hAnsi="Times New Roman" w:cs="Times New Roman"/>
          <w:sz w:val="24"/>
          <w:szCs w:val="24"/>
          <w:shd w:val="clear" w:color="auto" w:fill="F7F7ED"/>
        </w:rPr>
        <w:t>Williams, A. (2023, January 20). </w:t>
      </w:r>
      <w:r w:rsidRPr="001F0D9C">
        <w:rPr>
          <w:rStyle w:val="Emphasis"/>
          <w:rFonts w:ascii="Times New Roman" w:hAnsi="Times New Roman" w:cs="Times New Roman"/>
          <w:sz w:val="24"/>
          <w:szCs w:val="24"/>
          <w:shd w:val="clear" w:color="auto" w:fill="F7F7ED"/>
        </w:rPr>
        <w:t>Business diversification – How it works and examples</w:t>
      </w:r>
      <w:r w:rsidRPr="001F0D9C">
        <w:rPr>
          <w:rFonts w:ascii="Times New Roman" w:hAnsi="Times New Roman" w:cs="Times New Roman"/>
          <w:sz w:val="24"/>
          <w:szCs w:val="24"/>
          <w:shd w:val="clear" w:color="auto" w:fill="F7F7ED"/>
        </w:rPr>
        <w:t xml:space="preserve">. Latest </w:t>
      </w:r>
    </w:p>
    <w:p w14:paraId="2594B4A2" w14:textId="0556E16E" w:rsidR="00B1421F" w:rsidRPr="001F0D9C" w:rsidRDefault="00E22255" w:rsidP="001F0D9C">
      <w:pPr>
        <w:spacing w:line="276" w:lineRule="auto"/>
        <w:ind w:left="720"/>
        <w:jc w:val="both"/>
        <w:rPr>
          <w:rFonts w:ascii="Times New Roman" w:hAnsi="Times New Roman" w:cs="Times New Roman"/>
          <w:sz w:val="24"/>
          <w:szCs w:val="24"/>
          <w:bdr w:val="single" w:sz="2" w:space="0" w:color="D9D9E3" w:frame="1"/>
          <w:shd w:val="clear" w:color="auto" w:fill="F7F7F8"/>
        </w:rPr>
      </w:pPr>
      <w:r w:rsidRPr="001F0D9C">
        <w:rPr>
          <w:rFonts w:ascii="Times New Roman" w:hAnsi="Times New Roman" w:cs="Times New Roman"/>
          <w:sz w:val="24"/>
          <w:szCs w:val="24"/>
          <w:shd w:val="clear" w:color="auto" w:fill="F7F7ED"/>
        </w:rPr>
        <w:t>News &amp; Blog | Shorts Accountants. </w:t>
      </w:r>
      <w:r w:rsidR="003361AC" w:rsidRPr="001F0D9C">
        <w:rPr>
          <w:rFonts w:ascii="Times New Roman" w:hAnsi="Times New Roman" w:cs="Times New Roman"/>
          <w:sz w:val="24"/>
          <w:szCs w:val="24"/>
          <w:shd w:val="clear" w:color="auto" w:fill="F7F7ED"/>
        </w:rPr>
        <w:t>https://blog.shorts.uk.com/genus/business-</w:t>
      </w:r>
      <w:r w:rsidRPr="001F0D9C">
        <w:rPr>
          <w:rFonts w:ascii="Times New Roman" w:hAnsi="Times New Roman" w:cs="Times New Roman"/>
          <w:sz w:val="24"/>
          <w:szCs w:val="24"/>
          <w:shd w:val="clear" w:color="auto" w:fill="F7F7ED"/>
        </w:rPr>
        <w:t>diversification-strategy-examples.</w:t>
      </w:r>
    </w:p>
    <w:sectPr w:rsidR="00B1421F" w:rsidRPr="001F0D9C">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D3D5C" w14:textId="77777777" w:rsidR="005279A8" w:rsidRDefault="005279A8">
      <w:pPr>
        <w:spacing w:after="0" w:line="240" w:lineRule="auto"/>
      </w:pPr>
      <w:r>
        <w:separator/>
      </w:r>
    </w:p>
  </w:endnote>
  <w:endnote w:type="continuationSeparator" w:id="0">
    <w:p w14:paraId="7A6BD92D" w14:textId="77777777" w:rsidR="005279A8" w:rsidRDefault="00527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F" w14:textId="309DFC82" w:rsidR="00186D9A" w:rsidRPr="00461D7E" w:rsidRDefault="00000000">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rPr>
    </w:pPr>
    <w:r w:rsidRPr="00461D7E">
      <w:rPr>
        <w:rFonts w:ascii="Times New Roman" w:hAnsi="Times New Roman" w:cs="Times New Roman"/>
        <w:color w:val="000000"/>
      </w:rPr>
      <w:fldChar w:fldCharType="begin"/>
    </w:r>
    <w:r w:rsidRPr="00461D7E">
      <w:rPr>
        <w:rFonts w:ascii="Times New Roman" w:hAnsi="Times New Roman" w:cs="Times New Roman"/>
        <w:color w:val="000000"/>
      </w:rPr>
      <w:instrText>PAGE</w:instrText>
    </w:r>
    <w:r w:rsidRPr="00461D7E">
      <w:rPr>
        <w:rFonts w:ascii="Times New Roman" w:hAnsi="Times New Roman" w:cs="Times New Roman"/>
        <w:color w:val="000000"/>
      </w:rPr>
      <w:fldChar w:fldCharType="separate"/>
    </w:r>
    <w:r w:rsidR="003C1058" w:rsidRPr="00461D7E">
      <w:rPr>
        <w:rFonts w:ascii="Times New Roman" w:hAnsi="Times New Roman" w:cs="Times New Roman"/>
        <w:noProof/>
        <w:color w:val="000000"/>
      </w:rPr>
      <w:t>1</w:t>
    </w:r>
    <w:r w:rsidRPr="00461D7E">
      <w:rPr>
        <w:rFonts w:ascii="Times New Roman" w:hAnsi="Times New Roman" w:cs="Times New Roman"/>
        <w:color w:val="000000"/>
      </w:rPr>
      <w:fldChar w:fldCharType="end"/>
    </w:r>
  </w:p>
  <w:p w14:paraId="00000110" w14:textId="77777777" w:rsidR="00186D9A" w:rsidRDefault="00186D9A">
    <w:pPr>
      <w:pBdr>
        <w:top w:val="nil"/>
        <w:left w:val="nil"/>
        <w:bottom w:val="nil"/>
        <w:right w:val="nil"/>
        <w:between w:val="nil"/>
      </w:pBdr>
      <w:tabs>
        <w:tab w:val="center" w:pos="4680"/>
        <w:tab w:val="right" w:pos="9360"/>
      </w:tabs>
      <w:spacing w:after="0" w:line="240" w:lineRule="auto"/>
      <w:rPr>
        <w:color w:val="000000"/>
      </w:rPr>
    </w:pPr>
  </w:p>
  <w:p w14:paraId="00000111" w14:textId="77777777" w:rsidR="00186D9A" w:rsidRDefault="00186D9A">
    <w:pPr>
      <w:pBdr>
        <w:top w:val="nil"/>
        <w:left w:val="nil"/>
        <w:bottom w:val="nil"/>
        <w:right w:val="nil"/>
        <w:between w:val="nil"/>
      </w:pBdr>
      <w:tabs>
        <w:tab w:val="center" w:pos="4680"/>
        <w:tab w:val="right" w:pos="9360"/>
      </w:tabs>
      <w:spacing w:after="0" w:line="240" w:lineRule="auto"/>
      <w:rPr>
        <w:color w:val="000000"/>
      </w:rPr>
    </w:pPr>
  </w:p>
  <w:p w14:paraId="00000112" w14:textId="68D735C0" w:rsidR="00186D9A"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 </w:t>
    </w:r>
    <w:r w:rsidR="0034090F" w:rsidRPr="00D52300">
      <w:rPr>
        <w:rFonts w:ascii="Times New Roman" w:hAnsi="Times New Roman" w:cs="Times New Roman"/>
        <w:b/>
        <w:bCs/>
        <w:sz w:val="24"/>
        <w:szCs w:val="24"/>
      </w:rPr>
      <w:t>UPD82442QU91660</w:t>
    </w:r>
    <w:r>
      <w:rPr>
        <w:rFonts w:ascii="Times New Roman" w:eastAsia="Times New Roman" w:hAnsi="Times New Roman" w:cs="Times New Roman"/>
        <w:b/>
        <w:sz w:val="24"/>
        <w:szCs w:val="24"/>
      </w:rPr>
      <w:t xml:space="preserve"> | Shaneille Samuels</w:t>
    </w:r>
  </w:p>
  <w:p w14:paraId="00000113" w14:textId="77777777" w:rsidR="00186D9A" w:rsidRDefault="00186D9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24F35" w14:textId="77777777" w:rsidR="005279A8" w:rsidRDefault="005279A8">
      <w:pPr>
        <w:spacing w:after="0" w:line="240" w:lineRule="auto"/>
      </w:pPr>
      <w:r>
        <w:separator/>
      </w:r>
    </w:p>
  </w:footnote>
  <w:footnote w:type="continuationSeparator" w:id="0">
    <w:p w14:paraId="7FFA9B41" w14:textId="77777777" w:rsidR="005279A8" w:rsidRDefault="00527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D" w14:textId="77777777" w:rsidR="00186D9A"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0250969B" wp14:editId="68AE6B55">
          <wp:extent cx="5401429" cy="495369"/>
          <wp:effectExtent l="0" t="0" r="0" b="0"/>
          <wp:docPr id="21355114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401429" cy="495369"/>
                  </a:xfrm>
                  <a:prstGeom prst="rect">
                    <a:avLst/>
                  </a:prstGeom>
                  <a:ln/>
                </pic:spPr>
              </pic:pic>
            </a:graphicData>
          </a:graphic>
        </wp:inline>
      </w:drawing>
    </w:r>
  </w:p>
  <w:p w14:paraId="0000010E" w14:textId="77777777" w:rsidR="00186D9A" w:rsidRDefault="00186D9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811D6"/>
    <w:multiLevelType w:val="hybridMultilevel"/>
    <w:tmpl w:val="F2FC4EB8"/>
    <w:lvl w:ilvl="0" w:tplc="4FB0A8E6">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 w15:restartNumberingAfterBreak="0">
    <w:nsid w:val="235935A5"/>
    <w:multiLevelType w:val="hybridMultilevel"/>
    <w:tmpl w:val="F7FAB876"/>
    <w:lvl w:ilvl="0" w:tplc="04090009">
      <w:start w:val="1"/>
      <w:numFmt w:val="bullet"/>
      <w:lvlText w:val=""/>
      <w:lvlJc w:val="left"/>
      <w:pPr>
        <w:ind w:left="1848" w:hanging="360"/>
      </w:pPr>
      <w:rPr>
        <w:rFonts w:ascii="Wingdings" w:hAnsi="Wingdings" w:hint="default"/>
      </w:rPr>
    </w:lvl>
    <w:lvl w:ilvl="1" w:tplc="04090003">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2" w15:restartNumberingAfterBreak="0">
    <w:nsid w:val="2C4D316B"/>
    <w:multiLevelType w:val="multilevel"/>
    <w:tmpl w:val="0882DBBC"/>
    <w:lvl w:ilvl="0">
      <w:start w:val="1"/>
      <w:numFmt w:val="decimal"/>
      <w:lvlText w:val="%1."/>
      <w:lvlJc w:val="left"/>
      <w:pPr>
        <w:ind w:left="408" w:hanging="408"/>
      </w:pPr>
    </w:lvl>
    <w:lvl w:ilvl="1">
      <w:start w:val="1"/>
      <w:numFmt w:val="decimal"/>
      <w:lvlText w:val="%1.%2."/>
      <w:lvlJc w:val="left"/>
      <w:pPr>
        <w:ind w:left="1170" w:hanging="720"/>
      </w:pPr>
    </w:lvl>
    <w:lvl w:ilvl="2">
      <w:start w:val="1"/>
      <w:numFmt w:val="decimal"/>
      <w:lvlText w:val="%1.%2.%3."/>
      <w:lvlJc w:val="left"/>
      <w:pPr>
        <w:ind w:left="144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326D2D37"/>
    <w:multiLevelType w:val="hybridMultilevel"/>
    <w:tmpl w:val="AD96EDDE"/>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15:restartNumberingAfterBreak="0">
    <w:nsid w:val="3A447B11"/>
    <w:multiLevelType w:val="hybridMultilevel"/>
    <w:tmpl w:val="2E2CBC22"/>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 w15:restartNumberingAfterBreak="0">
    <w:nsid w:val="40EA0B17"/>
    <w:multiLevelType w:val="hybridMultilevel"/>
    <w:tmpl w:val="DC183F4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EB65D6F"/>
    <w:multiLevelType w:val="multilevel"/>
    <w:tmpl w:val="729AEB64"/>
    <w:lvl w:ilvl="0">
      <w:start w:val="9"/>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51CF425A"/>
    <w:multiLevelType w:val="hybridMultilevel"/>
    <w:tmpl w:val="F1F87B0E"/>
    <w:lvl w:ilvl="0" w:tplc="04090009">
      <w:start w:val="1"/>
      <w:numFmt w:val="bullet"/>
      <w:lvlText w:val=""/>
      <w:lvlJc w:val="left"/>
      <w:pPr>
        <w:ind w:left="1848" w:hanging="360"/>
      </w:pPr>
      <w:rPr>
        <w:rFonts w:ascii="Wingdings" w:hAnsi="Wingdings" w:hint="default"/>
      </w:rPr>
    </w:lvl>
    <w:lvl w:ilvl="1" w:tplc="04090003">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8" w15:restartNumberingAfterBreak="0">
    <w:nsid w:val="66C853C7"/>
    <w:multiLevelType w:val="multilevel"/>
    <w:tmpl w:val="6C682E40"/>
    <w:lvl w:ilvl="0">
      <w:start w:val="1"/>
      <w:numFmt w:val="decimal"/>
      <w:lvlText w:val="%1."/>
      <w:lvlJc w:val="left"/>
      <w:pPr>
        <w:ind w:left="408" w:hanging="408"/>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6F317D26"/>
    <w:multiLevelType w:val="hybridMultilevel"/>
    <w:tmpl w:val="7C125E52"/>
    <w:lvl w:ilvl="0" w:tplc="D79068CA">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16cid:durableId="1825124971">
    <w:abstractNumId w:val="6"/>
  </w:num>
  <w:num w:numId="2" w16cid:durableId="1872306454">
    <w:abstractNumId w:val="8"/>
  </w:num>
  <w:num w:numId="3" w16cid:durableId="947154448">
    <w:abstractNumId w:val="2"/>
  </w:num>
  <w:num w:numId="4" w16cid:durableId="1093940454">
    <w:abstractNumId w:val="1"/>
  </w:num>
  <w:num w:numId="5" w16cid:durableId="662515396">
    <w:abstractNumId w:val="7"/>
  </w:num>
  <w:num w:numId="6" w16cid:durableId="1335962704">
    <w:abstractNumId w:val="3"/>
  </w:num>
  <w:num w:numId="7" w16cid:durableId="708185403">
    <w:abstractNumId w:val="4"/>
  </w:num>
  <w:num w:numId="8" w16cid:durableId="1563560681">
    <w:abstractNumId w:val="5"/>
  </w:num>
  <w:num w:numId="9" w16cid:durableId="1394886451">
    <w:abstractNumId w:val="0"/>
  </w:num>
  <w:num w:numId="10" w16cid:durableId="21454595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D9A"/>
    <w:rsid w:val="0000227D"/>
    <w:rsid w:val="000029C5"/>
    <w:rsid w:val="0000311D"/>
    <w:rsid w:val="00003169"/>
    <w:rsid w:val="000037A6"/>
    <w:rsid w:val="00004221"/>
    <w:rsid w:val="00004E77"/>
    <w:rsid w:val="00007A2F"/>
    <w:rsid w:val="00010D02"/>
    <w:rsid w:val="0001437A"/>
    <w:rsid w:val="00014874"/>
    <w:rsid w:val="0001788F"/>
    <w:rsid w:val="00020983"/>
    <w:rsid w:val="00020B53"/>
    <w:rsid w:val="00022F48"/>
    <w:rsid w:val="0002402D"/>
    <w:rsid w:val="000251E1"/>
    <w:rsid w:val="00025C7F"/>
    <w:rsid w:val="00027ED3"/>
    <w:rsid w:val="00031A03"/>
    <w:rsid w:val="00032276"/>
    <w:rsid w:val="00034418"/>
    <w:rsid w:val="00034E3C"/>
    <w:rsid w:val="00035A95"/>
    <w:rsid w:val="00037376"/>
    <w:rsid w:val="000400DC"/>
    <w:rsid w:val="00042EAA"/>
    <w:rsid w:val="00044724"/>
    <w:rsid w:val="00045896"/>
    <w:rsid w:val="00046E9F"/>
    <w:rsid w:val="000471F9"/>
    <w:rsid w:val="0004750A"/>
    <w:rsid w:val="000502D3"/>
    <w:rsid w:val="00050D8D"/>
    <w:rsid w:val="00051DC3"/>
    <w:rsid w:val="00052419"/>
    <w:rsid w:val="00054F77"/>
    <w:rsid w:val="00056B81"/>
    <w:rsid w:val="00056EB1"/>
    <w:rsid w:val="00057A03"/>
    <w:rsid w:val="000607EF"/>
    <w:rsid w:val="00062EF9"/>
    <w:rsid w:val="00063A8B"/>
    <w:rsid w:val="00064597"/>
    <w:rsid w:val="00064F14"/>
    <w:rsid w:val="00065458"/>
    <w:rsid w:val="000666D5"/>
    <w:rsid w:val="000705F1"/>
    <w:rsid w:val="0007076D"/>
    <w:rsid w:val="0007278A"/>
    <w:rsid w:val="00074F79"/>
    <w:rsid w:val="00075149"/>
    <w:rsid w:val="0007525E"/>
    <w:rsid w:val="00080E20"/>
    <w:rsid w:val="00082003"/>
    <w:rsid w:val="00086538"/>
    <w:rsid w:val="0009117D"/>
    <w:rsid w:val="00091E31"/>
    <w:rsid w:val="0009365B"/>
    <w:rsid w:val="00094719"/>
    <w:rsid w:val="00095105"/>
    <w:rsid w:val="0009637E"/>
    <w:rsid w:val="000B1149"/>
    <w:rsid w:val="000B2B1B"/>
    <w:rsid w:val="000B445D"/>
    <w:rsid w:val="000B5134"/>
    <w:rsid w:val="000B637F"/>
    <w:rsid w:val="000C187B"/>
    <w:rsid w:val="000C2184"/>
    <w:rsid w:val="000C5177"/>
    <w:rsid w:val="000C72AF"/>
    <w:rsid w:val="000D0271"/>
    <w:rsid w:val="000D4BCF"/>
    <w:rsid w:val="000D67F1"/>
    <w:rsid w:val="000E277B"/>
    <w:rsid w:val="000E3525"/>
    <w:rsid w:val="000E3F00"/>
    <w:rsid w:val="000E618D"/>
    <w:rsid w:val="000F21CF"/>
    <w:rsid w:val="000F27F3"/>
    <w:rsid w:val="000F60A8"/>
    <w:rsid w:val="000F60F1"/>
    <w:rsid w:val="000F68CC"/>
    <w:rsid w:val="000F6F1E"/>
    <w:rsid w:val="0010021C"/>
    <w:rsid w:val="00104202"/>
    <w:rsid w:val="00104644"/>
    <w:rsid w:val="00104809"/>
    <w:rsid w:val="00106B2F"/>
    <w:rsid w:val="00107709"/>
    <w:rsid w:val="00111595"/>
    <w:rsid w:val="00111FA2"/>
    <w:rsid w:val="00113920"/>
    <w:rsid w:val="0011529B"/>
    <w:rsid w:val="00116934"/>
    <w:rsid w:val="001175EA"/>
    <w:rsid w:val="001205C8"/>
    <w:rsid w:val="00120B41"/>
    <w:rsid w:val="00126511"/>
    <w:rsid w:val="00127350"/>
    <w:rsid w:val="00132AF8"/>
    <w:rsid w:val="0013401F"/>
    <w:rsid w:val="0013479D"/>
    <w:rsid w:val="00140A8E"/>
    <w:rsid w:val="00141663"/>
    <w:rsid w:val="00141949"/>
    <w:rsid w:val="00145EA5"/>
    <w:rsid w:val="00147AD5"/>
    <w:rsid w:val="00150310"/>
    <w:rsid w:val="00150CE2"/>
    <w:rsid w:val="00150E9C"/>
    <w:rsid w:val="00154063"/>
    <w:rsid w:val="00154A4B"/>
    <w:rsid w:val="0015596A"/>
    <w:rsid w:val="00155D96"/>
    <w:rsid w:val="00156350"/>
    <w:rsid w:val="001565F2"/>
    <w:rsid w:val="00161877"/>
    <w:rsid w:val="00162DC9"/>
    <w:rsid w:val="00163E3E"/>
    <w:rsid w:val="001641EA"/>
    <w:rsid w:val="00165765"/>
    <w:rsid w:val="00170548"/>
    <w:rsid w:val="00171C14"/>
    <w:rsid w:val="00172235"/>
    <w:rsid w:val="0017324E"/>
    <w:rsid w:val="00174BFC"/>
    <w:rsid w:val="00177D49"/>
    <w:rsid w:val="00183871"/>
    <w:rsid w:val="00184C17"/>
    <w:rsid w:val="00186D9A"/>
    <w:rsid w:val="001871EB"/>
    <w:rsid w:val="00191CCB"/>
    <w:rsid w:val="001A0FD4"/>
    <w:rsid w:val="001A296E"/>
    <w:rsid w:val="001A4897"/>
    <w:rsid w:val="001A5BAE"/>
    <w:rsid w:val="001B20C4"/>
    <w:rsid w:val="001B51F5"/>
    <w:rsid w:val="001B6021"/>
    <w:rsid w:val="001B6F88"/>
    <w:rsid w:val="001C0386"/>
    <w:rsid w:val="001C4C15"/>
    <w:rsid w:val="001C6196"/>
    <w:rsid w:val="001D0B40"/>
    <w:rsid w:val="001D4BE1"/>
    <w:rsid w:val="001D5E88"/>
    <w:rsid w:val="001D7EA9"/>
    <w:rsid w:val="001F0407"/>
    <w:rsid w:val="001F0D9C"/>
    <w:rsid w:val="001F313C"/>
    <w:rsid w:val="00200CD2"/>
    <w:rsid w:val="00200DD8"/>
    <w:rsid w:val="00200E95"/>
    <w:rsid w:val="002056E0"/>
    <w:rsid w:val="002061F8"/>
    <w:rsid w:val="00210099"/>
    <w:rsid w:val="0021025A"/>
    <w:rsid w:val="00210BC7"/>
    <w:rsid w:val="00211A4B"/>
    <w:rsid w:val="00215DAA"/>
    <w:rsid w:val="0021670F"/>
    <w:rsid w:val="00220616"/>
    <w:rsid w:val="00221819"/>
    <w:rsid w:val="002236F3"/>
    <w:rsid w:val="002325E1"/>
    <w:rsid w:val="0023589A"/>
    <w:rsid w:val="00237450"/>
    <w:rsid w:val="0024351D"/>
    <w:rsid w:val="00245FE5"/>
    <w:rsid w:val="00256DB7"/>
    <w:rsid w:val="00257E6F"/>
    <w:rsid w:val="00260329"/>
    <w:rsid w:val="00261DEB"/>
    <w:rsid w:val="00265242"/>
    <w:rsid w:val="002658E0"/>
    <w:rsid w:val="002677F2"/>
    <w:rsid w:val="002700A9"/>
    <w:rsid w:val="00270CD2"/>
    <w:rsid w:val="00271218"/>
    <w:rsid w:val="00271C66"/>
    <w:rsid w:val="0027252D"/>
    <w:rsid w:val="002769E0"/>
    <w:rsid w:val="00276AA9"/>
    <w:rsid w:val="00282B0A"/>
    <w:rsid w:val="00283408"/>
    <w:rsid w:val="002834C4"/>
    <w:rsid w:val="002879DF"/>
    <w:rsid w:val="00291AB2"/>
    <w:rsid w:val="00291C77"/>
    <w:rsid w:val="00292C94"/>
    <w:rsid w:val="002A02B4"/>
    <w:rsid w:val="002A147F"/>
    <w:rsid w:val="002A1797"/>
    <w:rsid w:val="002A2F77"/>
    <w:rsid w:val="002A39C3"/>
    <w:rsid w:val="002A5361"/>
    <w:rsid w:val="002A758D"/>
    <w:rsid w:val="002A7AA0"/>
    <w:rsid w:val="002A7B33"/>
    <w:rsid w:val="002B2FC5"/>
    <w:rsid w:val="002B418C"/>
    <w:rsid w:val="002B5ADF"/>
    <w:rsid w:val="002C2B1B"/>
    <w:rsid w:val="002C56C9"/>
    <w:rsid w:val="002C575C"/>
    <w:rsid w:val="002C5FCD"/>
    <w:rsid w:val="002C670F"/>
    <w:rsid w:val="002C676A"/>
    <w:rsid w:val="002C6D5C"/>
    <w:rsid w:val="002D273F"/>
    <w:rsid w:val="002D4981"/>
    <w:rsid w:val="002D771F"/>
    <w:rsid w:val="002E4EBD"/>
    <w:rsid w:val="002E7980"/>
    <w:rsid w:val="002F1D2C"/>
    <w:rsid w:val="002F352C"/>
    <w:rsid w:val="002F4B17"/>
    <w:rsid w:val="002F552F"/>
    <w:rsid w:val="002F6C7F"/>
    <w:rsid w:val="002F74A3"/>
    <w:rsid w:val="00302D52"/>
    <w:rsid w:val="003036EE"/>
    <w:rsid w:val="00305F99"/>
    <w:rsid w:val="00310884"/>
    <w:rsid w:val="003110AB"/>
    <w:rsid w:val="0031166E"/>
    <w:rsid w:val="00314DAA"/>
    <w:rsid w:val="00315E7D"/>
    <w:rsid w:val="00315F40"/>
    <w:rsid w:val="003201CE"/>
    <w:rsid w:val="00320A6A"/>
    <w:rsid w:val="00321C98"/>
    <w:rsid w:val="00324877"/>
    <w:rsid w:val="00324CE6"/>
    <w:rsid w:val="003263D9"/>
    <w:rsid w:val="00326E5A"/>
    <w:rsid w:val="00326E68"/>
    <w:rsid w:val="00330E9F"/>
    <w:rsid w:val="003359BA"/>
    <w:rsid w:val="003361AC"/>
    <w:rsid w:val="0034090F"/>
    <w:rsid w:val="003447AB"/>
    <w:rsid w:val="0034509C"/>
    <w:rsid w:val="00345583"/>
    <w:rsid w:val="003510EF"/>
    <w:rsid w:val="003515DE"/>
    <w:rsid w:val="00354F14"/>
    <w:rsid w:val="00361405"/>
    <w:rsid w:val="0036311B"/>
    <w:rsid w:val="0036375B"/>
    <w:rsid w:val="00371536"/>
    <w:rsid w:val="0037183C"/>
    <w:rsid w:val="00371E58"/>
    <w:rsid w:val="003740EA"/>
    <w:rsid w:val="003755DE"/>
    <w:rsid w:val="00381828"/>
    <w:rsid w:val="003821FD"/>
    <w:rsid w:val="00383055"/>
    <w:rsid w:val="003832BF"/>
    <w:rsid w:val="003834B2"/>
    <w:rsid w:val="0038358D"/>
    <w:rsid w:val="00385390"/>
    <w:rsid w:val="003878C6"/>
    <w:rsid w:val="0038796F"/>
    <w:rsid w:val="00391353"/>
    <w:rsid w:val="00396333"/>
    <w:rsid w:val="00397E8A"/>
    <w:rsid w:val="003A0A03"/>
    <w:rsid w:val="003A1591"/>
    <w:rsid w:val="003A2C3F"/>
    <w:rsid w:val="003A3622"/>
    <w:rsid w:val="003A723B"/>
    <w:rsid w:val="003A7B33"/>
    <w:rsid w:val="003B0FCF"/>
    <w:rsid w:val="003B5918"/>
    <w:rsid w:val="003C0110"/>
    <w:rsid w:val="003C0A31"/>
    <w:rsid w:val="003C0A92"/>
    <w:rsid w:val="003C1058"/>
    <w:rsid w:val="003C5C66"/>
    <w:rsid w:val="003D2340"/>
    <w:rsid w:val="003D3CAF"/>
    <w:rsid w:val="003D3E1C"/>
    <w:rsid w:val="003D41DC"/>
    <w:rsid w:val="003D763E"/>
    <w:rsid w:val="003E13BA"/>
    <w:rsid w:val="003E17AD"/>
    <w:rsid w:val="003E555C"/>
    <w:rsid w:val="003E5AF8"/>
    <w:rsid w:val="003E638B"/>
    <w:rsid w:val="003F3593"/>
    <w:rsid w:val="003F3DB4"/>
    <w:rsid w:val="003F4414"/>
    <w:rsid w:val="003F47D9"/>
    <w:rsid w:val="003F47E7"/>
    <w:rsid w:val="003F5018"/>
    <w:rsid w:val="00403589"/>
    <w:rsid w:val="004056BA"/>
    <w:rsid w:val="00406CFA"/>
    <w:rsid w:val="00410020"/>
    <w:rsid w:val="0041274B"/>
    <w:rsid w:val="004164B0"/>
    <w:rsid w:val="0041797E"/>
    <w:rsid w:val="0042037D"/>
    <w:rsid w:val="00421015"/>
    <w:rsid w:val="00421F05"/>
    <w:rsid w:val="004244B7"/>
    <w:rsid w:val="0042478D"/>
    <w:rsid w:val="004356AB"/>
    <w:rsid w:val="0043730D"/>
    <w:rsid w:val="00440178"/>
    <w:rsid w:val="004413FA"/>
    <w:rsid w:val="004427A9"/>
    <w:rsid w:val="0044575E"/>
    <w:rsid w:val="00446424"/>
    <w:rsid w:val="0044697E"/>
    <w:rsid w:val="004472E2"/>
    <w:rsid w:val="0045003D"/>
    <w:rsid w:val="00451A9C"/>
    <w:rsid w:val="00452192"/>
    <w:rsid w:val="00453A9B"/>
    <w:rsid w:val="004569A4"/>
    <w:rsid w:val="00457A32"/>
    <w:rsid w:val="00461D7E"/>
    <w:rsid w:val="004623EF"/>
    <w:rsid w:val="00462553"/>
    <w:rsid w:val="00462FA6"/>
    <w:rsid w:val="0046498F"/>
    <w:rsid w:val="004649EE"/>
    <w:rsid w:val="00464D81"/>
    <w:rsid w:val="00465111"/>
    <w:rsid w:val="00465DB6"/>
    <w:rsid w:val="004702C8"/>
    <w:rsid w:val="00470821"/>
    <w:rsid w:val="00471242"/>
    <w:rsid w:val="00472127"/>
    <w:rsid w:val="00472DCD"/>
    <w:rsid w:val="00480A56"/>
    <w:rsid w:val="00481A94"/>
    <w:rsid w:val="00481F69"/>
    <w:rsid w:val="00482BCB"/>
    <w:rsid w:val="0048304F"/>
    <w:rsid w:val="00484834"/>
    <w:rsid w:val="00486627"/>
    <w:rsid w:val="00487DBE"/>
    <w:rsid w:val="004909C8"/>
    <w:rsid w:val="00492EA9"/>
    <w:rsid w:val="00492FC9"/>
    <w:rsid w:val="00493158"/>
    <w:rsid w:val="00496858"/>
    <w:rsid w:val="004A0489"/>
    <w:rsid w:val="004A2E26"/>
    <w:rsid w:val="004A3169"/>
    <w:rsid w:val="004A5E47"/>
    <w:rsid w:val="004A6D26"/>
    <w:rsid w:val="004A78C9"/>
    <w:rsid w:val="004B24FC"/>
    <w:rsid w:val="004B4053"/>
    <w:rsid w:val="004B551A"/>
    <w:rsid w:val="004B5692"/>
    <w:rsid w:val="004B6D4E"/>
    <w:rsid w:val="004C14D6"/>
    <w:rsid w:val="004C2BDE"/>
    <w:rsid w:val="004C6DA5"/>
    <w:rsid w:val="004D0FB1"/>
    <w:rsid w:val="004D27BA"/>
    <w:rsid w:val="004D5FFA"/>
    <w:rsid w:val="004D6244"/>
    <w:rsid w:val="004D62ED"/>
    <w:rsid w:val="004E3C87"/>
    <w:rsid w:val="004E4D61"/>
    <w:rsid w:val="004E79B5"/>
    <w:rsid w:val="004F0234"/>
    <w:rsid w:val="004F667C"/>
    <w:rsid w:val="004F6BB0"/>
    <w:rsid w:val="004F7358"/>
    <w:rsid w:val="00501B4F"/>
    <w:rsid w:val="0050226B"/>
    <w:rsid w:val="0050311D"/>
    <w:rsid w:val="00504248"/>
    <w:rsid w:val="00504D6D"/>
    <w:rsid w:val="00506C51"/>
    <w:rsid w:val="00511A40"/>
    <w:rsid w:val="005143B3"/>
    <w:rsid w:val="005146CC"/>
    <w:rsid w:val="00520A93"/>
    <w:rsid w:val="00521A65"/>
    <w:rsid w:val="00522D08"/>
    <w:rsid w:val="00524B60"/>
    <w:rsid w:val="00525160"/>
    <w:rsid w:val="0052566A"/>
    <w:rsid w:val="0052619A"/>
    <w:rsid w:val="00526F66"/>
    <w:rsid w:val="005279A8"/>
    <w:rsid w:val="005332D4"/>
    <w:rsid w:val="00534C2A"/>
    <w:rsid w:val="00534EE3"/>
    <w:rsid w:val="00537CB1"/>
    <w:rsid w:val="00540C97"/>
    <w:rsid w:val="005414B9"/>
    <w:rsid w:val="00543B1A"/>
    <w:rsid w:val="00547F76"/>
    <w:rsid w:val="00550F77"/>
    <w:rsid w:val="0055219B"/>
    <w:rsid w:val="005533CE"/>
    <w:rsid w:val="0055488C"/>
    <w:rsid w:val="00554C12"/>
    <w:rsid w:val="005630C9"/>
    <w:rsid w:val="005634D0"/>
    <w:rsid w:val="0056552B"/>
    <w:rsid w:val="005665F9"/>
    <w:rsid w:val="0056687C"/>
    <w:rsid w:val="005708A5"/>
    <w:rsid w:val="00575B8A"/>
    <w:rsid w:val="00575B9B"/>
    <w:rsid w:val="00576F1A"/>
    <w:rsid w:val="00577F52"/>
    <w:rsid w:val="00577FAE"/>
    <w:rsid w:val="0058289B"/>
    <w:rsid w:val="005829F3"/>
    <w:rsid w:val="0058307D"/>
    <w:rsid w:val="00586510"/>
    <w:rsid w:val="005907AC"/>
    <w:rsid w:val="00592B63"/>
    <w:rsid w:val="00595F46"/>
    <w:rsid w:val="005960EB"/>
    <w:rsid w:val="00596B8A"/>
    <w:rsid w:val="0059780E"/>
    <w:rsid w:val="005A0117"/>
    <w:rsid w:val="005A1209"/>
    <w:rsid w:val="005A331E"/>
    <w:rsid w:val="005A37BE"/>
    <w:rsid w:val="005A6594"/>
    <w:rsid w:val="005A67B1"/>
    <w:rsid w:val="005B116E"/>
    <w:rsid w:val="005B1ED9"/>
    <w:rsid w:val="005B2D1C"/>
    <w:rsid w:val="005B31B6"/>
    <w:rsid w:val="005B7A07"/>
    <w:rsid w:val="005C33C1"/>
    <w:rsid w:val="005C3522"/>
    <w:rsid w:val="005C3D0C"/>
    <w:rsid w:val="005C6C2A"/>
    <w:rsid w:val="005C7ABC"/>
    <w:rsid w:val="005C7EE4"/>
    <w:rsid w:val="005D0D83"/>
    <w:rsid w:val="005D2743"/>
    <w:rsid w:val="005D3119"/>
    <w:rsid w:val="005D4915"/>
    <w:rsid w:val="005D541E"/>
    <w:rsid w:val="005E00E2"/>
    <w:rsid w:val="005E0BC9"/>
    <w:rsid w:val="005E10C0"/>
    <w:rsid w:val="005E1CAB"/>
    <w:rsid w:val="005E20E4"/>
    <w:rsid w:val="005E2308"/>
    <w:rsid w:val="005E57F0"/>
    <w:rsid w:val="005E72DE"/>
    <w:rsid w:val="005F37EB"/>
    <w:rsid w:val="005F4AA2"/>
    <w:rsid w:val="006021B2"/>
    <w:rsid w:val="006024C4"/>
    <w:rsid w:val="00604411"/>
    <w:rsid w:val="00604D84"/>
    <w:rsid w:val="0060552A"/>
    <w:rsid w:val="00606DCD"/>
    <w:rsid w:val="00606F65"/>
    <w:rsid w:val="0060747E"/>
    <w:rsid w:val="00607725"/>
    <w:rsid w:val="00611873"/>
    <w:rsid w:val="00611B7E"/>
    <w:rsid w:val="006126D5"/>
    <w:rsid w:val="00612D3B"/>
    <w:rsid w:val="00613E9A"/>
    <w:rsid w:val="00614116"/>
    <w:rsid w:val="00617BC6"/>
    <w:rsid w:val="00617DD0"/>
    <w:rsid w:val="00622538"/>
    <w:rsid w:val="0062258A"/>
    <w:rsid w:val="00624E6C"/>
    <w:rsid w:val="00625632"/>
    <w:rsid w:val="00625850"/>
    <w:rsid w:val="006269C3"/>
    <w:rsid w:val="00630E60"/>
    <w:rsid w:val="00631945"/>
    <w:rsid w:val="00631EA6"/>
    <w:rsid w:val="00632D7B"/>
    <w:rsid w:val="00633289"/>
    <w:rsid w:val="00633D45"/>
    <w:rsid w:val="00636407"/>
    <w:rsid w:val="00636F94"/>
    <w:rsid w:val="006423C3"/>
    <w:rsid w:val="00643113"/>
    <w:rsid w:val="00644C38"/>
    <w:rsid w:val="0064708D"/>
    <w:rsid w:val="00650846"/>
    <w:rsid w:val="00651980"/>
    <w:rsid w:val="00655E49"/>
    <w:rsid w:val="006560BC"/>
    <w:rsid w:val="00656BDB"/>
    <w:rsid w:val="00657FBF"/>
    <w:rsid w:val="00660C88"/>
    <w:rsid w:val="006615AB"/>
    <w:rsid w:val="006634AA"/>
    <w:rsid w:val="00663563"/>
    <w:rsid w:val="00665664"/>
    <w:rsid w:val="00666096"/>
    <w:rsid w:val="006679A4"/>
    <w:rsid w:val="006679EF"/>
    <w:rsid w:val="00667E5B"/>
    <w:rsid w:val="00672058"/>
    <w:rsid w:val="00676466"/>
    <w:rsid w:val="00682ED7"/>
    <w:rsid w:val="0068313F"/>
    <w:rsid w:val="0068396B"/>
    <w:rsid w:val="00687243"/>
    <w:rsid w:val="00687AA0"/>
    <w:rsid w:val="00690F23"/>
    <w:rsid w:val="00692DB6"/>
    <w:rsid w:val="0069444B"/>
    <w:rsid w:val="00694B5A"/>
    <w:rsid w:val="00696088"/>
    <w:rsid w:val="006966DB"/>
    <w:rsid w:val="006971E3"/>
    <w:rsid w:val="00697D0E"/>
    <w:rsid w:val="006A1C52"/>
    <w:rsid w:val="006A2F7F"/>
    <w:rsid w:val="006A5FFC"/>
    <w:rsid w:val="006A6DDE"/>
    <w:rsid w:val="006A7CC8"/>
    <w:rsid w:val="006B0C60"/>
    <w:rsid w:val="006B1B41"/>
    <w:rsid w:val="006B2ED3"/>
    <w:rsid w:val="006B315A"/>
    <w:rsid w:val="006C0386"/>
    <w:rsid w:val="006C251A"/>
    <w:rsid w:val="006C4380"/>
    <w:rsid w:val="006C43F7"/>
    <w:rsid w:val="006C48B4"/>
    <w:rsid w:val="006C6E7B"/>
    <w:rsid w:val="006E02FD"/>
    <w:rsid w:val="006E55BF"/>
    <w:rsid w:val="006E61FD"/>
    <w:rsid w:val="006E7E45"/>
    <w:rsid w:val="006F1678"/>
    <w:rsid w:val="006F1DCC"/>
    <w:rsid w:val="006F7B0D"/>
    <w:rsid w:val="007003D8"/>
    <w:rsid w:val="00700F23"/>
    <w:rsid w:val="007030B6"/>
    <w:rsid w:val="007142B2"/>
    <w:rsid w:val="00716FAB"/>
    <w:rsid w:val="007171AD"/>
    <w:rsid w:val="007215B1"/>
    <w:rsid w:val="00721AAB"/>
    <w:rsid w:val="007235E9"/>
    <w:rsid w:val="007249BA"/>
    <w:rsid w:val="0072559C"/>
    <w:rsid w:val="00726BED"/>
    <w:rsid w:val="00726F51"/>
    <w:rsid w:val="00727AFC"/>
    <w:rsid w:val="00727E49"/>
    <w:rsid w:val="007314A5"/>
    <w:rsid w:val="00733BEA"/>
    <w:rsid w:val="00734BD6"/>
    <w:rsid w:val="00734F24"/>
    <w:rsid w:val="00736196"/>
    <w:rsid w:val="00736548"/>
    <w:rsid w:val="00736DE6"/>
    <w:rsid w:val="00737D0A"/>
    <w:rsid w:val="00737EA0"/>
    <w:rsid w:val="0074020F"/>
    <w:rsid w:val="00740467"/>
    <w:rsid w:val="0074154C"/>
    <w:rsid w:val="007421B5"/>
    <w:rsid w:val="00744513"/>
    <w:rsid w:val="00750E53"/>
    <w:rsid w:val="00753819"/>
    <w:rsid w:val="00754A09"/>
    <w:rsid w:val="00760272"/>
    <w:rsid w:val="00760AA9"/>
    <w:rsid w:val="007630EC"/>
    <w:rsid w:val="007654B8"/>
    <w:rsid w:val="0077214D"/>
    <w:rsid w:val="00773658"/>
    <w:rsid w:val="007736AA"/>
    <w:rsid w:val="00774355"/>
    <w:rsid w:val="007743B6"/>
    <w:rsid w:val="00775EEB"/>
    <w:rsid w:val="00776368"/>
    <w:rsid w:val="00783F7B"/>
    <w:rsid w:val="007840BA"/>
    <w:rsid w:val="0078656B"/>
    <w:rsid w:val="00790B0E"/>
    <w:rsid w:val="00790C66"/>
    <w:rsid w:val="00790C9A"/>
    <w:rsid w:val="00791634"/>
    <w:rsid w:val="0079180A"/>
    <w:rsid w:val="00791D49"/>
    <w:rsid w:val="0079461B"/>
    <w:rsid w:val="00794E0C"/>
    <w:rsid w:val="00796234"/>
    <w:rsid w:val="00796B11"/>
    <w:rsid w:val="007A1FD8"/>
    <w:rsid w:val="007A2ECE"/>
    <w:rsid w:val="007A5CEF"/>
    <w:rsid w:val="007A6626"/>
    <w:rsid w:val="007A72D1"/>
    <w:rsid w:val="007A7F72"/>
    <w:rsid w:val="007B29A9"/>
    <w:rsid w:val="007C2627"/>
    <w:rsid w:val="007C57ED"/>
    <w:rsid w:val="007C6A8D"/>
    <w:rsid w:val="007C7C93"/>
    <w:rsid w:val="007D09F7"/>
    <w:rsid w:val="007D79A4"/>
    <w:rsid w:val="007E2C9D"/>
    <w:rsid w:val="007E461A"/>
    <w:rsid w:val="007F1AF2"/>
    <w:rsid w:val="007F1D70"/>
    <w:rsid w:val="007F2822"/>
    <w:rsid w:val="007F3E2A"/>
    <w:rsid w:val="007F40C3"/>
    <w:rsid w:val="007F720D"/>
    <w:rsid w:val="00800508"/>
    <w:rsid w:val="00800EEA"/>
    <w:rsid w:val="0080135C"/>
    <w:rsid w:val="008028E9"/>
    <w:rsid w:val="0081179D"/>
    <w:rsid w:val="008130BD"/>
    <w:rsid w:val="00813817"/>
    <w:rsid w:val="008143CD"/>
    <w:rsid w:val="00821FEC"/>
    <w:rsid w:val="00822502"/>
    <w:rsid w:val="008231B4"/>
    <w:rsid w:val="00824E91"/>
    <w:rsid w:val="008346FC"/>
    <w:rsid w:val="0083631C"/>
    <w:rsid w:val="008368FB"/>
    <w:rsid w:val="00836987"/>
    <w:rsid w:val="0084070A"/>
    <w:rsid w:val="00840FA3"/>
    <w:rsid w:val="00841831"/>
    <w:rsid w:val="00841CAC"/>
    <w:rsid w:val="00847A16"/>
    <w:rsid w:val="0085038E"/>
    <w:rsid w:val="00850459"/>
    <w:rsid w:val="008509F8"/>
    <w:rsid w:val="00852AD4"/>
    <w:rsid w:val="00855F36"/>
    <w:rsid w:val="00856841"/>
    <w:rsid w:val="008572B0"/>
    <w:rsid w:val="0086227D"/>
    <w:rsid w:val="0086289A"/>
    <w:rsid w:val="008664FD"/>
    <w:rsid w:val="008714FB"/>
    <w:rsid w:val="00874C3A"/>
    <w:rsid w:val="008762C7"/>
    <w:rsid w:val="008767C5"/>
    <w:rsid w:val="00876C42"/>
    <w:rsid w:val="00881ED1"/>
    <w:rsid w:val="00882E62"/>
    <w:rsid w:val="008831E7"/>
    <w:rsid w:val="00883787"/>
    <w:rsid w:val="00883C90"/>
    <w:rsid w:val="008854E1"/>
    <w:rsid w:val="008866F8"/>
    <w:rsid w:val="008877E5"/>
    <w:rsid w:val="00890603"/>
    <w:rsid w:val="00890730"/>
    <w:rsid w:val="00891BA2"/>
    <w:rsid w:val="00891CC5"/>
    <w:rsid w:val="00893DF5"/>
    <w:rsid w:val="00893E09"/>
    <w:rsid w:val="00895720"/>
    <w:rsid w:val="00896176"/>
    <w:rsid w:val="008979E1"/>
    <w:rsid w:val="008A15C6"/>
    <w:rsid w:val="008A38E6"/>
    <w:rsid w:val="008A4BF7"/>
    <w:rsid w:val="008A67FE"/>
    <w:rsid w:val="008B07F6"/>
    <w:rsid w:val="008B1841"/>
    <w:rsid w:val="008B3D72"/>
    <w:rsid w:val="008B5A68"/>
    <w:rsid w:val="008B5FA1"/>
    <w:rsid w:val="008B61CF"/>
    <w:rsid w:val="008C1639"/>
    <w:rsid w:val="008C21ED"/>
    <w:rsid w:val="008C64D7"/>
    <w:rsid w:val="008C6789"/>
    <w:rsid w:val="008D1546"/>
    <w:rsid w:val="008D3AB7"/>
    <w:rsid w:val="008D3EE4"/>
    <w:rsid w:val="008D6829"/>
    <w:rsid w:val="008E0F7F"/>
    <w:rsid w:val="008E366C"/>
    <w:rsid w:val="008E39A5"/>
    <w:rsid w:val="008E3B63"/>
    <w:rsid w:val="008E5291"/>
    <w:rsid w:val="008E7A26"/>
    <w:rsid w:val="008E7F35"/>
    <w:rsid w:val="008F051A"/>
    <w:rsid w:val="008F1F35"/>
    <w:rsid w:val="008F22DD"/>
    <w:rsid w:val="008F295C"/>
    <w:rsid w:val="008F30E5"/>
    <w:rsid w:val="008F4613"/>
    <w:rsid w:val="009007F4"/>
    <w:rsid w:val="009011CE"/>
    <w:rsid w:val="0090147B"/>
    <w:rsid w:val="00901CAB"/>
    <w:rsid w:val="00903313"/>
    <w:rsid w:val="009052E9"/>
    <w:rsid w:val="009059D7"/>
    <w:rsid w:val="00905FE1"/>
    <w:rsid w:val="00911A8D"/>
    <w:rsid w:val="00914430"/>
    <w:rsid w:val="00914CB9"/>
    <w:rsid w:val="009157F7"/>
    <w:rsid w:val="00921AFF"/>
    <w:rsid w:val="009224E7"/>
    <w:rsid w:val="00923A0E"/>
    <w:rsid w:val="00924803"/>
    <w:rsid w:val="009269FE"/>
    <w:rsid w:val="00927CCB"/>
    <w:rsid w:val="0093181C"/>
    <w:rsid w:val="009335FD"/>
    <w:rsid w:val="00933D83"/>
    <w:rsid w:val="00934C83"/>
    <w:rsid w:val="009448CE"/>
    <w:rsid w:val="009457C1"/>
    <w:rsid w:val="00947EFD"/>
    <w:rsid w:val="00950DCB"/>
    <w:rsid w:val="009513E5"/>
    <w:rsid w:val="0095207C"/>
    <w:rsid w:val="00952F3B"/>
    <w:rsid w:val="0095365E"/>
    <w:rsid w:val="0095673F"/>
    <w:rsid w:val="009570CB"/>
    <w:rsid w:val="00960007"/>
    <w:rsid w:val="00960170"/>
    <w:rsid w:val="00962FB1"/>
    <w:rsid w:val="00963075"/>
    <w:rsid w:val="00966D92"/>
    <w:rsid w:val="0097023B"/>
    <w:rsid w:val="009707B2"/>
    <w:rsid w:val="0097420E"/>
    <w:rsid w:val="00975AD5"/>
    <w:rsid w:val="00977E51"/>
    <w:rsid w:val="00982BDF"/>
    <w:rsid w:val="0098473D"/>
    <w:rsid w:val="009861AC"/>
    <w:rsid w:val="00987C5F"/>
    <w:rsid w:val="0099094D"/>
    <w:rsid w:val="0099478B"/>
    <w:rsid w:val="00996031"/>
    <w:rsid w:val="009A3656"/>
    <w:rsid w:val="009A6238"/>
    <w:rsid w:val="009B6C9F"/>
    <w:rsid w:val="009B74AE"/>
    <w:rsid w:val="009C6A75"/>
    <w:rsid w:val="009C76C4"/>
    <w:rsid w:val="009C7B7D"/>
    <w:rsid w:val="009C7F45"/>
    <w:rsid w:val="009D0DA8"/>
    <w:rsid w:val="009D19A0"/>
    <w:rsid w:val="009D1C76"/>
    <w:rsid w:val="009D1CA8"/>
    <w:rsid w:val="009D5A90"/>
    <w:rsid w:val="009D5D2D"/>
    <w:rsid w:val="009D6728"/>
    <w:rsid w:val="009D6E5A"/>
    <w:rsid w:val="009E04DC"/>
    <w:rsid w:val="009E186E"/>
    <w:rsid w:val="009E506A"/>
    <w:rsid w:val="009E55E3"/>
    <w:rsid w:val="009E5F18"/>
    <w:rsid w:val="009E6480"/>
    <w:rsid w:val="009F0C71"/>
    <w:rsid w:val="009F23A9"/>
    <w:rsid w:val="009F3323"/>
    <w:rsid w:val="009F35B2"/>
    <w:rsid w:val="009F37E0"/>
    <w:rsid w:val="009F3949"/>
    <w:rsid w:val="009F4BE6"/>
    <w:rsid w:val="009F542A"/>
    <w:rsid w:val="009F5B76"/>
    <w:rsid w:val="009F7246"/>
    <w:rsid w:val="009F76E1"/>
    <w:rsid w:val="00A005FE"/>
    <w:rsid w:val="00A00D48"/>
    <w:rsid w:val="00A02539"/>
    <w:rsid w:val="00A027C5"/>
    <w:rsid w:val="00A02ECD"/>
    <w:rsid w:val="00A0525A"/>
    <w:rsid w:val="00A05A54"/>
    <w:rsid w:val="00A06796"/>
    <w:rsid w:val="00A107B9"/>
    <w:rsid w:val="00A11943"/>
    <w:rsid w:val="00A136D8"/>
    <w:rsid w:val="00A14FAC"/>
    <w:rsid w:val="00A1618B"/>
    <w:rsid w:val="00A17FD1"/>
    <w:rsid w:val="00A217E8"/>
    <w:rsid w:val="00A25382"/>
    <w:rsid w:val="00A26344"/>
    <w:rsid w:val="00A27A80"/>
    <w:rsid w:val="00A369E8"/>
    <w:rsid w:val="00A3718B"/>
    <w:rsid w:val="00A40285"/>
    <w:rsid w:val="00A4439B"/>
    <w:rsid w:val="00A445B0"/>
    <w:rsid w:val="00A447F5"/>
    <w:rsid w:val="00A50663"/>
    <w:rsid w:val="00A51110"/>
    <w:rsid w:val="00A51FBD"/>
    <w:rsid w:val="00A557F7"/>
    <w:rsid w:val="00A561BC"/>
    <w:rsid w:val="00A56B92"/>
    <w:rsid w:val="00A56BEC"/>
    <w:rsid w:val="00A6039E"/>
    <w:rsid w:val="00A61328"/>
    <w:rsid w:val="00A619BC"/>
    <w:rsid w:val="00A64877"/>
    <w:rsid w:val="00A650D2"/>
    <w:rsid w:val="00A66CDD"/>
    <w:rsid w:val="00A67026"/>
    <w:rsid w:val="00A81192"/>
    <w:rsid w:val="00A825D8"/>
    <w:rsid w:val="00A82DD1"/>
    <w:rsid w:val="00A85BDF"/>
    <w:rsid w:val="00A86132"/>
    <w:rsid w:val="00A87163"/>
    <w:rsid w:val="00A902D0"/>
    <w:rsid w:val="00A92306"/>
    <w:rsid w:val="00A94F6E"/>
    <w:rsid w:val="00A96F27"/>
    <w:rsid w:val="00A97C3E"/>
    <w:rsid w:val="00AA533A"/>
    <w:rsid w:val="00AA5966"/>
    <w:rsid w:val="00AA5C78"/>
    <w:rsid w:val="00AA747C"/>
    <w:rsid w:val="00AB0D87"/>
    <w:rsid w:val="00AB10B7"/>
    <w:rsid w:val="00AB1A57"/>
    <w:rsid w:val="00AB2409"/>
    <w:rsid w:val="00AC1733"/>
    <w:rsid w:val="00AC3AFC"/>
    <w:rsid w:val="00AC46EF"/>
    <w:rsid w:val="00AC6D8B"/>
    <w:rsid w:val="00AC6F65"/>
    <w:rsid w:val="00AD03D3"/>
    <w:rsid w:val="00AD0A50"/>
    <w:rsid w:val="00AD0C59"/>
    <w:rsid w:val="00AD24E6"/>
    <w:rsid w:val="00AD2C63"/>
    <w:rsid w:val="00AD2E2E"/>
    <w:rsid w:val="00AD4B19"/>
    <w:rsid w:val="00AD4C1D"/>
    <w:rsid w:val="00AD57A2"/>
    <w:rsid w:val="00AD5992"/>
    <w:rsid w:val="00AD68B4"/>
    <w:rsid w:val="00AD750D"/>
    <w:rsid w:val="00AE23D9"/>
    <w:rsid w:val="00AE36D0"/>
    <w:rsid w:val="00AE370D"/>
    <w:rsid w:val="00AE3A0E"/>
    <w:rsid w:val="00AE57A1"/>
    <w:rsid w:val="00AE5F17"/>
    <w:rsid w:val="00AE6334"/>
    <w:rsid w:val="00AE74EB"/>
    <w:rsid w:val="00AF0097"/>
    <w:rsid w:val="00AF0741"/>
    <w:rsid w:val="00B005E9"/>
    <w:rsid w:val="00B00C3D"/>
    <w:rsid w:val="00B00F93"/>
    <w:rsid w:val="00B01220"/>
    <w:rsid w:val="00B02E5C"/>
    <w:rsid w:val="00B047FA"/>
    <w:rsid w:val="00B10D54"/>
    <w:rsid w:val="00B11465"/>
    <w:rsid w:val="00B118A7"/>
    <w:rsid w:val="00B1421F"/>
    <w:rsid w:val="00B1443D"/>
    <w:rsid w:val="00B151BE"/>
    <w:rsid w:val="00B16034"/>
    <w:rsid w:val="00B21DBB"/>
    <w:rsid w:val="00B23167"/>
    <w:rsid w:val="00B2329D"/>
    <w:rsid w:val="00B24901"/>
    <w:rsid w:val="00B30DBE"/>
    <w:rsid w:val="00B336C3"/>
    <w:rsid w:val="00B33D98"/>
    <w:rsid w:val="00B33D9F"/>
    <w:rsid w:val="00B3534F"/>
    <w:rsid w:val="00B353F7"/>
    <w:rsid w:val="00B35812"/>
    <w:rsid w:val="00B36655"/>
    <w:rsid w:val="00B3756F"/>
    <w:rsid w:val="00B37DE6"/>
    <w:rsid w:val="00B4003F"/>
    <w:rsid w:val="00B40852"/>
    <w:rsid w:val="00B40BBB"/>
    <w:rsid w:val="00B41161"/>
    <w:rsid w:val="00B415AD"/>
    <w:rsid w:val="00B419E7"/>
    <w:rsid w:val="00B465B0"/>
    <w:rsid w:val="00B46C29"/>
    <w:rsid w:val="00B47EB4"/>
    <w:rsid w:val="00B50583"/>
    <w:rsid w:val="00B60692"/>
    <w:rsid w:val="00B65206"/>
    <w:rsid w:val="00B65247"/>
    <w:rsid w:val="00B65629"/>
    <w:rsid w:val="00B67AC4"/>
    <w:rsid w:val="00B747F2"/>
    <w:rsid w:val="00B758FC"/>
    <w:rsid w:val="00B7768B"/>
    <w:rsid w:val="00B81932"/>
    <w:rsid w:val="00B8297B"/>
    <w:rsid w:val="00B84A79"/>
    <w:rsid w:val="00B85E16"/>
    <w:rsid w:val="00B87616"/>
    <w:rsid w:val="00B901FA"/>
    <w:rsid w:val="00B9094B"/>
    <w:rsid w:val="00B92089"/>
    <w:rsid w:val="00B921FE"/>
    <w:rsid w:val="00B95C29"/>
    <w:rsid w:val="00B9608F"/>
    <w:rsid w:val="00BA1402"/>
    <w:rsid w:val="00BA4CE5"/>
    <w:rsid w:val="00BA540E"/>
    <w:rsid w:val="00BA7C91"/>
    <w:rsid w:val="00BB1E97"/>
    <w:rsid w:val="00BB20DD"/>
    <w:rsid w:val="00BB3600"/>
    <w:rsid w:val="00BB38BD"/>
    <w:rsid w:val="00BC0E23"/>
    <w:rsid w:val="00BC20A2"/>
    <w:rsid w:val="00BC368A"/>
    <w:rsid w:val="00BC7F56"/>
    <w:rsid w:val="00BD1C6E"/>
    <w:rsid w:val="00BD2BB7"/>
    <w:rsid w:val="00BD3732"/>
    <w:rsid w:val="00BD40F3"/>
    <w:rsid w:val="00BD4ED2"/>
    <w:rsid w:val="00BD5605"/>
    <w:rsid w:val="00BD5FD7"/>
    <w:rsid w:val="00BD747E"/>
    <w:rsid w:val="00BE00E8"/>
    <w:rsid w:val="00BE1595"/>
    <w:rsid w:val="00BE34D1"/>
    <w:rsid w:val="00BE3F2C"/>
    <w:rsid w:val="00BE54F3"/>
    <w:rsid w:val="00BF0BF5"/>
    <w:rsid w:val="00BF142E"/>
    <w:rsid w:val="00BF4FC6"/>
    <w:rsid w:val="00BF662F"/>
    <w:rsid w:val="00BF7D37"/>
    <w:rsid w:val="00C03482"/>
    <w:rsid w:val="00C053C5"/>
    <w:rsid w:val="00C06425"/>
    <w:rsid w:val="00C10843"/>
    <w:rsid w:val="00C12CCE"/>
    <w:rsid w:val="00C15D2C"/>
    <w:rsid w:val="00C16482"/>
    <w:rsid w:val="00C16DDF"/>
    <w:rsid w:val="00C20333"/>
    <w:rsid w:val="00C26D20"/>
    <w:rsid w:val="00C306CF"/>
    <w:rsid w:val="00C31E01"/>
    <w:rsid w:val="00C33588"/>
    <w:rsid w:val="00C354CE"/>
    <w:rsid w:val="00C445DA"/>
    <w:rsid w:val="00C50E38"/>
    <w:rsid w:val="00C51B90"/>
    <w:rsid w:val="00C57231"/>
    <w:rsid w:val="00C621B6"/>
    <w:rsid w:val="00C6224B"/>
    <w:rsid w:val="00C625F0"/>
    <w:rsid w:val="00C6288B"/>
    <w:rsid w:val="00C6643C"/>
    <w:rsid w:val="00C664F6"/>
    <w:rsid w:val="00C67F69"/>
    <w:rsid w:val="00C70118"/>
    <w:rsid w:val="00C7081A"/>
    <w:rsid w:val="00C72108"/>
    <w:rsid w:val="00C72D6E"/>
    <w:rsid w:val="00C734D1"/>
    <w:rsid w:val="00C73528"/>
    <w:rsid w:val="00C737C1"/>
    <w:rsid w:val="00C75BB5"/>
    <w:rsid w:val="00C76F1A"/>
    <w:rsid w:val="00C76F27"/>
    <w:rsid w:val="00C77EE8"/>
    <w:rsid w:val="00C82D6F"/>
    <w:rsid w:val="00C83B1C"/>
    <w:rsid w:val="00C849A4"/>
    <w:rsid w:val="00C85C82"/>
    <w:rsid w:val="00C86C0E"/>
    <w:rsid w:val="00C87E88"/>
    <w:rsid w:val="00C91ABC"/>
    <w:rsid w:val="00C961D0"/>
    <w:rsid w:val="00C97C00"/>
    <w:rsid w:val="00CA0822"/>
    <w:rsid w:val="00CA4F01"/>
    <w:rsid w:val="00CA6448"/>
    <w:rsid w:val="00CA78FA"/>
    <w:rsid w:val="00CB39C6"/>
    <w:rsid w:val="00CB71AD"/>
    <w:rsid w:val="00CB7280"/>
    <w:rsid w:val="00CB7BBE"/>
    <w:rsid w:val="00CC20AD"/>
    <w:rsid w:val="00CC5178"/>
    <w:rsid w:val="00CC63B2"/>
    <w:rsid w:val="00CD169C"/>
    <w:rsid w:val="00CD3C0D"/>
    <w:rsid w:val="00CD3E0B"/>
    <w:rsid w:val="00CD4964"/>
    <w:rsid w:val="00CD557A"/>
    <w:rsid w:val="00CD58F9"/>
    <w:rsid w:val="00CD7A61"/>
    <w:rsid w:val="00CE227E"/>
    <w:rsid w:val="00CE2395"/>
    <w:rsid w:val="00CE3A01"/>
    <w:rsid w:val="00CE6F7A"/>
    <w:rsid w:val="00CF11DA"/>
    <w:rsid w:val="00CF179D"/>
    <w:rsid w:val="00D0279C"/>
    <w:rsid w:val="00D027D8"/>
    <w:rsid w:val="00D03105"/>
    <w:rsid w:val="00D038BB"/>
    <w:rsid w:val="00D04ADE"/>
    <w:rsid w:val="00D05B83"/>
    <w:rsid w:val="00D05FCF"/>
    <w:rsid w:val="00D072C7"/>
    <w:rsid w:val="00D10CE3"/>
    <w:rsid w:val="00D11572"/>
    <w:rsid w:val="00D12962"/>
    <w:rsid w:val="00D14C97"/>
    <w:rsid w:val="00D156D9"/>
    <w:rsid w:val="00D15E31"/>
    <w:rsid w:val="00D2077E"/>
    <w:rsid w:val="00D20DF2"/>
    <w:rsid w:val="00D20E5D"/>
    <w:rsid w:val="00D227D5"/>
    <w:rsid w:val="00D22D2A"/>
    <w:rsid w:val="00D232D1"/>
    <w:rsid w:val="00D260D6"/>
    <w:rsid w:val="00D261F7"/>
    <w:rsid w:val="00D2687C"/>
    <w:rsid w:val="00D269B2"/>
    <w:rsid w:val="00D3286C"/>
    <w:rsid w:val="00D37D7F"/>
    <w:rsid w:val="00D4016D"/>
    <w:rsid w:val="00D40C83"/>
    <w:rsid w:val="00D41D2B"/>
    <w:rsid w:val="00D420E1"/>
    <w:rsid w:val="00D43A29"/>
    <w:rsid w:val="00D43C8E"/>
    <w:rsid w:val="00D442F0"/>
    <w:rsid w:val="00D4613E"/>
    <w:rsid w:val="00D469CB"/>
    <w:rsid w:val="00D478C7"/>
    <w:rsid w:val="00D5049F"/>
    <w:rsid w:val="00D50A1E"/>
    <w:rsid w:val="00D52300"/>
    <w:rsid w:val="00D53C6C"/>
    <w:rsid w:val="00D57C98"/>
    <w:rsid w:val="00D6007E"/>
    <w:rsid w:val="00D60FE3"/>
    <w:rsid w:val="00D61CDA"/>
    <w:rsid w:val="00D622B4"/>
    <w:rsid w:val="00D6252D"/>
    <w:rsid w:val="00D63427"/>
    <w:rsid w:val="00D667A7"/>
    <w:rsid w:val="00D72B83"/>
    <w:rsid w:val="00D76C76"/>
    <w:rsid w:val="00D80483"/>
    <w:rsid w:val="00D813E5"/>
    <w:rsid w:val="00D82A35"/>
    <w:rsid w:val="00D82EF9"/>
    <w:rsid w:val="00D83DF2"/>
    <w:rsid w:val="00D83F83"/>
    <w:rsid w:val="00D8439F"/>
    <w:rsid w:val="00D86751"/>
    <w:rsid w:val="00D93246"/>
    <w:rsid w:val="00D94AC2"/>
    <w:rsid w:val="00D9651E"/>
    <w:rsid w:val="00D9721D"/>
    <w:rsid w:val="00DA0D13"/>
    <w:rsid w:val="00DA2939"/>
    <w:rsid w:val="00DA3F1B"/>
    <w:rsid w:val="00DA59C0"/>
    <w:rsid w:val="00DA64D6"/>
    <w:rsid w:val="00DB08FC"/>
    <w:rsid w:val="00DB196A"/>
    <w:rsid w:val="00DB5060"/>
    <w:rsid w:val="00DC08F8"/>
    <w:rsid w:val="00DC178F"/>
    <w:rsid w:val="00DC24AA"/>
    <w:rsid w:val="00DC3FC0"/>
    <w:rsid w:val="00DC435D"/>
    <w:rsid w:val="00DC4E10"/>
    <w:rsid w:val="00DC5BB2"/>
    <w:rsid w:val="00DD0B77"/>
    <w:rsid w:val="00DD37C0"/>
    <w:rsid w:val="00DD406A"/>
    <w:rsid w:val="00DD5604"/>
    <w:rsid w:val="00DD5A57"/>
    <w:rsid w:val="00DE2A37"/>
    <w:rsid w:val="00DE2A44"/>
    <w:rsid w:val="00DE35D5"/>
    <w:rsid w:val="00DE3F2A"/>
    <w:rsid w:val="00DE3F64"/>
    <w:rsid w:val="00DE5CB3"/>
    <w:rsid w:val="00DE5E03"/>
    <w:rsid w:val="00DF0C79"/>
    <w:rsid w:val="00DF5182"/>
    <w:rsid w:val="00DF705F"/>
    <w:rsid w:val="00DF7885"/>
    <w:rsid w:val="00E0064F"/>
    <w:rsid w:val="00E016A7"/>
    <w:rsid w:val="00E01DD9"/>
    <w:rsid w:val="00E023C6"/>
    <w:rsid w:val="00E04347"/>
    <w:rsid w:val="00E062D0"/>
    <w:rsid w:val="00E06E52"/>
    <w:rsid w:val="00E104D1"/>
    <w:rsid w:val="00E1111D"/>
    <w:rsid w:val="00E124F7"/>
    <w:rsid w:val="00E13220"/>
    <w:rsid w:val="00E17A6B"/>
    <w:rsid w:val="00E17CF2"/>
    <w:rsid w:val="00E22255"/>
    <w:rsid w:val="00E245FB"/>
    <w:rsid w:val="00E26C75"/>
    <w:rsid w:val="00E270B1"/>
    <w:rsid w:val="00E30ADC"/>
    <w:rsid w:val="00E3404B"/>
    <w:rsid w:val="00E35BF3"/>
    <w:rsid w:val="00E36FC0"/>
    <w:rsid w:val="00E37503"/>
    <w:rsid w:val="00E40BAB"/>
    <w:rsid w:val="00E42130"/>
    <w:rsid w:val="00E43146"/>
    <w:rsid w:val="00E44583"/>
    <w:rsid w:val="00E4591D"/>
    <w:rsid w:val="00E5039A"/>
    <w:rsid w:val="00E51928"/>
    <w:rsid w:val="00E528FB"/>
    <w:rsid w:val="00E53A0C"/>
    <w:rsid w:val="00E54109"/>
    <w:rsid w:val="00E54553"/>
    <w:rsid w:val="00E603E0"/>
    <w:rsid w:val="00E66872"/>
    <w:rsid w:val="00E67466"/>
    <w:rsid w:val="00E72D57"/>
    <w:rsid w:val="00E738D8"/>
    <w:rsid w:val="00E74C71"/>
    <w:rsid w:val="00E7755A"/>
    <w:rsid w:val="00E85518"/>
    <w:rsid w:val="00E87D22"/>
    <w:rsid w:val="00E91439"/>
    <w:rsid w:val="00E95BAD"/>
    <w:rsid w:val="00E9723E"/>
    <w:rsid w:val="00E97DBF"/>
    <w:rsid w:val="00E97E65"/>
    <w:rsid w:val="00E97FD7"/>
    <w:rsid w:val="00EA0125"/>
    <w:rsid w:val="00EA103C"/>
    <w:rsid w:val="00EA26B2"/>
    <w:rsid w:val="00EA3CB1"/>
    <w:rsid w:val="00EA5E56"/>
    <w:rsid w:val="00EA6288"/>
    <w:rsid w:val="00EB4480"/>
    <w:rsid w:val="00EB65CB"/>
    <w:rsid w:val="00EC2637"/>
    <w:rsid w:val="00EC30A4"/>
    <w:rsid w:val="00EC35EC"/>
    <w:rsid w:val="00EC69AD"/>
    <w:rsid w:val="00EC70B9"/>
    <w:rsid w:val="00ED0BA8"/>
    <w:rsid w:val="00ED1234"/>
    <w:rsid w:val="00ED1F18"/>
    <w:rsid w:val="00ED304A"/>
    <w:rsid w:val="00ED5A2A"/>
    <w:rsid w:val="00ED5EB0"/>
    <w:rsid w:val="00ED601E"/>
    <w:rsid w:val="00EE1284"/>
    <w:rsid w:val="00EE250B"/>
    <w:rsid w:val="00EE2F3F"/>
    <w:rsid w:val="00EE5369"/>
    <w:rsid w:val="00EE7061"/>
    <w:rsid w:val="00EE7135"/>
    <w:rsid w:val="00EF020D"/>
    <w:rsid w:val="00EF0356"/>
    <w:rsid w:val="00F00832"/>
    <w:rsid w:val="00F02710"/>
    <w:rsid w:val="00F0436D"/>
    <w:rsid w:val="00F054C5"/>
    <w:rsid w:val="00F05F44"/>
    <w:rsid w:val="00F060E8"/>
    <w:rsid w:val="00F062CF"/>
    <w:rsid w:val="00F06D3D"/>
    <w:rsid w:val="00F10156"/>
    <w:rsid w:val="00F11CFE"/>
    <w:rsid w:val="00F12CCD"/>
    <w:rsid w:val="00F13BEC"/>
    <w:rsid w:val="00F14109"/>
    <w:rsid w:val="00F210CB"/>
    <w:rsid w:val="00F21BD0"/>
    <w:rsid w:val="00F226B1"/>
    <w:rsid w:val="00F2318C"/>
    <w:rsid w:val="00F23529"/>
    <w:rsid w:val="00F2432F"/>
    <w:rsid w:val="00F26C92"/>
    <w:rsid w:val="00F348F5"/>
    <w:rsid w:val="00F35EE8"/>
    <w:rsid w:val="00F37535"/>
    <w:rsid w:val="00F379F3"/>
    <w:rsid w:val="00F404E1"/>
    <w:rsid w:val="00F40DDB"/>
    <w:rsid w:val="00F41EC4"/>
    <w:rsid w:val="00F50D78"/>
    <w:rsid w:val="00F52212"/>
    <w:rsid w:val="00F612BA"/>
    <w:rsid w:val="00F61B59"/>
    <w:rsid w:val="00F62A55"/>
    <w:rsid w:val="00F6343D"/>
    <w:rsid w:val="00F65912"/>
    <w:rsid w:val="00F65BFC"/>
    <w:rsid w:val="00F706D0"/>
    <w:rsid w:val="00F76A43"/>
    <w:rsid w:val="00F80C43"/>
    <w:rsid w:val="00F842B2"/>
    <w:rsid w:val="00F846CC"/>
    <w:rsid w:val="00F95F06"/>
    <w:rsid w:val="00F96682"/>
    <w:rsid w:val="00FA2968"/>
    <w:rsid w:val="00FA6080"/>
    <w:rsid w:val="00FA6446"/>
    <w:rsid w:val="00FA74E5"/>
    <w:rsid w:val="00FA7D71"/>
    <w:rsid w:val="00FB20FB"/>
    <w:rsid w:val="00FB2570"/>
    <w:rsid w:val="00FB37AF"/>
    <w:rsid w:val="00FB7035"/>
    <w:rsid w:val="00FB73E6"/>
    <w:rsid w:val="00FC3B09"/>
    <w:rsid w:val="00FC46E5"/>
    <w:rsid w:val="00FC61E5"/>
    <w:rsid w:val="00FC6FB3"/>
    <w:rsid w:val="00FC741F"/>
    <w:rsid w:val="00FD006A"/>
    <w:rsid w:val="00FD03F7"/>
    <w:rsid w:val="00FD06C8"/>
    <w:rsid w:val="00FD16F1"/>
    <w:rsid w:val="00FD1DC3"/>
    <w:rsid w:val="00FD25CA"/>
    <w:rsid w:val="00FD29A0"/>
    <w:rsid w:val="00FD3107"/>
    <w:rsid w:val="00FD401B"/>
    <w:rsid w:val="00FD6728"/>
    <w:rsid w:val="00FE65DF"/>
    <w:rsid w:val="00FE7115"/>
    <w:rsid w:val="00FF150F"/>
    <w:rsid w:val="00FF3629"/>
    <w:rsid w:val="00FF5D12"/>
    <w:rsid w:val="00FF6293"/>
    <w:rsid w:val="00FF7D06"/>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FCCDE"/>
  <w15:docId w15:val="{892AF6A4-FBB1-47B3-87E0-67FB587E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JM"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20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paragraph" w:styleId="TOCHeading">
    <w:name w:val="TOC Heading"/>
    <w:basedOn w:val="Heading1"/>
    <w:next w:val="Normal"/>
    <w:uiPriority w:val="39"/>
    <w:unhideWhenUsed/>
    <w:qFormat/>
    <w:rsid w:val="000500CB"/>
    <w:pPr>
      <w:outlineLvl w:val="9"/>
    </w:pPr>
  </w:style>
  <w:style w:type="character" w:customStyle="1" w:styleId="Heading2Char">
    <w:name w:val="Heading 2 Char"/>
    <w:basedOn w:val="DefaultParagraphFont"/>
    <w:link w:val="Heading2"/>
    <w:uiPriority w:val="9"/>
    <w:rsid w:val="00852044"/>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C43778"/>
    <w:pPr>
      <w:spacing w:after="100"/>
    </w:pPr>
  </w:style>
  <w:style w:type="paragraph" w:styleId="TOC2">
    <w:name w:val="toc 2"/>
    <w:basedOn w:val="Normal"/>
    <w:next w:val="Normal"/>
    <w:autoRedefine/>
    <w:uiPriority w:val="39"/>
    <w:unhideWhenUsed/>
    <w:rsid w:val="00C43778"/>
    <w:pPr>
      <w:spacing w:after="100"/>
      <w:ind w:left="220"/>
    </w:pPr>
  </w:style>
  <w:style w:type="character" w:styleId="Emphasis">
    <w:name w:val="Emphasis"/>
    <w:basedOn w:val="DefaultParagraphFont"/>
    <w:uiPriority w:val="20"/>
    <w:qFormat/>
    <w:rsid w:val="00FB135D"/>
    <w:rPr>
      <w:i/>
      <w:iCs/>
    </w:rPr>
  </w:style>
  <w:style w:type="character" w:customStyle="1" w:styleId="httpsjisgovjm9-9-per-cent-increase-in-domestic-crop-production-for-2022">
    <w:name w:val="https://jis.gov.jm/9-9-per-cent-increase-in-domestic-crop-production-for-2022/"/>
    <w:basedOn w:val="DefaultParagraphFont"/>
    <w:rsid w:val="00FB135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C1058"/>
    <w:rPr>
      <w:b/>
      <w:bCs/>
    </w:rPr>
  </w:style>
  <w:style w:type="character" w:customStyle="1" w:styleId="CommentSubjectChar">
    <w:name w:val="Comment Subject Char"/>
    <w:basedOn w:val="CommentTextChar"/>
    <w:link w:val="CommentSubject"/>
    <w:uiPriority w:val="99"/>
    <w:semiHidden/>
    <w:rsid w:val="003C1058"/>
    <w:rPr>
      <w:b/>
      <w:bCs/>
      <w:sz w:val="20"/>
      <w:szCs w:val="20"/>
    </w:rPr>
  </w:style>
  <w:style w:type="paragraph" w:styleId="ListParagraph">
    <w:name w:val="List Paragraph"/>
    <w:basedOn w:val="Normal"/>
    <w:uiPriority w:val="34"/>
    <w:qFormat/>
    <w:rsid w:val="00B01220"/>
    <w:pPr>
      <w:ind w:left="720"/>
      <w:contextualSpacing/>
    </w:pPr>
  </w:style>
  <w:style w:type="paragraph" w:styleId="TOC3">
    <w:name w:val="toc 3"/>
    <w:basedOn w:val="Normal"/>
    <w:next w:val="Normal"/>
    <w:autoRedefine/>
    <w:uiPriority w:val="39"/>
    <w:unhideWhenUsed/>
    <w:rsid w:val="004F0234"/>
    <w:pPr>
      <w:spacing w:after="100"/>
      <w:ind w:left="440"/>
    </w:pPr>
  </w:style>
  <w:style w:type="character" w:customStyle="1" w:styleId="httpswwweconliborglibraryenc1humancapitalhtml">
    <w:name w:val="https://www.econlib.org/library/enc1/humancapital.html"/>
    <w:basedOn w:val="DefaultParagraphFont"/>
    <w:rsid w:val="00B3756F"/>
  </w:style>
  <w:style w:type="paragraph" w:styleId="Caption">
    <w:name w:val="caption"/>
    <w:basedOn w:val="Normal"/>
    <w:next w:val="Normal"/>
    <w:uiPriority w:val="35"/>
    <w:unhideWhenUsed/>
    <w:qFormat/>
    <w:rsid w:val="00520A93"/>
    <w:pPr>
      <w:spacing w:after="200" w:line="240" w:lineRule="auto"/>
    </w:pPr>
    <w:rPr>
      <w:i/>
      <w:iCs/>
      <w:color w:val="44546A" w:themeColor="text2"/>
      <w:sz w:val="18"/>
      <w:szCs w:val="18"/>
    </w:rPr>
  </w:style>
  <w:style w:type="character" w:customStyle="1" w:styleId="httpsopenlibraryokstateeduculturalgeographychapter7-1">
    <w:name w:val="https://open.library.okstate.edu/culturalgeography/chapter/7-1/"/>
    <w:basedOn w:val="DefaultParagraphFont"/>
    <w:rsid w:val="00855F36"/>
  </w:style>
  <w:style w:type="character" w:styleId="UnresolvedMention">
    <w:name w:val="Unresolved Mention"/>
    <w:basedOn w:val="DefaultParagraphFont"/>
    <w:uiPriority w:val="99"/>
    <w:semiHidden/>
    <w:unhideWhenUsed/>
    <w:rsid w:val="00BE3F2C"/>
    <w:rPr>
      <w:color w:val="605E5C"/>
      <w:shd w:val="clear" w:color="auto" w:fill="E1DFDD"/>
    </w:rPr>
  </w:style>
  <w:style w:type="character" w:customStyle="1" w:styleId="httpswwwiloorgwcmsp5groupspublic---edemp---ifpskillsdocumentspublicationwcms831372pdf">
    <w:name w:val="https://www.ilo.org/wcmsp5/groups/public/---ed_emp/---ifp_skills/documents/publication/wcms_831372.pdf"/>
    <w:basedOn w:val="DefaultParagraphFont"/>
    <w:rsid w:val="00A61328"/>
  </w:style>
  <w:style w:type="character" w:customStyle="1" w:styleId="httpsdocumentsworldbankorgenpublicationdocuments-reportsdocumentdetail492221468136792185main-report">
    <w:name w:val="https://documents.worldbank.org/en/publication/documents-reports/documentdetail/492221468136792185/main-report"/>
    <w:basedOn w:val="DefaultParagraphFont"/>
    <w:rsid w:val="00760272"/>
  </w:style>
  <w:style w:type="character" w:styleId="PlaceholderText">
    <w:name w:val="Placeholder Text"/>
    <w:basedOn w:val="DefaultParagraphFont"/>
    <w:uiPriority w:val="99"/>
    <w:semiHidden/>
    <w:rsid w:val="006A5FFC"/>
    <w:rPr>
      <w:color w:val="808080"/>
    </w:rPr>
  </w:style>
  <w:style w:type="paragraph" w:styleId="TableofFigures">
    <w:name w:val="table of figures"/>
    <w:basedOn w:val="Normal"/>
    <w:next w:val="Normal"/>
    <w:uiPriority w:val="99"/>
    <w:unhideWhenUsed/>
    <w:rsid w:val="00DC24AA"/>
    <w:pPr>
      <w:spacing w:after="0"/>
    </w:pPr>
  </w:style>
  <w:style w:type="table" w:styleId="TableGrid">
    <w:name w:val="Table Grid"/>
    <w:basedOn w:val="TableNormal"/>
    <w:uiPriority w:val="39"/>
    <w:rsid w:val="00345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4890">
      <w:bodyDiv w:val="1"/>
      <w:marLeft w:val="0"/>
      <w:marRight w:val="0"/>
      <w:marTop w:val="0"/>
      <w:marBottom w:val="0"/>
      <w:divBdr>
        <w:top w:val="none" w:sz="0" w:space="0" w:color="auto"/>
        <w:left w:val="none" w:sz="0" w:space="0" w:color="auto"/>
        <w:bottom w:val="none" w:sz="0" w:space="0" w:color="auto"/>
        <w:right w:val="none" w:sz="0" w:space="0" w:color="auto"/>
      </w:divBdr>
      <w:divsChild>
        <w:div w:id="2033456443">
          <w:marLeft w:val="0"/>
          <w:marRight w:val="0"/>
          <w:marTop w:val="0"/>
          <w:marBottom w:val="0"/>
          <w:divBdr>
            <w:top w:val="none" w:sz="0" w:space="0" w:color="auto"/>
            <w:left w:val="none" w:sz="0" w:space="0" w:color="auto"/>
            <w:bottom w:val="none" w:sz="0" w:space="0" w:color="auto"/>
            <w:right w:val="none" w:sz="0" w:space="0" w:color="auto"/>
          </w:divBdr>
        </w:div>
      </w:divsChild>
    </w:div>
    <w:div w:id="154272981">
      <w:bodyDiv w:val="1"/>
      <w:marLeft w:val="0"/>
      <w:marRight w:val="0"/>
      <w:marTop w:val="0"/>
      <w:marBottom w:val="0"/>
      <w:divBdr>
        <w:top w:val="none" w:sz="0" w:space="0" w:color="auto"/>
        <w:left w:val="none" w:sz="0" w:space="0" w:color="auto"/>
        <w:bottom w:val="none" w:sz="0" w:space="0" w:color="auto"/>
        <w:right w:val="none" w:sz="0" w:space="0" w:color="auto"/>
      </w:divBdr>
      <w:divsChild>
        <w:div w:id="1729455305">
          <w:marLeft w:val="0"/>
          <w:marRight w:val="0"/>
          <w:marTop w:val="0"/>
          <w:marBottom w:val="0"/>
          <w:divBdr>
            <w:top w:val="none" w:sz="0" w:space="0" w:color="auto"/>
            <w:left w:val="none" w:sz="0" w:space="0" w:color="auto"/>
            <w:bottom w:val="none" w:sz="0" w:space="0" w:color="auto"/>
            <w:right w:val="none" w:sz="0" w:space="0" w:color="auto"/>
          </w:divBdr>
        </w:div>
      </w:divsChild>
    </w:div>
    <w:div w:id="304434403">
      <w:bodyDiv w:val="1"/>
      <w:marLeft w:val="0"/>
      <w:marRight w:val="0"/>
      <w:marTop w:val="0"/>
      <w:marBottom w:val="0"/>
      <w:divBdr>
        <w:top w:val="none" w:sz="0" w:space="0" w:color="auto"/>
        <w:left w:val="none" w:sz="0" w:space="0" w:color="auto"/>
        <w:bottom w:val="none" w:sz="0" w:space="0" w:color="auto"/>
        <w:right w:val="none" w:sz="0" w:space="0" w:color="auto"/>
      </w:divBdr>
      <w:divsChild>
        <w:div w:id="1436054423">
          <w:marLeft w:val="0"/>
          <w:marRight w:val="0"/>
          <w:marTop w:val="0"/>
          <w:marBottom w:val="0"/>
          <w:divBdr>
            <w:top w:val="none" w:sz="0" w:space="0" w:color="auto"/>
            <w:left w:val="none" w:sz="0" w:space="0" w:color="auto"/>
            <w:bottom w:val="none" w:sz="0" w:space="0" w:color="auto"/>
            <w:right w:val="none" w:sz="0" w:space="0" w:color="auto"/>
          </w:divBdr>
        </w:div>
      </w:divsChild>
    </w:div>
    <w:div w:id="364597734">
      <w:bodyDiv w:val="1"/>
      <w:marLeft w:val="0"/>
      <w:marRight w:val="0"/>
      <w:marTop w:val="0"/>
      <w:marBottom w:val="0"/>
      <w:divBdr>
        <w:top w:val="none" w:sz="0" w:space="0" w:color="auto"/>
        <w:left w:val="none" w:sz="0" w:space="0" w:color="auto"/>
        <w:bottom w:val="none" w:sz="0" w:space="0" w:color="auto"/>
        <w:right w:val="none" w:sz="0" w:space="0" w:color="auto"/>
      </w:divBdr>
      <w:divsChild>
        <w:div w:id="729428249">
          <w:marLeft w:val="0"/>
          <w:marRight w:val="0"/>
          <w:marTop w:val="0"/>
          <w:marBottom w:val="0"/>
          <w:divBdr>
            <w:top w:val="none" w:sz="0" w:space="0" w:color="auto"/>
            <w:left w:val="none" w:sz="0" w:space="0" w:color="auto"/>
            <w:bottom w:val="none" w:sz="0" w:space="0" w:color="auto"/>
            <w:right w:val="none" w:sz="0" w:space="0" w:color="auto"/>
          </w:divBdr>
        </w:div>
      </w:divsChild>
    </w:div>
    <w:div w:id="370573065">
      <w:bodyDiv w:val="1"/>
      <w:marLeft w:val="0"/>
      <w:marRight w:val="0"/>
      <w:marTop w:val="0"/>
      <w:marBottom w:val="0"/>
      <w:divBdr>
        <w:top w:val="none" w:sz="0" w:space="0" w:color="auto"/>
        <w:left w:val="none" w:sz="0" w:space="0" w:color="auto"/>
        <w:bottom w:val="none" w:sz="0" w:space="0" w:color="auto"/>
        <w:right w:val="none" w:sz="0" w:space="0" w:color="auto"/>
      </w:divBdr>
      <w:divsChild>
        <w:div w:id="975404678">
          <w:marLeft w:val="0"/>
          <w:marRight w:val="0"/>
          <w:marTop w:val="0"/>
          <w:marBottom w:val="0"/>
          <w:divBdr>
            <w:top w:val="none" w:sz="0" w:space="0" w:color="auto"/>
            <w:left w:val="none" w:sz="0" w:space="0" w:color="auto"/>
            <w:bottom w:val="none" w:sz="0" w:space="0" w:color="auto"/>
            <w:right w:val="none" w:sz="0" w:space="0" w:color="auto"/>
          </w:divBdr>
        </w:div>
      </w:divsChild>
    </w:div>
    <w:div w:id="491068632">
      <w:bodyDiv w:val="1"/>
      <w:marLeft w:val="0"/>
      <w:marRight w:val="0"/>
      <w:marTop w:val="0"/>
      <w:marBottom w:val="0"/>
      <w:divBdr>
        <w:top w:val="none" w:sz="0" w:space="0" w:color="auto"/>
        <w:left w:val="none" w:sz="0" w:space="0" w:color="auto"/>
        <w:bottom w:val="none" w:sz="0" w:space="0" w:color="auto"/>
        <w:right w:val="none" w:sz="0" w:space="0" w:color="auto"/>
      </w:divBdr>
      <w:divsChild>
        <w:div w:id="1701281658">
          <w:marLeft w:val="0"/>
          <w:marRight w:val="0"/>
          <w:marTop w:val="0"/>
          <w:marBottom w:val="0"/>
          <w:divBdr>
            <w:top w:val="none" w:sz="0" w:space="0" w:color="auto"/>
            <w:left w:val="none" w:sz="0" w:space="0" w:color="auto"/>
            <w:bottom w:val="none" w:sz="0" w:space="0" w:color="auto"/>
            <w:right w:val="none" w:sz="0" w:space="0" w:color="auto"/>
          </w:divBdr>
        </w:div>
      </w:divsChild>
    </w:div>
    <w:div w:id="518936440">
      <w:bodyDiv w:val="1"/>
      <w:marLeft w:val="0"/>
      <w:marRight w:val="0"/>
      <w:marTop w:val="0"/>
      <w:marBottom w:val="0"/>
      <w:divBdr>
        <w:top w:val="none" w:sz="0" w:space="0" w:color="auto"/>
        <w:left w:val="none" w:sz="0" w:space="0" w:color="auto"/>
        <w:bottom w:val="none" w:sz="0" w:space="0" w:color="auto"/>
        <w:right w:val="none" w:sz="0" w:space="0" w:color="auto"/>
      </w:divBdr>
      <w:divsChild>
        <w:div w:id="1140465053">
          <w:marLeft w:val="0"/>
          <w:marRight w:val="0"/>
          <w:marTop w:val="0"/>
          <w:marBottom w:val="0"/>
          <w:divBdr>
            <w:top w:val="none" w:sz="0" w:space="0" w:color="auto"/>
            <w:left w:val="none" w:sz="0" w:space="0" w:color="auto"/>
            <w:bottom w:val="none" w:sz="0" w:space="0" w:color="auto"/>
            <w:right w:val="none" w:sz="0" w:space="0" w:color="auto"/>
          </w:divBdr>
        </w:div>
      </w:divsChild>
    </w:div>
    <w:div w:id="555243099">
      <w:bodyDiv w:val="1"/>
      <w:marLeft w:val="0"/>
      <w:marRight w:val="0"/>
      <w:marTop w:val="0"/>
      <w:marBottom w:val="0"/>
      <w:divBdr>
        <w:top w:val="none" w:sz="0" w:space="0" w:color="auto"/>
        <w:left w:val="none" w:sz="0" w:space="0" w:color="auto"/>
        <w:bottom w:val="none" w:sz="0" w:space="0" w:color="auto"/>
        <w:right w:val="none" w:sz="0" w:space="0" w:color="auto"/>
      </w:divBdr>
      <w:divsChild>
        <w:div w:id="697000524">
          <w:marLeft w:val="0"/>
          <w:marRight w:val="0"/>
          <w:marTop w:val="0"/>
          <w:marBottom w:val="0"/>
          <w:divBdr>
            <w:top w:val="none" w:sz="0" w:space="0" w:color="auto"/>
            <w:left w:val="none" w:sz="0" w:space="0" w:color="auto"/>
            <w:bottom w:val="none" w:sz="0" w:space="0" w:color="auto"/>
            <w:right w:val="none" w:sz="0" w:space="0" w:color="auto"/>
          </w:divBdr>
        </w:div>
      </w:divsChild>
    </w:div>
    <w:div w:id="595594658">
      <w:bodyDiv w:val="1"/>
      <w:marLeft w:val="0"/>
      <w:marRight w:val="0"/>
      <w:marTop w:val="0"/>
      <w:marBottom w:val="0"/>
      <w:divBdr>
        <w:top w:val="none" w:sz="0" w:space="0" w:color="auto"/>
        <w:left w:val="none" w:sz="0" w:space="0" w:color="auto"/>
        <w:bottom w:val="none" w:sz="0" w:space="0" w:color="auto"/>
        <w:right w:val="none" w:sz="0" w:space="0" w:color="auto"/>
      </w:divBdr>
      <w:divsChild>
        <w:div w:id="1865901134">
          <w:marLeft w:val="0"/>
          <w:marRight w:val="0"/>
          <w:marTop w:val="0"/>
          <w:marBottom w:val="0"/>
          <w:divBdr>
            <w:top w:val="none" w:sz="0" w:space="0" w:color="auto"/>
            <w:left w:val="none" w:sz="0" w:space="0" w:color="auto"/>
            <w:bottom w:val="none" w:sz="0" w:space="0" w:color="auto"/>
            <w:right w:val="none" w:sz="0" w:space="0" w:color="auto"/>
          </w:divBdr>
        </w:div>
        <w:div w:id="827402237">
          <w:marLeft w:val="0"/>
          <w:marRight w:val="0"/>
          <w:marTop w:val="0"/>
          <w:marBottom w:val="0"/>
          <w:divBdr>
            <w:top w:val="none" w:sz="0" w:space="0" w:color="auto"/>
            <w:left w:val="none" w:sz="0" w:space="0" w:color="auto"/>
            <w:bottom w:val="none" w:sz="0" w:space="0" w:color="auto"/>
            <w:right w:val="none" w:sz="0" w:space="0" w:color="auto"/>
          </w:divBdr>
        </w:div>
        <w:div w:id="490367454">
          <w:marLeft w:val="0"/>
          <w:marRight w:val="0"/>
          <w:marTop w:val="0"/>
          <w:marBottom w:val="0"/>
          <w:divBdr>
            <w:top w:val="none" w:sz="0" w:space="0" w:color="auto"/>
            <w:left w:val="none" w:sz="0" w:space="0" w:color="auto"/>
            <w:bottom w:val="none" w:sz="0" w:space="0" w:color="auto"/>
            <w:right w:val="none" w:sz="0" w:space="0" w:color="auto"/>
          </w:divBdr>
        </w:div>
      </w:divsChild>
    </w:div>
    <w:div w:id="810484383">
      <w:bodyDiv w:val="1"/>
      <w:marLeft w:val="0"/>
      <w:marRight w:val="0"/>
      <w:marTop w:val="0"/>
      <w:marBottom w:val="0"/>
      <w:divBdr>
        <w:top w:val="none" w:sz="0" w:space="0" w:color="auto"/>
        <w:left w:val="none" w:sz="0" w:space="0" w:color="auto"/>
        <w:bottom w:val="none" w:sz="0" w:space="0" w:color="auto"/>
        <w:right w:val="none" w:sz="0" w:space="0" w:color="auto"/>
      </w:divBdr>
    </w:div>
    <w:div w:id="870266232">
      <w:bodyDiv w:val="1"/>
      <w:marLeft w:val="0"/>
      <w:marRight w:val="0"/>
      <w:marTop w:val="0"/>
      <w:marBottom w:val="0"/>
      <w:divBdr>
        <w:top w:val="none" w:sz="0" w:space="0" w:color="auto"/>
        <w:left w:val="none" w:sz="0" w:space="0" w:color="auto"/>
        <w:bottom w:val="none" w:sz="0" w:space="0" w:color="auto"/>
        <w:right w:val="none" w:sz="0" w:space="0" w:color="auto"/>
      </w:divBdr>
      <w:divsChild>
        <w:div w:id="1305701352">
          <w:marLeft w:val="0"/>
          <w:marRight w:val="0"/>
          <w:marTop w:val="0"/>
          <w:marBottom w:val="0"/>
          <w:divBdr>
            <w:top w:val="none" w:sz="0" w:space="0" w:color="auto"/>
            <w:left w:val="none" w:sz="0" w:space="0" w:color="auto"/>
            <w:bottom w:val="none" w:sz="0" w:space="0" w:color="auto"/>
            <w:right w:val="none" w:sz="0" w:space="0" w:color="auto"/>
          </w:divBdr>
        </w:div>
      </w:divsChild>
    </w:div>
    <w:div w:id="962226974">
      <w:bodyDiv w:val="1"/>
      <w:marLeft w:val="0"/>
      <w:marRight w:val="0"/>
      <w:marTop w:val="0"/>
      <w:marBottom w:val="0"/>
      <w:divBdr>
        <w:top w:val="none" w:sz="0" w:space="0" w:color="auto"/>
        <w:left w:val="none" w:sz="0" w:space="0" w:color="auto"/>
        <w:bottom w:val="none" w:sz="0" w:space="0" w:color="auto"/>
        <w:right w:val="none" w:sz="0" w:space="0" w:color="auto"/>
      </w:divBdr>
      <w:divsChild>
        <w:div w:id="2135438835">
          <w:marLeft w:val="0"/>
          <w:marRight w:val="0"/>
          <w:marTop w:val="0"/>
          <w:marBottom w:val="0"/>
          <w:divBdr>
            <w:top w:val="none" w:sz="0" w:space="0" w:color="auto"/>
            <w:left w:val="none" w:sz="0" w:space="0" w:color="auto"/>
            <w:bottom w:val="none" w:sz="0" w:space="0" w:color="auto"/>
            <w:right w:val="none" w:sz="0" w:space="0" w:color="auto"/>
          </w:divBdr>
        </w:div>
      </w:divsChild>
    </w:div>
    <w:div w:id="1174759128">
      <w:bodyDiv w:val="1"/>
      <w:marLeft w:val="0"/>
      <w:marRight w:val="0"/>
      <w:marTop w:val="0"/>
      <w:marBottom w:val="0"/>
      <w:divBdr>
        <w:top w:val="none" w:sz="0" w:space="0" w:color="auto"/>
        <w:left w:val="none" w:sz="0" w:space="0" w:color="auto"/>
        <w:bottom w:val="none" w:sz="0" w:space="0" w:color="auto"/>
        <w:right w:val="none" w:sz="0" w:space="0" w:color="auto"/>
      </w:divBdr>
      <w:divsChild>
        <w:div w:id="1840656522">
          <w:marLeft w:val="0"/>
          <w:marRight w:val="0"/>
          <w:marTop w:val="0"/>
          <w:marBottom w:val="0"/>
          <w:divBdr>
            <w:top w:val="none" w:sz="0" w:space="0" w:color="auto"/>
            <w:left w:val="none" w:sz="0" w:space="0" w:color="auto"/>
            <w:bottom w:val="none" w:sz="0" w:space="0" w:color="auto"/>
            <w:right w:val="none" w:sz="0" w:space="0" w:color="auto"/>
          </w:divBdr>
        </w:div>
      </w:divsChild>
    </w:div>
    <w:div w:id="1175464010">
      <w:bodyDiv w:val="1"/>
      <w:marLeft w:val="0"/>
      <w:marRight w:val="0"/>
      <w:marTop w:val="0"/>
      <w:marBottom w:val="0"/>
      <w:divBdr>
        <w:top w:val="none" w:sz="0" w:space="0" w:color="auto"/>
        <w:left w:val="none" w:sz="0" w:space="0" w:color="auto"/>
        <w:bottom w:val="none" w:sz="0" w:space="0" w:color="auto"/>
        <w:right w:val="none" w:sz="0" w:space="0" w:color="auto"/>
      </w:divBdr>
      <w:divsChild>
        <w:div w:id="79065741">
          <w:marLeft w:val="0"/>
          <w:marRight w:val="0"/>
          <w:marTop w:val="0"/>
          <w:marBottom w:val="0"/>
          <w:divBdr>
            <w:top w:val="none" w:sz="0" w:space="0" w:color="auto"/>
            <w:left w:val="none" w:sz="0" w:space="0" w:color="auto"/>
            <w:bottom w:val="none" w:sz="0" w:space="0" w:color="auto"/>
            <w:right w:val="none" w:sz="0" w:space="0" w:color="auto"/>
          </w:divBdr>
        </w:div>
        <w:div w:id="1024861669">
          <w:marLeft w:val="0"/>
          <w:marRight w:val="0"/>
          <w:marTop w:val="0"/>
          <w:marBottom w:val="0"/>
          <w:divBdr>
            <w:top w:val="none" w:sz="0" w:space="0" w:color="auto"/>
            <w:left w:val="none" w:sz="0" w:space="0" w:color="auto"/>
            <w:bottom w:val="none" w:sz="0" w:space="0" w:color="auto"/>
            <w:right w:val="none" w:sz="0" w:space="0" w:color="auto"/>
          </w:divBdr>
        </w:div>
        <w:div w:id="1532302886">
          <w:marLeft w:val="0"/>
          <w:marRight w:val="0"/>
          <w:marTop w:val="0"/>
          <w:marBottom w:val="0"/>
          <w:divBdr>
            <w:top w:val="none" w:sz="0" w:space="0" w:color="auto"/>
            <w:left w:val="none" w:sz="0" w:space="0" w:color="auto"/>
            <w:bottom w:val="none" w:sz="0" w:space="0" w:color="auto"/>
            <w:right w:val="none" w:sz="0" w:space="0" w:color="auto"/>
          </w:divBdr>
        </w:div>
      </w:divsChild>
    </w:div>
    <w:div w:id="1227377802">
      <w:bodyDiv w:val="1"/>
      <w:marLeft w:val="0"/>
      <w:marRight w:val="0"/>
      <w:marTop w:val="0"/>
      <w:marBottom w:val="0"/>
      <w:divBdr>
        <w:top w:val="none" w:sz="0" w:space="0" w:color="auto"/>
        <w:left w:val="none" w:sz="0" w:space="0" w:color="auto"/>
        <w:bottom w:val="none" w:sz="0" w:space="0" w:color="auto"/>
        <w:right w:val="none" w:sz="0" w:space="0" w:color="auto"/>
      </w:divBdr>
    </w:div>
    <w:div w:id="1234126837">
      <w:bodyDiv w:val="1"/>
      <w:marLeft w:val="0"/>
      <w:marRight w:val="0"/>
      <w:marTop w:val="0"/>
      <w:marBottom w:val="0"/>
      <w:divBdr>
        <w:top w:val="none" w:sz="0" w:space="0" w:color="auto"/>
        <w:left w:val="none" w:sz="0" w:space="0" w:color="auto"/>
        <w:bottom w:val="none" w:sz="0" w:space="0" w:color="auto"/>
        <w:right w:val="none" w:sz="0" w:space="0" w:color="auto"/>
      </w:divBdr>
      <w:divsChild>
        <w:div w:id="888105125">
          <w:marLeft w:val="0"/>
          <w:marRight w:val="0"/>
          <w:marTop w:val="0"/>
          <w:marBottom w:val="0"/>
          <w:divBdr>
            <w:top w:val="none" w:sz="0" w:space="0" w:color="auto"/>
            <w:left w:val="none" w:sz="0" w:space="0" w:color="auto"/>
            <w:bottom w:val="none" w:sz="0" w:space="0" w:color="auto"/>
            <w:right w:val="none" w:sz="0" w:space="0" w:color="auto"/>
          </w:divBdr>
        </w:div>
        <w:div w:id="878518207">
          <w:marLeft w:val="0"/>
          <w:marRight w:val="0"/>
          <w:marTop w:val="0"/>
          <w:marBottom w:val="0"/>
          <w:divBdr>
            <w:top w:val="none" w:sz="0" w:space="0" w:color="auto"/>
            <w:left w:val="none" w:sz="0" w:space="0" w:color="auto"/>
            <w:bottom w:val="none" w:sz="0" w:space="0" w:color="auto"/>
            <w:right w:val="none" w:sz="0" w:space="0" w:color="auto"/>
          </w:divBdr>
        </w:div>
      </w:divsChild>
    </w:div>
    <w:div w:id="1268847925">
      <w:bodyDiv w:val="1"/>
      <w:marLeft w:val="0"/>
      <w:marRight w:val="0"/>
      <w:marTop w:val="0"/>
      <w:marBottom w:val="0"/>
      <w:divBdr>
        <w:top w:val="none" w:sz="0" w:space="0" w:color="auto"/>
        <w:left w:val="none" w:sz="0" w:space="0" w:color="auto"/>
        <w:bottom w:val="none" w:sz="0" w:space="0" w:color="auto"/>
        <w:right w:val="none" w:sz="0" w:space="0" w:color="auto"/>
      </w:divBdr>
      <w:divsChild>
        <w:div w:id="1785735635">
          <w:marLeft w:val="0"/>
          <w:marRight w:val="0"/>
          <w:marTop w:val="0"/>
          <w:marBottom w:val="0"/>
          <w:divBdr>
            <w:top w:val="none" w:sz="0" w:space="0" w:color="auto"/>
            <w:left w:val="none" w:sz="0" w:space="0" w:color="auto"/>
            <w:bottom w:val="none" w:sz="0" w:space="0" w:color="auto"/>
            <w:right w:val="none" w:sz="0" w:space="0" w:color="auto"/>
          </w:divBdr>
        </w:div>
        <w:div w:id="664941258">
          <w:marLeft w:val="0"/>
          <w:marRight w:val="0"/>
          <w:marTop w:val="0"/>
          <w:marBottom w:val="0"/>
          <w:divBdr>
            <w:top w:val="none" w:sz="0" w:space="0" w:color="auto"/>
            <w:left w:val="none" w:sz="0" w:space="0" w:color="auto"/>
            <w:bottom w:val="none" w:sz="0" w:space="0" w:color="auto"/>
            <w:right w:val="none" w:sz="0" w:space="0" w:color="auto"/>
          </w:divBdr>
        </w:div>
        <w:div w:id="357195582">
          <w:marLeft w:val="0"/>
          <w:marRight w:val="0"/>
          <w:marTop w:val="0"/>
          <w:marBottom w:val="0"/>
          <w:divBdr>
            <w:top w:val="none" w:sz="0" w:space="0" w:color="auto"/>
            <w:left w:val="none" w:sz="0" w:space="0" w:color="auto"/>
            <w:bottom w:val="none" w:sz="0" w:space="0" w:color="auto"/>
            <w:right w:val="none" w:sz="0" w:space="0" w:color="auto"/>
          </w:divBdr>
        </w:div>
        <w:div w:id="1926986155">
          <w:marLeft w:val="0"/>
          <w:marRight w:val="0"/>
          <w:marTop w:val="0"/>
          <w:marBottom w:val="0"/>
          <w:divBdr>
            <w:top w:val="none" w:sz="0" w:space="0" w:color="auto"/>
            <w:left w:val="none" w:sz="0" w:space="0" w:color="auto"/>
            <w:bottom w:val="none" w:sz="0" w:space="0" w:color="auto"/>
            <w:right w:val="none" w:sz="0" w:space="0" w:color="auto"/>
          </w:divBdr>
        </w:div>
      </w:divsChild>
    </w:div>
    <w:div w:id="1345207691">
      <w:bodyDiv w:val="1"/>
      <w:marLeft w:val="0"/>
      <w:marRight w:val="0"/>
      <w:marTop w:val="0"/>
      <w:marBottom w:val="0"/>
      <w:divBdr>
        <w:top w:val="none" w:sz="0" w:space="0" w:color="auto"/>
        <w:left w:val="none" w:sz="0" w:space="0" w:color="auto"/>
        <w:bottom w:val="none" w:sz="0" w:space="0" w:color="auto"/>
        <w:right w:val="none" w:sz="0" w:space="0" w:color="auto"/>
      </w:divBdr>
      <w:divsChild>
        <w:div w:id="490413273">
          <w:marLeft w:val="0"/>
          <w:marRight w:val="0"/>
          <w:marTop w:val="0"/>
          <w:marBottom w:val="0"/>
          <w:divBdr>
            <w:top w:val="none" w:sz="0" w:space="0" w:color="auto"/>
            <w:left w:val="none" w:sz="0" w:space="0" w:color="auto"/>
            <w:bottom w:val="none" w:sz="0" w:space="0" w:color="auto"/>
            <w:right w:val="none" w:sz="0" w:space="0" w:color="auto"/>
          </w:divBdr>
        </w:div>
      </w:divsChild>
    </w:div>
    <w:div w:id="1358582820">
      <w:bodyDiv w:val="1"/>
      <w:marLeft w:val="0"/>
      <w:marRight w:val="0"/>
      <w:marTop w:val="0"/>
      <w:marBottom w:val="0"/>
      <w:divBdr>
        <w:top w:val="none" w:sz="0" w:space="0" w:color="auto"/>
        <w:left w:val="none" w:sz="0" w:space="0" w:color="auto"/>
        <w:bottom w:val="none" w:sz="0" w:space="0" w:color="auto"/>
        <w:right w:val="none" w:sz="0" w:space="0" w:color="auto"/>
      </w:divBdr>
      <w:divsChild>
        <w:div w:id="32580092">
          <w:marLeft w:val="0"/>
          <w:marRight w:val="0"/>
          <w:marTop w:val="0"/>
          <w:marBottom w:val="0"/>
          <w:divBdr>
            <w:top w:val="none" w:sz="0" w:space="0" w:color="auto"/>
            <w:left w:val="none" w:sz="0" w:space="0" w:color="auto"/>
            <w:bottom w:val="none" w:sz="0" w:space="0" w:color="auto"/>
            <w:right w:val="none" w:sz="0" w:space="0" w:color="auto"/>
          </w:divBdr>
        </w:div>
      </w:divsChild>
    </w:div>
    <w:div w:id="1374840889">
      <w:bodyDiv w:val="1"/>
      <w:marLeft w:val="0"/>
      <w:marRight w:val="0"/>
      <w:marTop w:val="0"/>
      <w:marBottom w:val="0"/>
      <w:divBdr>
        <w:top w:val="none" w:sz="0" w:space="0" w:color="auto"/>
        <w:left w:val="none" w:sz="0" w:space="0" w:color="auto"/>
        <w:bottom w:val="none" w:sz="0" w:space="0" w:color="auto"/>
        <w:right w:val="none" w:sz="0" w:space="0" w:color="auto"/>
      </w:divBdr>
      <w:divsChild>
        <w:div w:id="1267271332">
          <w:marLeft w:val="0"/>
          <w:marRight w:val="0"/>
          <w:marTop w:val="0"/>
          <w:marBottom w:val="0"/>
          <w:divBdr>
            <w:top w:val="none" w:sz="0" w:space="0" w:color="auto"/>
            <w:left w:val="none" w:sz="0" w:space="0" w:color="auto"/>
            <w:bottom w:val="none" w:sz="0" w:space="0" w:color="auto"/>
            <w:right w:val="none" w:sz="0" w:space="0" w:color="auto"/>
          </w:divBdr>
        </w:div>
      </w:divsChild>
    </w:div>
    <w:div w:id="1378816056">
      <w:bodyDiv w:val="1"/>
      <w:marLeft w:val="0"/>
      <w:marRight w:val="0"/>
      <w:marTop w:val="0"/>
      <w:marBottom w:val="0"/>
      <w:divBdr>
        <w:top w:val="none" w:sz="0" w:space="0" w:color="auto"/>
        <w:left w:val="none" w:sz="0" w:space="0" w:color="auto"/>
        <w:bottom w:val="none" w:sz="0" w:space="0" w:color="auto"/>
        <w:right w:val="none" w:sz="0" w:space="0" w:color="auto"/>
      </w:divBdr>
      <w:divsChild>
        <w:div w:id="1786995297">
          <w:marLeft w:val="0"/>
          <w:marRight w:val="0"/>
          <w:marTop w:val="0"/>
          <w:marBottom w:val="0"/>
          <w:divBdr>
            <w:top w:val="none" w:sz="0" w:space="0" w:color="auto"/>
            <w:left w:val="none" w:sz="0" w:space="0" w:color="auto"/>
            <w:bottom w:val="none" w:sz="0" w:space="0" w:color="auto"/>
            <w:right w:val="none" w:sz="0" w:space="0" w:color="auto"/>
          </w:divBdr>
        </w:div>
      </w:divsChild>
    </w:div>
    <w:div w:id="1476141424">
      <w:bodyDiv w:val="1"/>
      <w:marLeft w:val="0"/>
      <w:marRight w:val="0"/>
      <w:marTop w:val="0"/>
      <w:marBottom w:val="0"/>
      <w:divBdr>
        <w:top w:val="none" w:sz="0" w:space="0" w:color="auto"/>
        <w:left w:val="none" w:sz="0" w:space="0" w:color="auto"/>
        <w:bottom w:val="none" w:sz="0" w:space="0" w:color="auto"/>
        <w:right w:val="none" w:sz="0" w:space="0" w:color="auto"/>
      </w:divBdr>
      <w:divsChild>
        <w:div w:id="512692497">
          <w:marLeft w:val="0"/>
          <w:marRight w:val="0"/>
          <w:marTop w:val="0"/>
          <w:marBottom w:val="0"/>
          <w:divBdr>
            <w:top w:val="none" w:sz="0" w:space="0" w:color="auto"/>
            <w:left w:val="none" w:sz="0" w:space="0" w:color="auto"/>
            <w:bottom w:val="none" w:sz="0" w:space="0" w:color="auto"/>
            <w:right w:val="none" w:sz="0" w:space="0" w:color="auto"/>
          </w:divBdr>
        </w:div>
      </w:divsChild>
    </w:div>
    <w:div w:id="1506700293">
      <w:bodyDiv w:val="1"/>
      <w:marLeft w:val="0"/>
      <w:marRight w:val="0"/>
      <w:marTop w:val="0"/>
      <w:marBottom w:val="0"/>
      <w:divBdr>
        <w:top w:val="none" w:sz="0" w:space="0" w:color="auto"/>
        <w:left w:val="none" w:sz="0" w:space="0" w:color="auto"/>
        <w:bottom w:val="none" w:sz="0" w:space="0" w:color="auto"/>
        <w:right w:val="none" w:sz="0" w:space="0" w:color="auto"/>
      </w:divBdr>
      <w:divsChild>
        <w:div w:id="1914973806">
          <w:marLeft w:val="0"/>
          <w:marRight w:val="0"/>
          <w:marTop w:val="0"/>
          <w:marBottom w:val="0"/>
          <w:divBdr>
            <w:top w:val="none" w:sz="0" w:space="0" w:color="auto"/>
            <w:left w:val="none" w:sz="0" w:space="0" w:color="auto"/>
            <w:bottom w:val="none" w:sz="0" w:space="0" w:color="auto"/>
            <w:right w:val="none" w:sz="0" w:space="0" w:color="auto"/>
          </w:divBdr>
        </w:div>
      </w:divsChild>
    </w:div>
    <w:div w:id="1859852558">
      <w:bodyDiv w:val="1"/>
      <w:marLeft w:val="0"/>
      <w:marRight w:val="0"/>
      <w:marTop w:val="0"/>
      <w:marBottom w:val="0"/>
      <w:divBdr>
        <w:top w:val="none" w:sz="0" w:space="0" w:color="auto"/>
        <w:left w:val="none" w:sz="0" w:space="0" w:color="auto"/>
        <w:bottom w:val="none" w:sz="0" w:space="0" w:color="auto"/>
        <w:right w:val="none" w:sz="0" w:space="0" w:color="auto"/>
      </w:divBdr>
      <w:divsChild>
        <w:div w:id="871304319">
          <w:marLeft w:val="0"/>
          <w:marRight w:val="0"/>
          <w:marTop w:val="0"/>
          <w:marBottom w:val="0"/>
          <w:divBdr>
            <w:top w:val="none" w:sz="0" w:space="0" w:color="auto"/>
            <w:left w:val="none" w:sz="0" w:space="0" w:color="auto"/>
            <w:bottom w:val="none" w:sz="0" w:space="0" w:color="auto"/>
            <w:right w:val="none" w:sz="0" w:space="0" w:color="auto"/>
          </w:divBdr>
        </w:div>
      </w:divsChild>
    </w:div>
    <w:div w:id="1900314296">
      <w:bodyDiv w:val="1"/>
      <w:marLeft w:val="0"/>
      <w:marRight w:val="0"/>
      <w:marTop w:val="0"/>
      <w:marBottom w:val="0"/>
      <w:divBdr>
        <w:top w:val="none" w:sz="0" w:space="0" w:color="auto"/>
        <w:left w:val="none" w:sz="0" w:space="0" w:color="auto"/>
        <w:bottom w:val="none" w:sz="0" w:space="0" w:color="auto"/>
        <w:right w:val="none" w:sz="0" w:space="0" w:color="auto"/>
      </w:divBdr>
      <w:divsChild>
        <w:div w:id="77139348">
          <w:marLeft w:val="0"/>
          <w:marRight w:val="0"/>
          <w:marTop w:val="0"/>
          <w:marBottom w:val="0"/>
          <w:divBdr>
            <w:top w:val="none" w:sz="0" w:space="0" w:color="auto"/>
            <w:left w:val="none" w:sz="0" w:space="0" w:color="auto"/>
            <w:bottom w:val="none" w:sz="0" w:space="0" w:color="auto"/>
            <w:right w:val="none" w:sz="0" w:space="0" w:color="auto"/>
          </w:divBdr>
        </w:div>
      </w:divsChild>
    </w:div>
    <w:div w:id="1904177552">
      <w:bodyDiv w:val="1"/>
      <w:marLeft w:val="0"/>
      <w:marRight w:val="0"/>
      <w:marTop w:val="0"/>
      <w:marBottom w:val="0"/>
      <w:divBdr>
        <w:top w:val="none" w:sz="0" w:space="0" w:color="auto"/>
        <w:left w:val="none" w:sz="0" w:space="0" w:color="auto"/>
        <w:bottom w:val="none" w:sz="0" w:space="0" w:color="auto"/>
        <w:right w:val="none" w:sz="0" w:space="0" w:color="auto"/>
      </w:divBdr>
      <w:divsChild>
        <w:div w:id="1398044490">
          <w:marLeft w:val="0"/>
          <w:marRight w:val="0"/>
          <w:marTop w:val="0"/>
          <w:marBottom w:val="0"/>
          <w:divBdr>
            <w:top w:val="none" w:sz="0" w:space="0" w:color="auto"/>
            <w:left w:val="none" w:sz="0" w:space="0" w:color="auto"/>
            <w:bottom w:val="none" w:sz="0" w:space="0" w:color="auto"/>
            <w:right w:val="none" w:sz="0" w:space="0" w:color="auto"/>
          </w:divBdr>
        </w:div>
      </w:divsChild>
    </w:div>
    <w:div w:id="2003270665">
      <w:bodyDiv w:val="1"/>
      <w:marLeft w:val="0"/>
      <w:marRight w:val="0"/>
      <w:marTop w:val="0"/>
      <w:marBottom w:val="0"/>
      <w:divBdr>
        <w:top w:val="none" w:sz="0" w:space="0" w:color="auto"/>
        <w:left w:val="none" w:sz="0" w:space="0" w:color="auto"/>
        <w:bottom w:val="none" w:sz="0" w:space="0" w:color="auto"/>
        <w:right w:val="none" w:sz="0" w:space="0" w:color="auto"/>
      </w:divBdr>
      <w:divsChild>
        <w:div w:id="1942496101">
          <w:marLeft w:val="0"/>
          <w:marRight w:val="0"/>
          <w:marTop w:val="0"/>
          <w:marBottom w:val="0"/>
          <w:divBdr>
            <w:top w:val="none" w:sz="0" w:space="0" w:color="auto"/>
            <w:left w:val="none" w:sz="0" w:space="0" w:color="auto"/>
            <w:bottom w:val="none" w:sz="0" w:space="0" w:color="auto"/>
            <w:right w:val="none" w:sz="0" w:space="0" w:color="auto"/>
          </w:divBdr>
        </w:div>
      </w:divsChild>
    </w:div>
    <w:div w:id="2021463862">
      <w:bodyDiv w:val="1"/>
      <w:marLeft w:val="0"/>
      <w:marRight w:val="0"/>
      <w:marTop w:val="0"/>
      <w:marBottom w:val="0"/>
      <w:divBdr>
        <w:top w:val="none" w:sz="0" w:space="0" w:color="auto"/>
        <w:left w:val="none" w:sz="0" w:space="0" w:color="auto"/>
        <w:bottom w:val="none" w:sz="0" w:space="0" w:color="auto"/>
        <w:right w:val="none" w:sz="0" w:space="0" w:color="auto"/>
      </w:divBdr>
      <w:divsChild>
        <w:div w:id="459765685">
          <w:marLeft w:val="0"/>
          <w:marRight w:val="0"/>
          <w:marTop w:val="0"/>
          <w:marBottom w:val="0"/>
          <w:divBdr>
            <w:top w:val="none" w:sz="0" w:space="0" w:color="auto"/>
            <w:left w:val="none" w:sz="0" w:space="0" w:color="auto"/>
            <w:bottom w:val="none" w:sz="0" w:space="0" w:color="auto"/>
            <w:right w:val="none" w:sz="0" w:space="0" w:color="auto"/>
          </w:divBdr>
        </w:div>
      </w:divsChild>
    </w:div>
    <w:div w:id="2070109468">
      <w:bodyDiv w:val="1"/>
      <w:marLeft w:val="0"/>
      <w:marRight w:val="0"/>
      <w:marTop w:val="0"/>
      <w:marBottom w:val="0"/>
      <w:divBdr>
        <w:top w:val="none" w:sz="0" w:space="0" w:color="auto"/>
        <w:left w:val="none" w:sz="0" w:space="0" w:color="auto"/>
        <w:bottom w:val="none" w:sz="0" w:space="0" w:color="auto"/>
        <w:right w:val="none" w:sz="0" w:space="0" w:color="auto"/>
      </w:divBdr>
      <w:divsChild>
        <w:div w:id="1073891897">
          <w:marLeft w:val="0"/>
          <w:marRight w:val="0"/>
          <w:marTop w:val="0"/>
          <w:marBottom w:val="0"/>
          <w:divBdr>
            <w:top w:val="none" w:sz="0" w:space="0" w:color="auto"/>
            <w:left w:val="none" w:sz="0" w:space="0" w:color="auto"/>
            <w:bottom w:val="none" w:sz="0" w:space="0" w:color="auto"/>
            <w:right w:val="none" w:sz="0" w:space="0" w:color="auto"/>
          </w:divBdr>
        </w:div>
      </w:divsChild>
    </w:div>
    <w:div w:id="2104377563">
      <w:bodyDiv w:val="1"/>
      <w:marLeft w:val="0"/>
      <w:marRight w:val="0"/>
      <w:marTop w:val="0"/>
      <w:marBottom w:val="0"/>
      <w:divBdr>
        <w:top w:val="none" w:sz="0" w:space="0" w:color="auto"/>
        <w:left w:val="none" w:sz="0" w:space="0" w:color="auto"/>
        <w:bottom w:val="none" w:sz="0" w:space="0" w:color="auto"/>
        <w:right w:val="none" w:sz="0" w:space="0" w:color="auto"/>
      </w:divBdr>
      <w:divsChild>
        <w:div w:id="960264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HfZf7pTrvT+1zyvaIMrATnwXQ==">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89147B-578D-4E63-968A-460BE8E0C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39</Pages>
  <Words>10555</Words>
  <Characters>60169</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Shaneille Samuels</dc:creator>
  <cp:lastModifiedBy>Shaneille Samuels</cp:lastModifiedBy>
  <cp:revision>9</cp:revision>
  <dcterms:created xsi:type="dcterms:W3CDTF">2023-09-25T02:04:00Z</dcterms:created>
  <dcterms:modified xsi:type="dcterms:W3CDTF">2023-10-01T02:46:00Z</dcterms:modified>
</cp:coreProperties>
</file>