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D7457" w14:textId="77777777" w:rsidR="0093721C" w:rsidRDefault="003E7366" w:rsidP="003E7366">
      <w:pPr>
        <w:spacing w:after="0" w:line="480" w:lineRule="auto"/>
        <w:jc w:val="center"/>
        <w:rPr>
          <w:rFonts w:ascii="Times New Roman" w:eastAsia="SimSun" w:hAnsi="Times New Roman" w:cs="Times New Roman"/>
          <w:b/>
          <w:bCs/>
          <w:sz w:val="24"/>
          <w:szCs w:val="24"/>
          <w:lang w:eastAsia="zh-CN"/>
        </w:rPr>
      </w:pPr>
      <w:r w:rsidRPr="0093721C">
        <w:rPr>
          <w:rFonts w:ascii="Times New Roman" w:eastAsia="SimSun" w:hAnsi="Times New Roman" w:cs="Times New Roman"/>
          <w:b/>
          <w:bCs/>
          <w:sz w:val="24"/>
          <w:szCs w:val="24"/>
          <w:lang w:eastAsia="zh-CN"/>
        </w:rPr>
        <w:t>INVESTIGATING FACTORS ASSOCIATED WITH VIRAL LOAD SUPPRESSION AMONG PATIENTS RECEIVING ANTIRETROVIRAL TREATMENT AT SELECTED TREATMENT SITES IN PLATEAU STATE, NIGERIA</w:t>
      </w:r>
    </w:p>
    <w:p w14:paraId="2F6528A4" w14:textId="77777777" w:rsidR="00ED3EDD" w:rsidRDefault="00ED3EDD" w:rsidP="003E7366">
      <w:pPr>
        <w:spacing w:after="0" w:line="480" w:lineRule="auto"/>
        <w:jc w:val="center"/>
        <w:rPr>
          <w:rFonts w:ascii="Times New Roman" w:eastAsia="SimSun" w:hAnsi="Times New Roman" w:cs="Times New Roman"/>
          <w:b/>
          <w:bCs/>
          <w:sz w:val="24"/>
          <w:szCs w:val="24"/>
          <w:lang w:eastAsia="zh-CN"/>
        </w:rPr>
      </w:pPr>
    </w:p>
    <w:p w14:paraId="56D4D8F1" w14:textId="77777777" w:rsidR="00ED3EDD" w:rsidRDefault="00ED3EDD" w:rsidP="003E7366">
      <w:pPr>
        <w:spacing w:after="0" w:line="480" w:lineRule="auto"/>
        <w:jc w:val="center"/>
        <w:rPr>
          <w:rFonts w:ascii="Times New Roman" w:eastAsia="SimSun" w:hAnsi="Times New Roman" w:cs="Times New Roman"/>
          <w:b/>
          <w:bCs/>
          <w:sz w:val="24"/>
          <w:szCs w:val="24"/>
          <w:lang w:eastAsia="zh-CN"/>
        </w:rPr>
      </w:pPr>
    </w:p>
    <w:p w14:paraId="3E938CB0" w14:textId="77777777" w:rsidR="003E7366" w:rsidRPr="003E7366" w:rsidRDefault="003E7366" w:rsidP="003E7366">
      <w:pPr>
        <w:spacing w:after="0" w:line="480" w:lineRule="auto"/>
        <w:jc w:val="center"/>
        <w:rPr>
          <w:rFonts w:ascii="Times New Roman" w:eastAsia="SimSun" w:hAnsi="Times New Roman" w:cs="Times New Roman"/>
          <w:b/>
          <w:bCs/>
          <w:sz w:val="24"/>
          <w:szCs w:val="24"/>
          <w:lang w:eastAsia="zh-CN"/>
        </w:rPr>
      </w:pPr>
    </w:p>
    <w:p w14:paraId="3D890E6F" w14:textId="77777777" w:rsidR="003E7366" w:rsidRDefault="003E7366" w:rsidP="003E7366">
      <w:pPr>
        <w:spacing w:after="0" w:line="480" w:lineRule="auto"/>
        <w:jc w:val="center"/>
        <w:rPr>
          <w:rFonts w:ascii="Times New Roman" w:eastAsia="SimSun" w:hAnsi="Times New Roman" w:cs="Times New Roman"/>
          <w:b/>
          <w:bCs/>
          <w:sz w:val="24"/>
          <w:szCs w:val="24"/>
          <w:lang w:eastAsia="zh-CN"/>
        </w:rPr>
      </w:pPr>
      <w:r w:rsidRPr="003E7366">
        <w:rPr>
          <w:rFonts w:ascii="Times New Roman" w:eastAsia="SimSun" w:hAnsi="Times New Roman" w:cs="Times New Roman"/>
          <w:b/>
          <w:bCs/>
          <w:sz w:val="24"/>
          <w:szCs w:val="24"/>
          <w:lang w:eastAsia="zh-CN"/>
        </w:rPr>
        <w:t>A DISSERTATION SUBMITTED IN PARTIAL FULFILMENT OF THE DEGREE: PHD IN PUBLIC</w:t>
      </w:r>
      <w:r>
        <w:rPr>
          <w:rFonts w:ascii="Times New Roman" w:eastAsia="SimSun" w:hAnsi="Times New Roman" w:cs="Times New Roman"/>
          <w:b/>
          <w:bCs/>
          <w:sz w:val="24"/>
          <w:szCs w:val="24"/>
          <w:lang w:eastAsia="zh-CN"/>
        </w:rPr>
        <w:t xml:space="preserve"> </w:t>
      </w:r>
      <w:r w:rsidRPr="003E7366">
        <w:rPr>
          <w:rFonts w:ascii="Times New Roman" w:eastAsia="SimSun" w:hAnsi="Times New Roman" w:cs="Times New Roman"/>
          <w:b/>
          <w:bCs/>
          <w:sz w:val="24"/>
          <w:szCs w:val="24"/>
          <w:lang w:eastAsia="zh-CN"/>
        </w:rPr>
        <w:t>HEALTH, AT THE FACULTY OF SOCIAL AND HUMAN SCIENCES OF THE ATLANTIC INTERNATIONAL</w:t>
      </w:r>
      <w:r>
        <w:rPr>
          <w:rFonts w:ascii="Times New Roman" w:eastAsia="SimSun" w:hAnsi="Times New Roman" w:cs="Times New Roman"/>
          <w:b/>
          <w:bCs/>
          <w:sz w:val="24"/>
          <w:szCs w:val="24"/>
          <w:lang w:eastAsia="zh-CN"/>
        </w:rPr>
        <w:t xml:space="preserve"> </w:t>
      </w:r>
      <w:r w:rsidRPr="003E7366">
        <w:rPr>
          <w:rFonts w:ascii="Times New Roman" w:eastAsia="SimSun" w:hAnsi="Times New Roman" w:cs="Times New Roman"/>
          <w:b/>
          <w:bCs/>
          <w:sz w:val="24"/>
          <w:szCs w:val="24"/>
          <w:lang w:eastAsia="zh-CN"/>
        </w:rPr>
        <w:t>UNIVERSITY (AIU), HONOLULU HAWAII- USA.</w:t>
      </w:r>
    </w:p>
    <w:p w14:paraId="4DFB91A3" w14:textId="77777777" w:rsidR="003E7366" w:rsidRPr="003E7366" w:rsidRDefault="003E7366" w:rsidP="003E7366">
      <w:pPr>
        <w:spacing w:after="0" w:line="480" w:lineRule="auto"/>
        <w:jc w:val="center"/>
        <w:rPr>
          <w:rFonts w:ascii="Times New Roman" w:eastAsia="SimSun" w:hAnsi="Times New Roman" w:cs="Times New Roman"/>
          <w:b/>
          <w:bCs/>
          <w:sz w:val="24"/>
          <w:szCs w:val="24"/>
          <w:lang w:eastAsia="zh-CN"/>
        </w:rPr>
      </w:pPr>
    </w:p>
    <w:p w14:paraId="470F07D6" w14:textId="77777777" w:rsidR="003E7366" w:rsidRPr="00777AEA" w:rsidRDefault="003E7366" w:rsidP="003E7366">
      <w:pPr>
        <w:spacing w:after="0" w:line="480" w:lineRule="auto"/>
        <w:jc w:val="center"/>
        <w:rPr>
          <w:rFonts w:ascii="Times New Roman" w:eastAsia="SimSun" w:hAnsi="Times New Roman" w:cs="Times New Roman"/>
          <w:b/>
          <w:bCs/>
          <w:sz w:val="24"/>
          <w:szCs w:val="24"/>
          <w:lang w:eastAsia="zh-CN"/>
        </w:rPr>
      </w:pPr>
      <w:r w:rsidRPr="003E7366">
        <w:rPr>
          <w:rFonts w:ascii="Times New Roman" w:eastAsia="SimSun" w:hAnsi="Times New Roman" w:cs="Times New Roman"/>
          <w:b/>
          <w:bCs/>
          <w:sz w:val="24"/>
          <w:szCs w:val="24"/>
          <w:lang w:eastAsia="zh-CN"/>
        </w:rPr>
        <w:t>RESEARCHER:</w:t>
      </w:r>
      <w:r>
        <w:rPr>
          <w:rFonts w:ascii="Times New Roman" w:eastAsia="SimSun" w:hAnsi="Times New Roman" w:cs="Times New Roman"/>
          <w:b/>
          <w:bCs/>
          <w:sz w:val="24"/>
          <w:szCs w:val="24"/>
          <w:lang w:eastAsia="zh-CN"/>
        </w:rPr>
        <w:t xml:space="preserve"> </w:t>
      </w:r>
      <w:r w:rsidR="00777AEA" w:rsidRPr="00777AEA">
        <w:rPr>
          <w:rFonts w:ascii="Times New Roman" w:eastAsia="SimSun" w:hAnsi="Times New Roman" w:cs="Times New Roman"/>
          <w:b/>
          <w:bCs/>
          <w:sz w:val="24"/>
          <w:szCs w:val="24"/>
          <w:lang w:eastAsia="zh-CN"/>
        </w:rPr>
        <w:t>UCHE OKEZIE</w:t>
      </w:r>
    </w:p>
    <w:p w14:paraId="26AC6C9E" w14:textId="77777777" w:rsidR="003E7366" w:rsidRPr="003E7366" w:rsidRDefault="003E7366" w:rsidP="003E7366">
      <w:pPr>
        <w:spacing w:after="0" w:line="480" w:lineRule="auto"/>
        <w:jc w:val="center"/>
        <w:rPr>
          <w:rFonts w:ascii="Times New Roman" w:eastAsia="SimSun" w:hAnsi="Times New Roman" w:cs="Times New Roman"/>
          <w:b/>
          <w:bCs/>
          <w:sz w:val="24"/>
          <w:szCs w:val="24"/>
          <w:lang w:eastAsia="zh-CN"/>
        </w:rPr>
      </w:pPr>
    </w:p>
    <w:p w14:paraId="3FCFB500" w14:textId="77777777" w:rsidR="003E7366" w:rsidRPr="00402619" w:rsidRDefault="003E7366" w:rsidP="003E7366">
      <w:pPr>
        <w:spacing w:after="0" w:line="480" w:lineRule="auto"/>
        <w:jc w:val="center"/>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STUDENT ID NUMBER</w:t>
      </w:r>
      <w:r w:rsidRPr="00402619">
        <w:rPr>
          <w:rFonts w:ascii="Times New Roman" w:eastAsia="SimSun" w:hAnsi="Times New Roman" w:cs="Times New Roman"/>
          <w:b/>
          <w:bCs/>
          <w:color w:val="000000" w:themeColor="text1"/>
          <w:sz w:val="24"/>
          <w:szCs w:val="24"/>
          <w:lang w:eastAsia="zh-CN"/>
        </w:rPr>
        <w:t>:</w:t>
      </w:r>
      <w:r w:rsidR="00402619">
        <w:rPr>
          <w:rFonts w:ascii="Times New Roman" w:eastAsia="SimSun" w:hAnsi="Times New Roman" w:cs="Times New Roman"/>
          <w:b/>
          <w:bCs/>
          <w:color w:val="000000" w:themeColor="text1"/>
          <w:sz w:val="24"/>
          <w:szCs w:val="24"/>
          <w:lang w:eastAsia="zh-CN"/>
        </w:rPr>
        <w:t xml:space="preserve"> </w:t>
      </w:r>
      <w:r w:rsidR="00FE6BFE" w:rsidRPr="00402619">
        <w:rPr>
          <w:rFonts w:ascii="Segoe UI" w:hAnsi="Segoe UI" w:cs="Segoe UI"/>
          <w:b/>
          <w:color w:val="000000" w:themeColor="text1"/>
        </w:rPr>
        <w:t>UD85724PU94945</w:t>
      </w:r>
    </w:p>
    <w:p w14:paraId="1E5FA568" w14:textId="77777777" w:rsidR="003E7366" w:rsidRPr="003E7366" w:rsidRDefault="003E7366" w:rsidP="003E7366">
      <w:pPr>
        <w:spacing w:after="0" w:line="480" w:lineRule="auto"/>
        <w:jc w:val="center"/>
        <w:rPr>
          <w:rFonts w:ascii="Times New Roman" w:eastAsia="SimSun" w:hAnsi="Times New Roman" w:cs="Times New Roman"/>
          <w:b/>
          <w:bCs/>
          <w:sz w:val="24"/>
          <w:szCs w:val="24"/>
          <w:lang w:eastAsia="zh-CN"/>
        </w:rPr>
      </w:pPr>
    </w:p>
    <w:p w14:paraId="5659498B" w14:textId="77777777" w:rsidR="003E7366" w:rsidRDefault="003E7366" w:rsidP="003E7366">
      <w:pPr>
        <w:spacing w:after="0" w:line="480" w:lineRule="auto"/>
        <w:jc w:val="center"/>
        <w:rPr>
          <w:rFonts w:ascii="Times New Roman" w:eastAsia="SimSun" w:hAnsi="Times New Roman" w:cs="Times New Roman"/>
          <w:b/>
          <w:bCs/>
          <w:sz w:val="24"/>
          <w:szCs w:val="24"/>
          <w:lang w:eastAsia="zh-CN"/>
        </w:rPr>
      </w:pPr>
      <w:r w:rsidRPr="003E7366">
        <w:rPr>
          <w:rFonts w:ascii="Times New Roman" w:eastAsia="SimSun" w:hAnsi="Times New Roman" w:cs="Times New Roman"/>
          <w:b/>
          <w:bCs/>
          <w:sz w:val="24"/>
          <w:szCs w:val="24"/>
          <w:lang w:eastAsia="zh-CN"/>
        </w:rPr>
        <w:t>SUPERVISOR (ADVISOR):</w:t>
      </w:r>
      <w:r w:rsidR="00402619">
        <w:rPr>
          <w:rFonts w:ascii="Times New Roman" w:eastAsia="SimSun" w:hAnsi="Times New Roman" w:cs="Times New Roman"/>
          <w:b/>
          <w:bCs/>
          <w:sz w:val="24"/>
          <w:szCs w:val="24"/>
          <w:lang w:eastAsia="zh-CN"/>
        </w:rPr>
        <w:t xml:space="preserve"> </w:t>
      </w:r>
      <w:r w:rsidR="00402619" w:rsidRPr="00402619">
        <w:rPr>
          <w:rFonts w:ascii="Times New Roman" w:eastAsia="SimSun" w:hAnsi="Times New Roman" w:cs="Times New Roman"/>
          <w:b/>
          <w:bCs/>
          <w:sz w:val="24"/>
          <w:szCs w:val="24"/>
          <w:lang w:eastAsia="zh-CN"/>
        </w:rPr>
        <w:t>Dr Muhammad Shah</w:t>
      </w:r>
      <w:r w:rsidR="00402619">
        <w:rPr>
          <w:rFonts w:ascii="Times New Roman" w:eastAsia="SimSun" w:hAnsi="Times New Roman" w:cs="Times New Roman"/>
          <w:b/>
          <w:bCs/>
          <w:sz w:val="24"/>
          <w:szCs w:val="24"/>
          <w:lang w:eastAsia="zh-CN"/>
        </w:rPr>
        <w:t>idul</w:t>
      </w:r>
      <w:r w:rsidR="00402619" w:rsidRPr="00402619">
        <w:rPr>
          <w:rFonts w:ascii="Times New Roman" w:eastAsia="SimSun" w:hAnsi="Times New Roman" w:cs="Times New Roman"/>
          <w:b/>
          <w:bCs/>
          <w:sz w:val="24"/>
          <w:szCs w:val="24"/>
          <w:lang w:eastAsia="zh-CN"/>
        </w:rPr>
        <w:t xml:space="preserve"> Islam</w:t>
      </w:r>
    </w:p>
    <w:p w14:paraId="3A672D44" w14:textId="77777777" w:rsidR="003E7366" w:rsidRPr="003E7366" w:rsidRDefault="003E7366" w:rsidP="003E7366">
      <w:pPr>
        <w:spacing w:after="0" w:line="480" w:lineRule="auto"/>
        <w:jc w:val="center"/>
        <w:rPr>
          <w:rFonts w:ascii="Times New Roman" w:eastAsia="SimSun" w:hAnsi="Times New Roman" w:cs="Times New Roman"/>
          <w:b/>
          <w:bCs/>
          <w:sz w:val="24"/>
          <w:szCs w:val="24"/>
          <w:lang w:eastAsia="zh-CN"/>
        </w:rPr>
      </w:pPr>
    </w:p>
    <w:p w14:paraId="23406664" w14:textId="77777777" w:rsidR="003E7366" w:rsidRDefault="003E7366" w:rsidP="003E7366">
      <w:pPr>
        <w:spacing w:after="0" w:line="480" w:lineRule="auto"/>
        <w:jc w:val="center"/>
        <w:rPr>
          <w:rFonts w:ascii="Times New Roman" w:eastAsia="SimSun" w:hAnsi="Times New Roman" w:cs="Times New Roman"/>
          <w:b/>
          <w:bCs/>
          <w:sz w:val="24"/>
          <w:szCs w:val="24"/>
          <w:lang w:eastAsia="zh-CN"/>
        </w:rPr>
      </w:pPr>
      <w:r w:rsidRPr="003E7366">
        <w:rPr>
          <w:rFonts w:ascii="Times New Roman" w:eastAsia="SimSun" w:hAnsi="Times New Roman" w:cs="Times New Roman"/>
          <w:b/>
          <w:bCs/>
          <w:sz w:val="24"/>
          <w:szCs w:val="24"/>
          <w:lang w:eastAsia="zh-CN"/>
        </w:rPr>
        <w:t xml:space="preserve">TUTOR: </w:t>
      </w:r>
      <w:r w:rsidR="00402619">
        <w:rPr>
          <w:rFonts w:ascii="Times New Roman" w:eastAsia="SimSun" w:hAnsi="Times New Roman" w:cs="Times New Roman"/>
          <w:b/>
          <w:bCs/>
          <w:sz w:val="24"/>
          <w:szCs w:val="24"/>
          <w:lang w:eastAsia="zh-CN"/>
        </w:rPr>
        <w:t>Stephen Olamide</w:t>
      </w:r>
    </w:p>
    <w:p w14:paraId="78A4D840" w14:textId="77777777" w:rsidR="003E7366" w:rsidRPr="003E7366" w:rsidRDefault="003E7366" w:rsidP="003E7366">
      <w:pPr>
        <w:spacing w:after="0" w:line="480" w:lineRule="auto"/>
        <w:jc w:val="center"/>
        <w:rPr>
          <w:rFonts w:ascii="Times New Roman" w:eastAsia="SimSun" w:hAnsi="Times New Roman" w:cs="Times New Roman"/>
          <w:b/>
          <w:bCs/>
          <w:sz w:val="24"/>
          <w:szCs w:val="24"/>
          <w:lang w:eastAsia="zh-CN"/>
        </w:rPr>
      </w:pPr>
    </w:p>
    <w:p w14:paraId="67090BDB" w14:textId="77777777" w:rsidR="0082458C" w:rsidRDefault="003E7366" w:rsidP="003E7366">
      <w:pPr>
        <w:spacing w:after="0" w:line="480" w:lineRule="auto"/>
        <w:jc w:val="center"/>
        <w:rPr>
          <w:rFonts w:ascii="Times New Roman" w:eastAsia="SimSun" w:hAnsi="Times New Roman" w:cs="Times New Roman"/>
          <w:b/>
          <w:bCs/>
          <w:sz w:val="24"/>
          <w:szCs w:val="24"/>
          <w:lang w:eastAsia="zh-CN"/>
        </w:rPr>
      </w:pPr>
      <w:r w:rsidRPr="003E7366">
        <w:rPr>
          <w:rFonts w:ascii="Times New Roman" w:eastAsia="SimSun" w:hAnsi="Times New Roman" w:cs="Times New Roman"/>
          <w:b/>
          <w:bCs/>
          <w:sz w:val="24"/>
          <w:szCs w:val="24"/>
          <w:lang w:eastAsia="zh-CN"/>
        </w:rPr>
        <w:t xml:space="preserve">ADMISSION ADVISOR: </w:t>
      </w:r>
      <w:r w:rsidR="00402619">
        <w:rPr>
          <w:rFonts w:ascii="Times New Roman" w:eastAsia="SimSun" w:hAnsi="Times New Roman" w:cs="Times New Roman"/>
          <w:b/>
          <w:bCs/>
          <w:sz w:val="24"/>
          <w:szCs w:val="24"/>
          <w:lang w:eastAsia="zh-CN"/>
        </w:rPr>
        <w:t>Pau Gar</w:t>
      </w:r>
    </w:p>
    <w:p w14:paraId="6118AD18" w14:textId="77777777" w:rsidR="0082458C" w:rsidRDefault="0082458C" w:rsidP="003E7366">
      <w:pPr>
        <w:spacing w:after="0" w:line="480" w:lineRule="auto"/>
        <w:jc w:val="center"/>
        <w:rPr>
          <w:rFonts w:ascii="Times New Roman" w:eastAsia="SimSun" w:hAnsi="Times New Roman" w:cs="Times New Roman"/>
          <w:b/>
          <w:bCs/>
          <w:sz w:val="24"/>
          <w:szCs w:val="24"/>
          <w:lang w:eastAsia="zh-CN"/>
        </w:rPr>
      </w:pPr>
    </w:p>
    <w:p w14:paraId="0AB55813" w14:textId="77777777" w:rsidR="0082458C" w:rsidRDefault="0082458C" w:rsidP="0093721C">
      <w:pPr>
        <w:spacing w:after="0" w:line="360" w:lineRule="auto"/>
        <w:jc w:val="center"/>
        <w:rPr>
          <w:rFonts w:ascii="Times New Roman" w:eastAsia="SimSun" w:hAnsi="Times New Roman" w:cs="Times New Roman"/>
          <w:b/>
          <w:bCs/>
          <w:sz w:val="24"/>
          <w:szCs w:val="24"/>
          <w:lang w:eastAsia="zh-CN"/>
        </w:rPr>
      </w:pPr>
    </w:p>
    <w:p w14:paraId="6A008905" w14:textId="77777777" w:rsidR="0082458C" w:rsidRDefault="0082458C" w:rsidP="0093721C">
      <w:pPr>
        <w:spacing w:after="0" w:line="360" w:lineRule="auto"/>
        <w:jc w:val="center"/>
        <w:rPr>
          <w:rFonts w:ascii="Times New Roman" w:eastAsia="SimSun" w:hAnsi="Times New Roman" w:cs="Times New Roman"/>
          <w:b/>
          <w:bCs/>
          <w:sz w:val="24"/>
          <w:szCs w:val="24"/>
          <w:lang w:eastAsia="zh-CN"/>
        </w:rPr>
      </w:pPr>
    </w:p>
    <w:p w14:paraId="319586E5" w14:textId="77777777" w:rsidR="0082458C" w:rsidRDefault="0082458C" w:rsidP="0093721C">
      <w:pPr>
        <w:spacing w:after="0" w:line="360" w:lineRule="auto"/>
        <w:jc w:val="center"/>
        <w:rPr>
          <w:rFonts w:ascii="Times New Roman" w:eastAsia="SimSun" w:hAnsi="Times New Roman" w:cs="Times New Roman"/>
          <w:b/>
          <w:bCs/>
          <w:sz w:val="24"/>
          <w:szCs w:val="24"/>
          <w:lang w:eastAsia="zh-CN"/>
        </w:rPr>
      </w:pPr>
    </w:p>
    <w:p w14:paraId="5064BF41" w14:textId="77777777" w:rsidR="003E7366" w:rsidRPr="003E7366" w:rsidRDefault="003E7366" w:rsidP="003E7366">
      <w:pPr>
        <w:spacing w:after="0" w:line="480" w:lineRule="auto"/>
        <w:jc w:val="center"/>
        <w:rPr>
          <w:rFonts w:ascii="Times New Roman" w:eastAsia="SimSun" w:hAnsi="Times New Roman" w:cs="Times New Roman"/>
          <w:b/>
          <w:bCs/>
          <w:sz w:val="24"/>
          <w:szCs w:val="24"/>
          <w:lang w:eastAsia="zh-CN"/>
        </w:rPr>
      </w:pPr>
      <w:r w:rsidRPr="003E7366">
        <w:rPr>
          <w:rFonts w:ascii="Times New Roman" w:eastAsia="SimSun" w:hAnsi="Times New Roman" w:cs="Times New Roman"/>
          <w:b/>
          <w:bCs/>
          <w:sz w:val="24"/>
          <w:szCs w:val="24"/>
          <w:lang w:eastAsia="zh-CN"/>
        </w:rPr>
        <w:lastRenderedPageBreak/>
        <w:t>DECLARATION</w:t>
      </w:r>
    </w:p>
    <w:p w14:paraId="440A0611" w14:textId="77777777" w:rsidR="003E7366" w:rsidRDefault="003E7366" w:rsidP="003E7366">
      <w:pPr>
        <w:spacing w:after="0" w:line="480" w:lineRule="auto"/>
        <w:jc w:val="both"/>
        <w:rPr>
          <w:rFonts w:ascii="Times New Roman" w:eastAsia="SimSun" w:hAnsi="Times New Roman" w:cs="Times New Roman"/>
          <w:bCs/>
          <w:sz w:val="24"/>
          <w:szCs w:val="24"/>
          <w:lang w:eastAsia="zh-CN"/>
        </w:rPr>
      </w:pPr>
      <w:r w:rsidRPr="003E7366">
        <w:rPr>
          <w:rFonts w:ascii="Times New Roman" w:eastAsia="SimSun" w:hAnsi="Times New Roman" w:cs="Times New Roman"/>
          <w:bCs/>
          <w:sz w:val="24"/>
          <w:szCs w:val="24"/>
          <w:lang w:eastAsia="zh-CN"/>
        </w:rPr>
        <w:t xml:space="preserve">I, </w:t>
      </w:r>
      <w:r w:rsidR="00402619">
        <w:rPr>
          <w:rFonts w:ascii="Times New Roman" w:eastAsia="SimSun" w:hAnsi="Times New Roman" w:cs="Times New Roman"/>
          <w:bCs/>
          <w:sz w:val="24"/>
          <w:szCs w:val="24"/>
          <w:lang w:eastAsia="zh-CN"/>
        </w:rPr>
        <w:t>Uche Michael Okezie</w:t>
      </w:r>
      <w:r w:rsidRPr="003E7366">
        <w:rPr>
          <w:rFonts w:ascii="Times New Roman" w:eastAsia="SimSun" w:hAnsi="Times New Roman" w:cs="Times New Roman"/>
          <w:bCs/>
          <w:sz w:val="24"/>
          <w:szCs w:val="24"/>
          <w:lang w:eastAsia="zh-CN"/>
        </w:rPr>
        <w:t xml:space="preserve">, hereby declare that the work for this dissertation, unless where acknowledged, is my own. It is being submitted in Partial Fulfilment for the degree PhD in Public Health, in the Faculty </w:t>
      </w:r>
      <w:r w:rsidR="00402619">
        <w:rPr>
          <w:rFonts w:ascii="Times New Roman" w:eastAsia="SimSun" w:hAnsi="Times New Roman" w:cs="Times New Roman"/>
          <w:bCs/>
          <w:sz w:val="24"/>
          <w:szCs w:val="24"/>
          <w:lang w:eastAsia="zh-CN"/>
        </w:rPr>
        <w:t xml:space="preserve">of Health </w:t>
      </w:r>
      <w:r w:rsidRPr="003E7366">
        <w:rPr>
          <w:rFonts w:ascii="Times New Roman" w:eastAsia="SimSun" w:hAnsi="Times New Roman" w:cs="Times New Roman"/>
          <w:bCs/>
          <w:sz w:val="24"/>
          <w:szCs w:val="24"/>
          <w:lang w:eastAsia="zh-CN"/>
        </w:rPr>
        <w:t>Science</w:t>
      </w:r>
      <w:r w:rsidR="00284583">
        <w:rPr>
          <w:rFonts w:ascii="Times New Roman" w:eastAsia="SimSun" w:hAnsi="Times New Roman" w:cs="Times New Roman"/>
          <w:bCs/>
          <w:sz w:val="24"/>
          <w:szCs w:val="24"/>
          <w:lang w:eastAsia="zh-CN"/>
        </w:rPr>
        <w:t>s</w:t>
      </w:r>
      <w:r w:rsidRPr="003E7366">
        <w:rPr>
          <w:rFonts w:ascii="Times New Roman" w:eastAsia="SimSun" w:hAnsi="Times New Roman" w:cs="Times New Roman"/>
          <w:bCs/>
          <w:sz w:val="24"/>
          <w:szCs w:val="24"/>
          <w:lang w:eastAsia="zh-CN"/>
        </w:rPr>
        <w:t xml:space="preserve"> at Atlantic International University Honolulu Hawaii State in United State of America.</w:t>
      </w:r>
    </w:p>
    <w:p w14:paraId="4F9791C4" w14:textId="77777777" w:rsidR="003E7366" w:rsidRDefault="003E7366" w:rsidP="003E7366">
      <w:pPr>
        <w:spacing w:after="0" w:line="480" w:lineRule="auto"/>
        <w:jc w:val="both"/>
        <w:rPr>
          <w:rFonts w:ascii="Times New Roman" w:eastAsia="SimSun" w:hAnsi="Times New Roman" w:cs="Times New Roman"/>
          <w:bCs/>
          <w:sz w:val="24"/>
          <w:szCs w:val="24"/>
          <w:lang w:eastAsia="zh-CN"/>
        </w:rPr>
      </w:pPr>
    </w:p>
    <w:p w14:paraId="04BFF302" w14:textId="77777777" w:rsidR="003E7366" w:rsidRPr="003E7366" w:rsidRDefault="0035308F" w:rsidP="003E7366">
      <w:pPr>
        <w:spacing w:after="0" w:line="480" w:lineRule="auto"/>
        <w:jc w:val="both"/>
        <w:rPr>
          <w:rFonts w:ascii="Times New Roman" w:eastAsia="SimSun" w:hAnsi="Times New Roman" w:cs="Times New Roman"/>
          <w:bCs/>
          <w:sz w:val="24"/>
          <w:szCs w:val="24"/>
          <w:lang w:eastAsia="zh-CN"/>
        </w:rPr>
      </w:pPr>
      <w:r w:rsidRPr="00480E37">
        <w:rPr>
          <w:rFonts w:eastAsia="Times New Roman"/>
          <w:b/>
          <w:noProof/>
          <w:color w:val="212121"/>
          <w:sz w:val="24"/>
          <w:szCs w:val="24"/>
        </w:rPr>
        <w:drawing>
          <wp:inline distT="0" distB="0" distL="0" distR="0" wp14:anchorId="0E295149" wp14:editId="622004A1">
            <wp:extent cx="1280072" cy="325024"/>
            <wp:effectExtent l="0" t="0" r="0"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5c97a9-bbf2-4d79-9da2-ae9392675696" descr="Image"/>
                    <pic:cNvPicPr>
                      <a:picLocks noChangeAspect="1" noChangeArrowheads="1"/>
                    </pic:cNvPicPr>
                  </pic:nvPicPr>
                  <pic:blipFill>
                    <a:blip r:embed="rId8" r:link="rId10" cstate="print">
                      <a:extLst>
                        <a:ext uri="{BEBA8EAE-BF5A-486C-A8C5-ECC9F3942E4B}">
                          <a14:imgProps xmlns:a14="http://schemas.microsoft.com/office/drawing/2010/main">
                            <a14:imgLayer r:embed="rId9">
                              <a14:imgEffect>
                                <a14:brightnessContrast bright="28000"/>
                              </a14:imgEffect>
                            </a14:imgLayer>
                          </a14:imgProps>
                        </a:ext>
                        <a:ext uri="{28A0092B-C50C-407E-A947-70E740481C1C}">
                          <a14:useLocalDpi xmlns:a14="http://schemas.microsoft.com/office/drawing/2010/main" val="0"/>
                        </a:ext>
                      </a:extLst>
                    </a:blip>
                    <a:srcRect/>
                    <a:stretch>
                      <a:fillRect/>
                    </a:stretch>
                  </pic:blipFill>
                  <pic:spPr bwMode="auto">
                    <a:xfrm>
                      <a:off x="0" y="0"/>
                      <a:ext cx="2209854" cy="561106"/>
                    </a:xfrm>
                    <a:prstGeom prst="rect">
                      <a:avLst/>
                    </a:prstGeom>
                    <a:noFill/>
                    <a:ln>
                      <a:noFill/>
                    </a:ln>
                  </pic:spPr>
                </pic:pic>
              </a:graphicData>
            </a:graphic>
          </wp:inline>
        </w:drawing>
      </w:r>
      <w:r>
        <w:rPr>
          <w:rFonts w:ascii="Times New Roman" w:eastAsia="SimSun" w:hAnsi="Times New Roman" w:cs="Times New Roman"/>
          <w:bCs/>
          <w:sz w:val="24"/>
          <w:szCs w:val="24"/>
          <w:lang w:eastAsia="zh-CN"/>
        </w:rPr>
        <w:t xml:space="preserve">                                                                       </w:t>
      </w:r>
      <w:r>
        <w:rPr>
          <w:rFonts w:ascii="Times New Roman" w:eastAsia="SimSun" w:hAnsi="Times New Roman" w:cs="Times New Roman"/>
          <w:b/>
          <w:bCs/>
          <w:sz w:val="24"/>
          <w:szCs w:val="24"/>
          <w:lang w:eastAsia="zh-CN"/>
        </w:rPr>
        <w:t>9</w:t>
      </w:r>
      <w:r w:rsidRPr="00402619">
        <w:rPr>
          <w:rFonts w:ascii="Times New Roman" w:eastAsia="SimSun" w:hAnsi="Times New Roman" w:cs="Times New Roman"/>
          <w:b/>
          <w:bCs/>
          <w:sz w:val="24"/>
          <w:szCs w:val="24"/>
          <w:vertAlign w:val="superscript"/>
          <w:lang w:eastAsia="zh-CN"/>
        </w:rPr>
        <w:t>th</w:t>
      </w:r>
      <w:r>
        <w:rPr>
          <w:rFonts w:ascii="Times New Roman" w:eastAsia="SimSun" w:hAnsi="Times New Roman" w:cs="Times New Roman"/>
          <w:b/>
          <w:bCs/>
          <w:sz w:val="24"/>
          <w:szCs w:val="24"/>
          <w:lang w:eastAsia="zh-CN"/>
        </w:rPr>
        <w:t xml:space="preserve"> May, 2026</w:t>
      </w:r>
    </w:p>
    <w:p w14:paraId="52DA4F4B" w14:textId="77777777" w:rsidR="0082458C" w:rsidRDefault="003E7366" w:rsidP="003E7366">
      <w:pPr>
        <w:spacing w:after="0" w:line="480" w:lineRule="auto"/>
        <w:jc w:val="both"/>
        <w:rPr>
          <w:rFonts w:ascii="Times New Roman" w:eastAsia="SimSun" w:hAnsi="Times New Roman" w:cs="Times New Roman"/>
          <w:b/>
          <w:bCs/>
          <w:sz w:val="24"/>
          <w:szCs w:val="24"/>
          <w:lang w:eastAsia="zh-CN"/>
        </w:rPr>
      </w:pPr>
      <w:r w:rsidRPr="003E7366">
        <w:rPr>
          <w:rFonts w:ascii="Times New Roman" w:eastAsia="SimSun" w:hAnsi="Times New Roman" w:cs="Times New Roman"/>
          <w:b/>
          <w:bCs/>
          <w:sz w:val="24"/>
          <w:szCs w:val="24"/>
          <w:lang w:eastAsia="zh-CN"/>
        </w:rPr>
        <w:t>Signature</w:t>
      </w:r>
      <w:r w:rsidR="00402619">
        <w:rPr>
          <w:rFonts w:ascii="Times New Roman" w:eastAsia="SimSun" w:hAnsi="Times New Roman" w:cs="Times New Roman"/>
          <w:b/>
          <w:bCs/>
          <w:sz w:val="24"/>
          <w:szCs w:val="24"/>
          <w:lang w:eastAsia="zh-CN"/>
        </w:rPr>
        <w:t xml:space="preserve">: </w:t>
      </w:r>
      <w:r>
        <w:rPr>
          <w:rFonts w:ascii="Times New Roman" w:eastAsia="SimSun" w:hAnsi="Times New Roman" w:cs="Times New Roman"/>
          <w:b/>
          <w:bCs/>
          <w:sz w:val="24"/>
          <w:szCs w:val="24"/>
          <w:lang w:eastAsia="zh-CN"/>
        </w:rPr>
        <w:t xml:space="preserve">                                                                                            </w:t>
      </w:r>
      <w:r w:rsidRPr="003E7366">
        <w:rPr>
          <w:rFonts w:ascii="Times New Roman" w:eastAsia="SimSun" w:hAnsi="Times New Roman" w:cs="Times New Roman"/>
          <w:b/>
          <w:bCs/>
          <w:sz w:val="24"/>
          <w:szCs w:val="24"/>
          <w:lang w:eastAsia="zh-CN"/>
        </w:rPr>
        <w:t xml:space="preserve">Date: </w:t>
      </w:r>
    </w:p>
    <w:p w14:paraId="1C20D999" w14:textId="77777777" w:rsidR="0082458C" w:rsidRDefault="0082458C" w:rsidP="003E7366">
      <w:pPr>
        <w:spacing w:after="0" w:line="480" w:lineRule="auto"/>
        <w:jc w:val="both"/>
        <w:rPr>
          <w:rFonts w:ascii="Times New Roman" w:eastAsia="SimSun" w:hAnsi="Times New Roman" w:cs="Times New Roman"/>
          <w:b/>
          <w:bCs/>
          <w:sz w:val="24"/>
          <w:szCs w:val="24"/>
          <w:lang w:eastAsia="zh-CN"/>
        </w:rPr>
      </w:pPr>
    </w:p>
    <w:p w14:paraId="334884E5" w14:textId="77777777" w:rsidR="0082458C" w:rsidRDefault="0082458C" w:rsidP="0093721C">
      <w:pPr>
        <w:spacing w:after="0" w:line="360" w:lineRule="auto"/>
        <w:jc w:val="center"/>
        <w:rPr>
          <w:rFonts w:ascii="Times New Roman" w:eastAsia="SimSun" w:hAnsi="Times New Roman" w:cs="Times New Roman"/>
          <w:b/>
          <w:bCs/>
          <w:sz w:val="24"/>
          <w:szCs w:val="24"/>
          <w:lang w:eastAsia="zh-CN"/>
        </w:rPr>
      </w:pPr>
    </w:p>
    <w:p w14:paraId="001F1585" w14:textId="77777777" w:rsidR="0082458C" w:rsidRDefault="0082458C" w:rsidP="0093721C">
      <w:pPr>
        <w:spacing w:after="0" w:line="360" w:lineRule="auto"/>
        <w:jc w:val="center"/>
        <w:rPr>
          <w:rFonts w:ascii="Times New Roman" w:eastAsia="SimSun" w:hAnsi="Times New Roman" w:cs="Times New Roman"/>
          <w:b/>
          <w:bCs/>
          <w:sz w:val="24"/>
          <w:szCs w:val="24"/>
          <w:lang w:eastAsia="zh-CN"/>
        </w:rPr>
      </w:pPr>
    </w:p>
    <w:p w14:paraId="43893801" w14:textId="77777777" w:rsidR="0082458C" w:rsidRDefault="0082458C" w:rsidP="0093721C">
      <w:pPr>
        <w:spacing w:after="0" w:line="360" w:lineRule="auto"/>
        <w:jc w:val="center"/>
        <w:rPr>
          <w:rFonts w:ascii="Times New Roman" w:eastAsia="SimSun" w:hAnsi="Times New Roman" w:cs="Times New Roman"/>
          <w:b/>
          <w:bCs/>
          <w:sz w:val="24"/>
          <w:szCs w:val="24"/>
          <w:lang w:eastAsia="zh-CN"/>
        </w:rPr>
      </w:pPr>
    </w:p>
    <w:p w14:paraId="02364A0C" w14:textId="77777777" w:rsidR="0082458C" w:rsidRDefault="0082458C" w:rsidP="0093721C">
      <w:pPr>
        <w:spacing w:after="0" w:line="360" w:lineRule="auto"/>
        <w:jc w:val="center"/>
        <w:rPr>
          <w:rFonts w:ascii="Times New Roman" w:eastAsia="SimSun" w:hAnsi="Times New Roman" w:cs="Times New Roman"/>
          <w:b/>
          <w:bCs/>
          <w:sz w:val="24"/>
          <w:szCs w:val="24"/>
          <w:lang w:eastAsia="zh-CN"/>
        </w:rPr>
      </w:pPr>
    </w:p>
    <w:p w14:paraId="77C35B63"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1C95EB8A"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3E79E061"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64A1BB82"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2BA35500"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3400B49F"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1A1E0684"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0CECA5C3"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6D9FD8F8"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2853859A"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273920D1"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55ACAA6C"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5C12C96C"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57C62C6B"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68A2EC32"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4D4C2683"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r>
        <w:rPr>
          <w:rStyle w:val="fontstyle01"/>
        </w:rPr>
        <w:t>Acknowledgements</w:t>
      </w:r>
    </w:p>
    <w:p w14:paraId="7D6E3C17" w14:textId="77777777" w:rsidR="0035308F" w:rsidRPr="0035308F" w:rsidRDefault="0035308F" w:rsidP="0035308F">
      <w:pPr>
        <w:pStyle w:val="NormalWeb"/>
        <w:spacing w:before="0" w:beforeAutospacing="0" w:after="180" w:afterAutospacing="0"/>
        <w:rPr>
          <w:rFonts w:eastAsia="SimSun"/>
          <w:bCs/>
          <w:lang w:eastAsia="zh-CN"/>
        </w:rPr>
      </w:pPr>
      <w:r>
        <w:rPr>
          <w:rFonts w:eastAsia="SimSun"/>
          <w:bCs/>
          <w:lang w:eastAsia="zh-CN"/>
        </w:rPr>
        <w:t>I would like to express my profound gratitude to my supervisor, Dr. Muhammad Shahidul Islam, for his invaluable guidance, expert advice, and unwavering support throughout this research. His insights greatly enhanced the quality and direction of this study.</w:t>
      </w:r>
    </w:p>
    <w:p w14:paraId="090429A8" w14:textId="77777777" w:rsidR="0035308F" w:rsidRPr="0035308F" w:rsidRDefault="00284583" w:rsidP="0035308F">
      <w:pPr>
        <w:pStyle w:val="NormalWeb"/>
        <w:spacing w:before="0" w:beforeAutospacing="0" w:after="180" w:afterAutospacing="0"/>
        <w:rPr>
          <w:rFonts w:eastAsia="SimSun"/>
          <w:bCs/>
          <w:lang w:eastAsia="zh-CN"/>
        </w:rPr>
      </w:pPr>
      <w:r>
        <w:rPr>
          <w:rFonts w:eastAsia="SimSun"/>
          <w:bCs/>
          <w:lang w:eastAsia="zh-CN"/>
        </w:rPr>
        <w:t>I am sincerely grateful to the management and healthcare staff at the selected antiretroviral treatment sites in Plateau State, Nigeria, for granting access to their facilities and for their cooperation during data collection. I also extend my heartfelt appreciation to all the data abstractors who participated in this study; their willingness to share their experiences made this research possible.</w:t>
      </w:r>
    </w:p>
    <w:p w14:paraId="7FBEC9B3" w14:textId="77777777" w:rsidR="0035308F" w:rsidRPr="0035308F" w:rsidRDefault="00284583" w:rsidP="0035308F">
      <w:pPr>
        <w:pStyle w:val="NormalWeb"/>
        <w:spacing w:before="0" w:beforeAutospacing="0" w:after="180" w:afterAutospacing="0"/>
        <w:rPr>
          <w:rFonts w:eastAsia="SimSun"/>
          <w:bCs/>
          <w:lang w:eastAsia="zh-CN"/>
        </w:rPr>
      </w:pPr>
      <w:r>
        <w:rPr>
          <w:rFonts w:eastAsia="SimSun"/>
          <w:bCs/>
          <w:lang w:eastAsia="zh-CN"/>
        </w:rPr>
        <w:t>My appreciation goes to the faculty and staff of the Social Sciences at AIU for providing a supportive academic environment and the resources needed to complete this work.</w:t>
      </w:r>
    </w:p>
    <w:p w14:paraId="554CD6A8" w14:textId="77777777" w:rsidR="0035308F" w:rsidRPr="0035308F" w:rsidRDefault="002064E9" w:rsidP="0035308F">
      <w:pPr>
        <w:pStyle w:val="NormalWeb"/>
        <w:spacing w:before="0" w:beforeAutospacing="0" w:after="180" w:afterAutospacing="0"/>
        <w:rPr>
          <w:rFonts w:eastAsia="SimSun"/>
          <w:bCs/>
          <w:lang w:eastAsia="zh-CN"/>
        </w:rPr>
      </w:pPr>
      <w:r>
        <w:rPr>
          <w:rFonts w:eastAsia="SimSun"/>
          <w:bCs/>
          <w:lang w:eastAsia="zh-CN"/>
        </w:rPr>
        <w:t>I am also grateful to my colleagues and friends at work for their input, encouragement, helpful discussions, and moral support throughout the research process.</w:t>
      </w:r>
    </w:p>
    <w:p w14:paraId="7FD3C3F8" w14:textId="77777777" w:rsidR="0035308F" w:rsidRPr="0035308F" w:rsidRDefault="00284583" w:rsidP="0035308F">
      <w:pPr>
        <w:pStyle w:val="NormalWeb"/>
        <w:spacing w:before="0" w:beforeAutospacing="0" w:after="180" w:afterAutospacing="0"/>
        <w:rPr>
          <w:rFonts w:eastAsia="SimSun"/>
          <w:bCs/>
          <w:lang w:eastAsia="zh-CN"/>
        </w:rPr>
      </w:pPr>
      <w:r>
        <w:rPr>
          <w:rFonts w:eastAsia="SimSun"/>
          <w:bCs/>
          <w:lang w:eastAsia="zh-CN"/>
        </w:rPr>
        <w:t>Finally, I want to sincerely thank my family for their constant love, understanding, and support. Their encouragement has played a vital role in helping me complete this thesis successfully.</w:t>
      </w:r>
    </w:p>
    <w:p w14:paraId="7A11F23B" w14:textId="77777777" w:rsidR="003E7366" w:rsidRPr="0035308F" w:rsidRDefault="003E7366" w:rsidP="0093721C">
      <w:pPr>
        <w:spacing w:after="0" w:line="360" w:lineRule="auto"/>
        <w:jc w:val="center"/>
        <w:rPr>
          <w:rFonts w:ascii="Times New Roman" w:eastAsia="SimSun" w:hAnsi="Times New Roman" w:cs="Times New Roman"/>
          <w:bCs/>
          <w:sz w:val="24"/>
          <w:szCs w:val="24"/>
          <w:lang w:eastAsia="zh-CN"/>
        </w:rPr>
      </w:pPr>
    </w:p>
    <w:p w14:paraId="1D86CC6E"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575D4956"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30D35CFB"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37A2E2E0" w14:textId="77777777" w:rsidR="0082458C" w:rsidRDefault="0082458C" w:rsidP="0093721C">
      <w:pPr>
        <w:spacing w:after="0" w:line="360" w:lineRule="auto"/>
        <w:jc w:val="center"/>
        <w:rPr>
          <w:rFonts w:ascii="Times New Roman" w:eastAsia="SimSun" w:hAnsi="Times New Roman" w:cs="Times New Roman"/>
          <w:b/>
          <w:bCs/>
          <w:sz w:val="24"/>
          <w:szCs w:val="24"/>
          <w:lang w:eastAsia="zh-CN"/>
        </w:rPr>
      </w:pPr>
    </w:p>
    <w:p w14:paraId="7EE66F1B" w14:textId="77777777" w:rsidR="0082458C" w:rsidRDefault="0082458C" w:rsidP="0093721C">
      <w:pPr>
        <w:spacing w:after="0" w:line="360" w:lineRule="auto"/>
        <w:jc w:val="center"/>
        <w:rPr>
          <w:rFonts w:ascii="Times New Roman" w:eastAsia="SimSun" w:hAnsi="Times New Roman" w:cs="Times New Roman"/>
          <w:b/>
          <w:bCs/>
          <w:sz w:val="24"/>
          <w:szCs w:val="24"/>
          <w:lang w:eastAsia="zh-CN"/>
        </w:rPr>
      </w:pPr>
    </w:p>
    <w:p w14:paraId="694166CD" w14:textId="77777777" w:rsidR="0082458C" w:rsidRDefault="0082458C" w:rsidP="0093721C">
      <w:pPr>
        <w:spacing w:after="0" w:line="360" w:lineRule="auto"/>
        <w:jc w:val="center"/>
        <w:rPr>
          <w:rFonts w:ascii="Times New Roman" w:eastAsia="SimSun" w:hAnsi="Times New Roman" w:cs="Times New Roman"/>
          <w:b/>
          <w:bCs/>
          <w:sz w:val="24"/>
          <w:szCs w:val="24"/>
          <w:lang w:eastAsia="zh-CN"/>
        </w:rPr>
      </w:pPr>
    </w:p>
    <w:p w14:paraId="0D11BA64" w14:textId="77777777" w:rsidR="0082458C" w:rsidRDefault="0082458C" w:rsidP="0093721C">
      <w:pPr>
        <w:spacing w:after="0" w:line="360" w:lineRule="auto"/>
        <w:jc w:val="center"/>
        <w:rPr>
          <w:rFonts w:ascii="Times New Roman" w:eastAsia="SimSun" w:hAnsi="Times New Roman" w:cs="Times New Roman"/>
          <w:b/>
          <w:bCs/>
          <w:sz w:val="24"/>
          <w:szCs w:val="24"/>
          <w:lang w:eastAsia="zh-CN"/>
        </w:rPr>
      </w:pPr>
    </w:p>
    <w:p w14:paraId="7C2841BA"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2F6E6DA3"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3A70E3CD"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17E0044B"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08117C67"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21DE3604"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64CAEC93"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57E2BB49"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3037D156"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6866A6B5"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45165F1F"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064BFB49"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2BF3DCE3"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456DC13D"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1E9B13A9"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3E4DED59"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4E973697"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1A160EBB"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5B3FE789"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3DA2572D"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17F71C1D"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7DFE31F0" w14:textId="77777777" w:rsidR="003E7366" w:rsidRDefault="003E7366" w:rsidP="0093721C">
      <w:pPr>
        <w:spacing w:after="0" w:line="360" w:lineRule="auto"/>
        <w:jc w:val="center"/>
        <w:rPr>
          <w:rFonts w:ascii="Times New Roman" w:eastAsia="SimSun" w:hAnsi="Times New Roman" w:cs="Times New Roman"/>
          <w:b/>
          <w:bCs/>
          <w:sz w:val="24"/>
          <w:szCs w:val="24"/>
          <w:lang w:eastAsia="zh-CN"/>
        </w:rPr>
      </w:pPr>
    </w:p>
    <w:p w14:paraId="1BCEC73D" w14:textId="77777777" w:rsidR="003E7366" w:rsidRDefault="003E7366" w:rsidP="0093721C">
      <w:pPr>
        <w:spacing w:after="0" w:line="360" w:lineRule="auto"/>
        <w:jc w:val="center"/>
        <w:rPr>
          <w:rStyle w:val="fontstyle01"/>
        </w:rPr>
      </w:pPr>
      <w:r>
        <w:rPr>
          <w:rStyle w:val="fontstyle01"/>
        </w:rPr>
        <w:t>Dedication</w:t>
      </w:r>
    </w:p>
    <w:p w14:paraId="66BE3D29" w14:textId="77777777" w:rsidR="00904CB4" w:rsidRPr="00904CB4" w:rsidRDefault="00904CB4" w:rsidP="00904CB4">
      <w:pPr>
        <w:pStyle w:val="NormalWeb"/>
        <w:spacing w:before="0" w:beforeAutospacing="0" w:after="180" w:afterAutospacing="0"/>
        <w:rPr>
          <w:rFonts w:eastAsia="SimSun"/>
          <w:bCs/>
          <w:lang w:eastAsia="zh-CN"/>
        </w:rPr>
      </w:pPr>
      <w:r w:rsidRPr="00904CB4">
        <w:rPr>
          <w:rFonts w:eastAsia="SimSun"/>
          <w:bCs/>
          <w:lang w:eastAsia="zh-CN"/>
        </w:rPr>
        <w:t>This thesis is dedicated to my beloved family, whose unwavering love, sacrifices, and encouragement have been my greatest source of strength throughout this academic journey.</w:t>
      </w:r>
      <w:r>
        <w:rPr>
          <w:rFonts w:eastAsia="SimSun"/>
          <w:bCs/>
          <w:lang w:eastAsia="zh-CN"/>
        </w:rPr>
        <w:t xml:space="preserve"> Special dedication goes to my wife, who ill health has prevented her from completing her </w:t>
      </w:r>
      <w:r w:rsidR="000F48FF">
        <w:rPr>
          <w:rFonts w:eastAsia="SimSun"/>
          <w:bCs/>
          <w:lang w:eastAsia="zh-CN"/>
        </w:rPr>
        <w:t xml:space="preserve">PhD </w:t>
      </w:r>
      <w:r>
        <w:rPr>
          <w:rFonts w:eastAsia="SimSun"/>
          <w:bCs/>
          <w:lang w:eastAsia="zh-CN"/>
        </w:rPr>
        <w:t xml:space="preserve">thesis </w:t>
      </w:r>
      <w:r w:rsidR="000F48FF">
        <w:rPr>
          <w:rFonts w:eastAsia="SimSun"/>
          <w:bCs/>
          <w:lang w:eastAsia="zh-CN"/>
        </w:rPr>
        <w:t>in AIU, that was to happen before mine.</w:t>
      </w:r>
    </w:p>
    <w:p w14:paraId="2B3D2B1B" w14:textId="77777777" w:rsidR="00904CB4" w:rsidRPr="00904CB4" w:rsidRDefault="00904CB4" w:rsidP="00904CB4">
      <w:pPr>
        <w:pStyle w:val="NormalWeb"/>
        <w:spacing w:before="0" w:beforeAutospacing="0" w:after="180" w:afterAutospacing="0"/>
        <w:rPr>
          <w:rFonts w:eastAsia="SimSun"/>
          <w:bCs/>
          <w:lang w:eastAsia="zh-CN"/>
        </w:rPr>
      </w:pPr>
      <w:r w:rsidRPr="00904CB4">
        <w:rPr>
          <w:rFonts w:eastAsia="SimSun"/>
          <w:bCs/>
          <w:lang w:eastAsia="zh-CN"/>
        </w:rPr>
        <w:t>I also dedicate this work to all patients living with HIV/AIDS, particularly those striving to achieve and maintain viral load suppression</w:t>
      </w:r>
      <w:r w:rsidR="000F48FF">
        <w:rPr>
          <w:rFonts w:eastAsia="SimSun"/>
          <w:bCs/>
          <w:lang w:eastAsia="zh-CN"/>
        </w:rPr>
        <w:t xml:space="preserve"> in Nigeria</w:t>
      </w:r>
      <w:r w:rsidRPr="00904CB4">
        <w:rPr>
          <w:rFonts w:eastAsia="SimSun"/>
          <w:bCs/>
          <w:lang w:eastAsia="zh-CN"/>
        </w:rPr>
        <w:t>. May this research contribute, in some measure, to improving treatment outcomes and enhancing the quality of care in our communities.</w:t>
      </w:r>
    </w:p>
    <w:p w14:paraId="64AB8326" w14:textId="77777777" w:rsidR="00904CB4" w:rsidRPr="00904CB4" w:rsidRDefault="00904CB4" w:rsidP="00904CB4">
      <w:pPr>
        <w:pStyle w:val="NormalWeb"/>
        <w:spacing w:before="0" w:beforeAutospacing="0" w:after="180" w:afterAutospacing="0"/>
        <w:rPr>
          <w:rFonts w:eastAsia="SimSun"/>
          <w:bCs/>
          <w:lang w:eastAsia="zh-CN"/>
        </w:rPr>
      </w:pPr>
      <w:r w:rsidRPr="00904CB4">
        <w:rPr>
          <w:rFonts w:eastAsia="SimSun"/>
          <w:bCs/>
          <w:lang w:eastAsia="zh-CN"/>
        </w:rPr>
        <w:t>Finally, this work is dedicated to the healthcare professionals committed to the fight against HIV/AIDS, whose tireless efforts continue to make a meaningful difference in the lives of many.</w:t>
      </w:r>
    </w:p>
    <w:p w14:paraId="22D32891" w14:textId="77777777" w:rsidR="00904CB4" w:rsidRPr="00904CB4" w:rsidRDefault="00904CB4" w:rsidP="00904CB4">
      <w:pPr>
        <w:rPr>
          <w:rFonts w:ascii="Times New Roman" w:eastAsia="SimSun" w:hAnsi="Times New Roman" w:cs="Times New Roman"/>
          <w:bCs/>
          <w:sz w:val="24"/>
          <w:szCs w:val="24"/>
          <w:lang w:eastAsia="zh-CN"/>
        </w:rPr>
      </w:pPr>
    </w:p>
    <w:p w14:paraId="19C7FB66" w14:textId="77777777" w:rsidR="003E7366" w:rsidRDefault="003E7366" w:rsidP="0093721C">
      <w:pPr>
        <w:spacing w:after="0" w:line="360" w:lineRule="auto"/>
        <w:jc w:val="center"/>
        <w:rPr>
          <w:rStyle w:val="fontstyle01"/>
        </w:rPr>
      </w:pPr>
    </w:p>
    <w:p w14:paraId="28043ECA" w14:textId="77777777" w:rsidR="003E7366" w:rsidRDefault="003E7366" w:rsidP="0093721C">
      <w:pPr>
        <w:spacing w:after="0" w:line="360" w:lineRule="auto"/>
        <w:jc w:val="center"/>
        <w:rPr>
          <w:rStyle w:val="fontstyle01"/>
        </w:rPr>
      </w:pPr>
    </w:p>
    <w:p w14:paraId="45E990D7" w14:textId="77777777" w:rsidR="003E7366" w:rsidRDefault="003E7366" w:rsidP="0093721C">
      <w:pPr>
        <w:spacing w:after="0" w:line="360" w:lineRule="auto"/>
        <w:jc w:val="center"/>
        <w:rPr>
          <w:rStyle w:val="fontstyle01"/>
        </w:rPr>
      </w:pPr>
    </w:p>
    <w:p w14:paraId="2C66708F" w14:textId="77777777" w:rsidR="003E7366" w:rsidRDefault="003E7366" w:rsidP="0093721C">
      <w:pPr>
        <w:spacing w:after="0" w:line="360" w:lineRule="auto"/>
        <w:jc w:val="center"/>
        <w:rPr>
          <w:rStyle w:val="fontstyle01"/>
        </w:rPr>
      </w:pPr>
    </w:p>
    <w:p w14:paraId="70F8D95D" w14:textId="77777777" w:rsidR="003E7366" w:rsidRDefault="003E7366" w:rsidP="0093721C">
      <w:pPr>
        <w:spacing w:after="0" w:line="360" w:lineRule="auto"/>
        <w:jc w:val="center"/>
        <w:rPr>
          <w:rStyle w:val="fontstyle01"/>
        </w:rPr>
      </w:pPr>
    </w:p>
    <w:p w14:paraId="15B7C690" w14:textId="77777777" w:rsidR="003E7366" w:rsidRDefault="003E7366" w:rsidP="0093721C">
      <w:pPr>
        <w:spacing w:after="0" w:line="360" w:lineRule="auto"/>
        <w:jc w:val="center"/>
        <w:rPr>
          <w:rStyle w:val="fontstyle01"/>
        </w:rPr>
      </w:pPr>
    </w:p>
    <w:p w14:paraId="46494CDE" w14:textId="77777777" w:rsidR="003E7366" w:rsidRDefault="003E7366" w:rsidP="0093721C">
      <w:pPr>
        <w:spacing w:after="0" w:line="360" w:lineRule="auto"/>
        <w:jc w:val="center"/>
        <w:rPr>
          <w:rStyle w:val="fontstyle01"/>
        </w:rPr>
      </w:pPr>
    </w:p>
    <w:p w14:paraId="0516B03A" w14:textId="77777777" w:rsidR="003E7366" w:rsidRDefault="003E7366" w:rsidP="0093721C">
      <w:pPr>
        <w:spacing w:after="0" w:line="360" w:lineRule="auto"/>
        <w:jc w:val="center"/>
        <w:rPr>
          <w:rStyle w:val="fontstyle01"/>
        </w:rPr>
      </w:pPr>
    </w:p>
    <w:p w14:paraId="527350CD" w14:textId="77777777" w:rsidR="003E7366" w:rsidRDefault="003E7366" w:rsidP="0093721C">
      <w:pPr>
        <w:spacing w:after="0" w:line="360" w:lineRule="auto"/>
        <w:jc w:val="center"/>
        <w:rPr>
          <w:rStyle w:val="fontstyle01"/>
        </w:rPr>
      </w:pPr>
    </w:p>
    <w:p w14:paraId="2CEF9700" w14:textId="77777777" w:rsidR="003E7366" w:rsidRDefault="003E7366" w:rsidP="0093721C">
      <w:pPr>
        <w:spacing w:after="0" w:line="360" w:lineRule="auto"/>
        <w:jc w:val="center"/>
        <w:rPr>
          <w:rStyle w:val="fontstyle01"/>
        </w:rPr>
      </w:pPr>
    </w:p>
    <w:p w14:paraId="30DB79BA" w14:textId="77777777" w:rsidR="0016249E" w:rsidRDefault="0016249E" w:rsidP="0016249E">
      <w:pPr>
        <w:spacing w:after="0" w:line="48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TABLE OF CONTENTS</w:t>
      </w:r>
    </w:p>
    <w:p w14:paraId="6ED9A3B1" w14:textId="77777777" w:rsidR="0016249E" w:rsidRPr="00480DCE" w:rsidRDefault="0016249E" w:rsidP="0016249E">
      <w:pPr>
        <w:spacing w:after="0" w:line="360" w:lineRule="auto"/>
        <w:jc w:val="both"/>
        <w:rPr>
          <w:rFonts w:ascii="Times New Roman" w:eastAsia="Calibri" w:hAnsi="Times New Roman" w:cs="Times New Roman"/>
          <w:bCs/>
          <w:sz w:val="24"/>
          <w:szCs w:val="24"/>
        </w:rPr>
      </w:pPr>
      <w:r w:rsidRPr="00480DCE">
        <w:rPr>
          <w:rFonts w:ascii="Times New Roman" w:eastAsia="Calibri" w:hAnsi="Times New Roman" w:cs="Times New Roman"/>
          <w:bCs/>
          <w:sz w:val="24"/>
          <w:szCs w:val="24"/>
        </w:rPr>
        <w:t>Cover Page</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t>i</w:t>
      </w:r>
    </w:p>
    <w:p w14:paraId="2E69B650" w14:textId="77777777" w:rsidR="0016249E" w:rsidRPr="00480DCE" w:rsidRDefault="0016249E" w:rsidP="0016249E">
      <w:pPr>
        <w:spacing w:after="0" w:line="360" w:lineRule="auto"/>
        <w:jc w:val="both"/>
        <w:rPr>
          <w:rFonts w:ascii="Times New Roman" w:eastAsia="Calibri" w:hAnsi="Times New Roman" w:cs="Times New Roman"/>
          <w:bCs/>
          <w:sz w:val="24"/>
          <w:szCs w:val="24"/>
        </w:rPr>
      </w:pPr>
      <w:r w:rsidRPr="00480DCE">
        <w:rPr>
          <w:rFonts w:ascii="Times New Roman" w:eastAsia="Calibri" w:hAnsi="Times New Roman" w:cs="Times New Roman"/>
          <w:bCs/>
          <w:sz w:val="24"/>
          <w:szCs w:val="24"/>
        </w:rPr>
        <w:t>Declaration</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t>ii</w:t>
      </w:r>
    </w:p>
    <w:p w14:paraId="2883DC07" w14:textId="77777777" w:rsidR="0016249E" w:rsidRPr="00480DCE" w:rsidRDefault="0016249E" w:rsidP="0016249E">
      <w:pPr>
        <w:spacing w:after="0" w:line="360" w:lineRule="auto"/>
        <w:jc w:val="both"/>
        <w:rPr>
          <w:rFonts w:ascii="Times New Roman" w:eastAsia="Calibri" w:hAnsi="Times New Roman" w:cs="Times New Roman"/>
          <w:bCs/>
          <w:sz w:val="24"/>
          <w:szCs w:val="24"/>
        </w:rPr>
      </w:pPr>
      <w:r w:rsidRPr="00480DCE">
        <w:rPr>
          <w:rFonts w:ascii="Times New Roman" w:eastAsia="Calibri" w:hAnsi="Times New Roman" w:cs="Times New Roman"/>
          <w:bCs/>
          <w:sz w:val="24"/>
          <w:szCs w:val="24"/>
        </w:rPr>
        <w:t>Acknowledgement</w:t>
      </w:r>
      <w:r>
        <w:rPr>
          <w:rFonts w:ascii="Times New Roman" w:eastAsia="Calibri" w:hAnsi="Times New Roman" w:cs="Times New Roman"/>
          <w:bCs/>
          <w:sz w:val="24"/>
          <w:szCs w:val="24"/>
        </w:rPr>
        <w:t>s</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t>iii</w:t>
      </w:r>
    </w:p>
    <w:p w14:paraId="659CBE86" w14:textId="77777777" w:rsidR="0016249E" w:rsidRDefault="0016249E" w:rsidP="0016249E">
      <w:pPr>
        <w:spacing w:after="0" w:line="360" w:lineRule="auto"/>
        <w:jc w:val="both"/>
        <w:rPr>
          <w:rFonts w:ascii="Times New Roman" w:eastAsia="Calibri" w:hAnsi="Times New Roman" w:cs="Times New Roman"/>
          <w:bCs/>
          <w:sz w:val="24"/>
          <w:szCs w:val="24"/>
        </w:rPr>
      </w:pPr>
      <w:r w:rsidRPr="00480DCE">
        <w:rPr>
          <w:rFonts w:ascii="Times New Roman" w:eastAsia="Calibri" w:hAnsi="Times New Roman" w:cs="Times New Roman"/>
          <w:bCs/>
          <w:sz w:val="24"/>
          <w:szCs w:val="24"/>
        </w:rPr>
        <w:t xml:space="preserve">Dedication </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t>iv</w:t>
      </w:r>
    </w:p>
    <w:p w14:paraId="49460D8B" w14:textId="77777777" w:rsidR="0016249E" w:rsidRDefault="0016249E" w:rsidP="0016249E">
      <w:pPr>
        <w:spacing w:after="0"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Table of Contents</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t>v</w:t>
      </w:r>
    </w:p>
    <w:p w14:paraId="1F8278CC" w14:textId="77777777" w:rsidR="0016249E" w:rsidRDefault="0016249E" w:rsidP="0016249E">
      <w:pPr>
        <w:spacing w:after="0"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List of Tables</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t>viii</w:t>
      </w:r>
    </w:p>
    <w:p w14:paraId="6B60E1C7" w14:textId="77777777" w:rsidR="0016249E" w:rsidRDefault="0016249E" w:rsidP="0016249E">
      <w:pPr>
        <w:spacing w:after="0"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List of Figures </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t>ix</w:t>
      </w:r>
    </w:p>
    <w:p w14:paraId="7EC28DEB" w14:textId="77777777" w:rsidR="0016249E" w:rsidRDefault="0016249E" w:rsidP="0016249E">
      <w:pPr>
        <w:spacing w:after="0"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List of Abbreviations </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t>x</w:t>
      </w:r>
    </w:p>
    <w:p w14:paraId="08CB6FAE" w14:textId="77777777" w:rsidR="0016249E" w:rsidRDefault="0016249E" w:rsidP="0016249E">
      <w:pPr>
        <w:spacing w:after="0"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List of Operational Definitions </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t>vii</w:t>
      </w:r>
    </w:p>
    <w:p w14:paraId="7F880AB3" w14:textId="77777777" w:rsidR="0016249E" w:rsidRDefault="0016249E" w:rsidP="0016249E">
      <w:pPr>
        <w:spacing w:after="0"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Abstract </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t>xiii</w:t>
      </w:r>
    </w:p>
    <w:p w14:paraId="210F607A" w14:textId="77777777" w:rsidR="0016249E" w:rsidRPr="00C339D2" w:rsidRDefault="0016249E" w:rsidP="0016249E">
      <w:pPr>
        <w:spacing w:after="0" w:line="360" w:lineRule="auto"/>
        <w:jc w:val="center"/>
        <w:rPr>
          <w:rFonts w:ascii="Times New Roman" w:eastAsia="Calibri" w:hAnsi="Times New Roman" w:cs="Times New Roman"/>
          <w:b/>
          <w:sz w:val="24"/>
          <w:szCs w:val="24"/>
        </w:rPr>
      </w:pPr>
      <w:r w:rsidRPr="00C339D2">
        <w:rPr>
          <w:rFonts w:ascii="Times New Roman" w:eastAsia="Calibri" w:hAnsi="Times New Roman" w:cs="Times New Roman"/>
          <w:b/>
          <w:sz w:val="24"/>
          <w:szCs w:val="24"/>
        </w:rPr>
        <w:t>CHAPTER ONE</w:t>
      </w:r>
    </w:p>
    <w:p w14:paraId="65F4EE14" w14:textId="77777777" w:rsidR="0016249E" w:rsidRPr="00C339D2" w:rsidRDefault="0016249E" w:rsidP="0016249E">
      <w:pPr>
        <w:spacing w:after="0" w:line="360" w:lineRule="auto"/>
        <w:jc w:val="center"/>
        <w:rPr>
          <w:rFonts w:ascii="Times New Roman" w:eastAsia="Calibri" w:hAnsi="Times New Roman" w:cs="Times New Roman"/>
          <w:b/>
          <w:sz w:val="24"/>
          <w:szCs w:val="24"/>
        </w:rPr>
      </w:pPr>
      <w:r w:rsidRPr="00C339D2">
        <w:rPr>
          <w:rFonts w:ascii="Times New Roman" w:eastAsia="SimSun" w:hAnsi="Times New Roman" w:cs="Times New Roman"/>
          <w:b/>
          <w:color w:val="212529"/>
          <w:sz w:val="24"/>
          <w:szCs w:val="24"/>
          <w:shd w:val="clear" w:color="auto" w:fill="FFFFFF"/>
          <w:lang w:eastAsia="zh-CN"/>
        </w:rPr>
        <w:t xml:space="preserve">GENERAL </w:t>
      </w:r>
      <w:r w:rsidRPr="00C339D2">
        <w:rPr>
          <w:rFonts w:ascii="Times New Roman" w:eastAsia="Calibri" w:hAnsi="Times New Roman" w:cs="Times New Roman"/>
          <w:b/>
          <w:sz w:val="24"/>
          <w:szCs w:val="24"/>
        </w:rPr>
        <w:t>INTRODUCTION</w:t>
      </w:r>
    </w:p>
    <w:p w14:paraId="005E533B"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1.1 Contextual Data</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t>1</w:t>
      </w:r>
    </w:p>
    <w:p w14:paraId="3DABA95E" w14:textId="77777777" w:rsidR="0016249E" w:rsidRPr="00C339D2" w:rsidRDefault="0016249E" w:rsidP="0016249E">
      <w:pPr>
        <w:spacing w:after="0" w:line="360" w:lineRule="auto"/>
        <w:jc w:val="both"/>
        <w:outlineLvl w:val="2"/>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1.2 Background Information</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t>5</w:t>
      </w:r>
    </w:p>
    <w:p w14:paraId="7D8D580F"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1.2.1 Literature Review</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t>6</w:t>
      </w:r>
    </w:p>
    <w:p w14:paraId="327828AB"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1.2.1.1 Theoretical Framework</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t>7</w:t>
      </w:r>
    </w:p>
    <w:p w14:paraId="46BCED48"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1.2.1.1.1 The Social Ecological Model</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7</w:t>
      </w:r>
    </w:p>
    <w:p w14:paraId="58E7AFBB"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1.2.1.2 Conceptual Review</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11</w:t>
      </w:r>
    </w:p>
    <w:p w14:paraId="4B4D8B33"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1.2.1.2.1 Viral Load Suppression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11</w:t>
      </w:r>
    </w:p>
    <w:p w14:paraId="78E1FD70"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1.2.1.2.2 Antiretroviral Therapy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14</w:t>
      </w:r>
    </w:p>
    <w:p w14:paraId="10C4B0B2"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1.2.1.3 Empirical Review</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16</w:t>
      </w:r>
    </w:p>
    <w:p w14:paraId="64BB4BA4"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1.2.1.3.1 Global and National Trends in Viral Load Suppression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17</w:t>
      </w:r>
    </w:p>
    <w:p w14:paraId="0051CE84"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1.2.1.3.2 Sociodemographic Determinants of Viral Load Suppression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22</w:t>
      </w:r>
    </w:p>
    <w:p w14:paraId="5D6C3BB3"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1.2.1.3.3 Clinical and Treatment Related Predictors of Viral Load Suppression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25</w:t>
      </w:r>
    </w:p>
    <w:p w14:paraId="1C3B2024"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1.2.1.3.4 Facility Level Contextual Factors and Viral Load Suppression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28</w:t>
      </w:r>
    </w:p>
    <w:p w14:paraId="234CCC56"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1.2.1.4 Summary of Literature and Gaps in Knowledge</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32</w:t>
      </w:r>
    </w:p>
    <w:p w14:paraId="5447CF1D"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1.2.1.5 Conceptual Framework</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34</w:t>
      </w:r>
    </w:p>
    <w:p w14:paraId="3619A91A" w14:textId="77777777" w:rsidR="00593293" w:rsidRDefault="00593293" w:rsidP="0016249E">
      <w:pPr>
        <w:spacing w:after="0" w:line="360" w:lineRule="auto"/>
        <w:jc w:val="center"/>
        <w:rPr>
          <w:rFonts w:ascii="Times New Roman" w:hAnsi="Times New Roman" w:cs="Times New Roman"/>
          <w:b/>
          <w:sz w:val="24"/>
          <w:szCs w:val="24"/>
        </w:rPr>
      </w:pPr>
    </w:p>
    <w:p w14:paraId="6CB475BF" w14:textId="77777777" w:rsidR="00593293" w:rsidRDefault="00593293" w:rsidP="0016249E">
      <w:pPr>
        <w:spacing w:after="0" w:line="360" w:lineRule="auto"/>
        <w:jc w:val="center"/>
        <w:rPr>
          <w:rFonts w:ascii="Times New Roman" w:hAnsi="Times New Roman" w:cs="Times New Roman"/>
          <w:b/>
          <w:sz w:val="24"/>
          <w:szCs w:val="24"/>
        </w:rPr>
      </w:pPr>
    </w:p>
    <w:p w14:paraId="015287A1" w14:textId="77777777" w:rsidR="00593293" w:rsidRDefault="00593293" w:rsidP="0016249E">
      <w:pPr>
        <w:spacing w:after="0" w:line="360" w:lineRule="auto"/>
        <w:jc w:val="center"/>
        <w:rPr>
          <w:rFonts w:ascii="Times New Roman" w:hAnsi="Times New Roman" w:cs="Times New Roman"/>
          <w:b/>
          <w:sz w:val="24"/>
          <w:szCs w:val="24"/>
        </w:rPr>
      </w:pPr>
    </w:p>
    <w:p w14:paraId="61E17D80" w14:textId="621601DE" w:rsidR="0016249E" w:rsidRPr="00C339D2" w:rsidRDefault="0016249E" w:rsidP="0016249E">
      <w:pPr>
        <w:spacing w:after="0" w:line="360" w:lineRule="auto"/>
        <w:jc w:val="center"/>
        <w:rPr>
          <w:rFonts w:ascii="Times New Roman" w:hAnsi="Times New Roman" w:cs="Times New Roman"/>
          <w:b/>
          <w:sz w:val="24"/>
          <w:szCs w:val="24"/>
        </w:rPr>
      </w:pPr>
      <w:r w:rsidRPr="00C339D2">
        <w:rPr>
          <w:rFonts w:ascii="Times New Roman" w:hAnsi="Times New Roman" w:cs="Times New Roman"/>
          <w:b/>
          <w:sz w:val="24"/>
          <w:szCs w:val="24"/>
        </w:rPr>
        <w:lastRenderedPageBreak/>
        <w:t xml:space="preserve">CHAPTER TWO </w:t>
      </w:r>
    </w:p>
    <w:p w14:paraId="22987BE8" w14:textId="77777777" w:rsidR="0016249E" w:rsidRPr="00C339D2" w:rsidRDefault="0016249E" w:rsidP="0016249E">
      <w:pPr>
        <w:spacing w:after="0" w:line="360" w:lineRule="auto"/>
        <w:jc w:val="center"/>
        <w:rPr>
          <w:rFonts w:ascii="Times New Roman" w:hAnsi="Times New Roman" w:cs="Times New Roman"/>
          <w:b/>
          <w:sz w:val="24"/>
          <w:szCs w:val="24"/>
        </w:rPr>
      </w:pPr>
      <w:r w:rsidRPr="00C339D2">
        <w:rPr>
          <w:rFonts w:ascii="Times New Roman" w:hAnsi="Times New Roman" w:cs="Times New Roman"/>
          <w:b/>
          <w:sz w:val="24"/>
          <w:szCs w:val="24"/>
        </w:rPr>
        <w:t>DEFINITION OF THE ISSUE</w:t>
      </w:r>
    </w:p>
    <w:p w14:paraId="4ED6360B"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 xml:space="preserve">2.0 Introduction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37</w:t>
      </w:r>
    </w:p>
    <w:p w14:paraId="0AE417C5"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 xml:space="preserve">2.1 Statement of the Issue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38</w:t>
      </w:r>
    </w:p>
    <w:p w14:paraId="6B7096E3"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2.2 Description of the Issue</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40</w:t>
      </w:r>
    </w:p>
    <w:p w14:paraId="595976C1" w14:textId="77777777" w:rsidR="0016249E" w:rsidRPr="00C339D2" w:rsidRDefault="0016249E" w:rsidP="0016249E">
      <w:pPr>
        <w:spacing w:after="0" w:line="360" w:lineRule="auto"/>
        <w:jc w:val="center"/>
        <w:rPr>
          <w:rFonts w:ascii="Times New Roman" w:eastAsia="Times New Roman" w:hAnsi="Times New Roman" w:cs="Times New Roman"/>
          <w:b/>
          <w:sz w:val="24"/>
          <w:szCs w:val="24"/>
        </w:rPr>
      </w:pPr>
      <w:r w:rsidRPr="00C339D2">
        <w:rPr>
          <w:rFonts w:ascii="Times New Roman" w:eastAsia="Times New Roman" w:hAnsi="Times New Roman" w:cs="Times New Roman"/>
          <w:b/>
          <w:sz w:val="24"/>
          <w:szCs w:val="24"/>
        </w:rPr>
        <w:t>CHAPTER THREE</w:t>
      </w:r>
    </w:p>
    <w:p w14:paraId="582DA05B" w14:textId="77777777" w:rsidR="0016249E" w:rsidRPr="00C339D2" w:rsidRDefault="0016249E" w:rsidP="0016249E">
      <w:pPr>
        <w:spacing w:after="0" w:line="360" w:lineRule="auto"/>
        <w:jc w:val="center"/>
        <w:rPr>
          <w:rFonts w:ascii="Times New Roman" w:eastAsia="Times New Roman" w:hAnsi="Times New Roman" w:cs="Times New Roman"/>
          <w:b/>
          <w:sz w:val="24"/>
          <w:szCs w:val="24"/>
        </w:rPr>
      </w:pPr>
      <w:r w:rsidRPr="00C339D2">
        <w:rPr>
          <w:rFonts w:ascii="Times New Roman" w:eastAsia="Times New Roman" w:hAnsi="Times New Roman" w:cs="Times New Roman"/>
          <w:b/>
          <w:sz w:val="24"/>
          <w:szCs w:val="24"/>
        </w:rPr>
        <w:t>DYNAMICS OF THE ANTICIPATED SOLUTION (METHODS)</w:t>
      </w:r>
    </w:p>
    <w:p w14:paraId="696D9F85"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 xml:space="preserve">3.0 Introduction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42</w:t>
      </w:r>
    </w:p>
    <w:p w14:paraId="2D8D90B4"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 xml:space="preserve">3.1 Goal of the Investigation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42</w:t>
      </w:r>
    </w:p>
    <w:p w14:paraId="2AF505A2"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 xml:space="preserve">3.2 Objectives of the Investigation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43</w:t>
      </w:r>
    </w:p>
    <w:p w14:paraId="14E5F331"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3.3 Materials and Methods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44</w:t>
      </w:r>
    </w:p>
    <w:p w14:paraId="54AF6263"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3.3.1 Research Design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44</w:t>
      </w:r>
    </w:p>
    <w:p w14:paraId="675E43A8"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3.3.2 Study Setting</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45</w:t>
      </w:r>
    </w:p>
    <w:p w14:paraId="2656801D" w14:textId="77777777" w:rsidR="0016249E" w:rsidRPr="00C339D2" w:rsidRDefault="0016249E" w:rsidP="0016249E">
      <w:pPr>
        <w:spacing w:after="0" w:line="360" w:lineRule="auto"/>
        <w:jc w:val="both"/>
        <w:outlineLvl w:val="2"/>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3.3.3 Study Population and Sampling</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47</w:t>
      </w:r>
    </w:p>
    <w:p w14:paraId="5F7DAA94"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3.3.4 Data Sources and Materials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48</w:t>
      </w:r>
    </w:p>
    <w:p w14:paraId="7305EBFE"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3.3.5 Measurement of Variables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49</w:t>
      </w:r>
    </w:p>
    <w:p w14:paraId="453B759F" w14:textId="77777777" w:rsidR="0016249E" w:rsidRPr="00C339D2" w:rsidRDefault="0016249E" w:rsidP="0016249E">
      <w:pPr>
        <w:spacing w:after="0" w:line="360" w:lineRule="auto"/>
        <w:jc w:val="both"/>
        <w:outlineLvl w:val="2"/>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3.3.6 Data Analysis Plan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52</w:t>
      </w:r>
    </w:p>
    <w:p w14:paraId="151C2277"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3.3.7 Data Quality Assurance</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54</w:t>
      </w:r>
    </w:p>
    <w:p w14:paraId="7362F091" w14:textId="77777777" w:rsidR="0016249E" w:rsidRPr="00C339D2" w:rsidRDefault="0016249E" w:rsidP="0016249E">
      <w:pPr>
        <w:spacing w:after="0" w:line="360" w:lineRule="auto"/>
        <w:jc w:val="both"/>
        <w:outlineLvl w:val="2"/>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3.3.8 Ethical Considerations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55</w:t>
      </w:r>
    </w:p>
    <w:p w14:paraId="35B3D380" w14:textId="77777777" w:rsidR="0016249E" w:rsidRPr="00C339D2" w:rsidRDefault="0016249E" w:rsidP="0016249E">
      <w:pPr>
        <w:spacing w:after="0" w:line="360" w:lineRule="auto"/>
        <w:jc w:val="center"/>
        <w:outlineLvl w:val="3"/>
        <w:rPr>
          <w:rFonts w:ascii="Times New Roman" w:eastAsia="Times New Roman" w:hAnsi="Times New Roman" w:cs="Times New Roman"/>
          <w:b/>
          <w:sz w:val="24"/>
          <w:szCs w:val="24"/>
        </w:rPr>
      </w:pPr>
      <w:r w:rsidRPr="00C339D2">
        <w:rPr>
          <w:rFonts w:ascii="Times New Roman" w:eastAsia="Times New Roman" w:hAnsi="Times New Roman" w:cs="Times New Roman"/>
          <w:b/>
          <w:sz w:val="24"/>
          <w:szCs w:val="24"/>
        </w:rPr>
        <w:t>CHAPTER FOUR</w:t>
      </w:r>
    </w:p>
    <w:p w14:paraId="4EC5B3D6" w14:textId="77777777" w:rsidR="0016249E" w:rsidRPr="00C339D2" w:rsidRDefault="0016249E" w:rsidP="0016249E">
      <w:pPr>
        <w:spacing w:after="0" w:line="360" w:lineRule="auto"/>
        <w:jc w:val="center"/>
        <w:outlineLvl w:val="3"/>
        <w:rPr>
          <w:rFonts w:ascii="Times New Roman" w:eastAsia="Times New Roman" w:hAnsi="Times New Roman" w:cs="Times New Roman"/>
          <w:b/>
          <w:sz w:val="24"/>
          <w:szCs w:val="24"/>
        </w:rPr>
      </w:pPr>
      <w:r w:rsidRPr="00C339D2">
        <w:rPr>
          <w:rFonts w:ascii="Times New Roman" w:eastAsia="Times New Roman" w:hAnsi="Times New Roman" w:cs="Times New Roman"/>
          <w:b/>
          <w:sz w:val="24"/>
          <w:szCs w:val="24"/>
        </w:rPr>
        <w:t>OVERALL OUTCOMES</w:t>
      </w:r>
    </w:p>
    <w:p w14:paraId="1190E685"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4.0 Introduction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56</w:t>
      </w:r>
    </w:p>
    <w:p w14:paraId="7EE8449E"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4.1 Strategy and Techniques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56</w:t>
      </w:r>
    </w:p>
    <w:p w14:paraId="2F9D6C77"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4.1.1 Data Preparation and Quality Verification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57</w:t>
      </w:r>
    </w:p>
    <w:p w14:paraId="4556EFDD"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4.1.2 Variable Classification and Reference Category Decisions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58</w:t>
      </w:r>
    </w:p>
    <w:p w14:paraId="333CDAEF"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4.1.3 Handling of Sparse Cells and Category Merging</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59</w:t>
      </w:r>
    </w:p>
    <w:p w14:paraId="40A7E102"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4.1.4 Analytical Sequence</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60</w:t>
      </w:r>
    </w:p>
    <w:p w14:paraId="036FEFEF"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4.1.5 Software and Statistical Thresholds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61</w:t>
      </w:r>
    </w:p>
    <w:p w14:paraId="78544E01" w14:textId="77777777" w:rsidR="0016249E" w:rsidRPr="00C339D2" w:rsidRDefault="0016249E" w:rsidP="0016249E">
      <w:pPr>
        <w:spacing w:after="0" w:line="360" w:lineRule="auto"/>
        <w:jc w:val="both"/>
        <w:rPr>
          <w:rFonts w:ascii="Times New Roman" w:hAnsi="Times New Roman" w:cs="Times New Roman"/>
          <w:bCs/>
          <w:sz w:val="24"/>
          <w:szCs w:val="24"/>
        </w:rPr>
      </w:pPr>
      <w:r w:rsidRPr="00C339D2">
        <w:rPr>
          <w:rFonts w:ascii="Times New Roman" w:hAnsi="Times New Roman" w:cs="Times New Roman"/>
          <w:bCs/>
          <w:sz w:val="24"/>
          <w:szCs w:val="24"/>
        </w:rPr>
        <w:t>4.2 Results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61</w:t>
      </w:r>
    </w:p>
    <w:p w14:paraId="554186AE" w14:textId="77777777" w:rsidR="0016249E" w:rsidRPr="00C339D2" w:rsidRDefault="0016249E" w:rsidP="0016249E">
      <w:pPr>
        <w:spacing w:after="0" w:line="360" w:lineRule="auto"/>
        <w:jc w:val="both"/>
        <w:rPr>
          <w:rFonts w:ascii="Times New Roman" w:hAnsi="Times New Roman" w:cs="Times New Roman"/>
          <w:bCs/>
          <w:sz w:val="24"/>
          <w:szCs w:val="24"/>
        </w:rPr>
      </w:pPr>
      <w:r w:rsidRPr="00C339D2">
        <w:rPr>
          <w:rFonts w:ascii="Times New Roman" w:hAnsi="Times New Roman" w:cs="Times New Roman"/>
          <w:bCs/>
          <w:sz w:val="24"/>
          <w:szCs w:val="24"/>
        </w:rPr>
        <w:t>4.2.1 Sociodemographic and Clinical Characteristics of Study Participants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61</w:t>
      </w:r>
    </w:p>
    <w:p w14:paraId="4DD8A70A" w14:textId="77777777" w:rsidR="0016249E" w:rsidRPr="00C339D2" w:rsidRDefault="0016249E" w:rsidP="0016249E">
      <w:pPr>
        <w:spacing w:after="0" w:line="360" w:lineRule="auto"/>
        <w:jc w:val="both"/>
        <w:rPr>
          <w:rFonts w:ascii="Times New Roman" w:hAnsi="Times New Roman" w:cs="Times New Roman"/>
          <w:bCs/>
          <w:sz w:val="24"/>
          <w:szCs w:val="24"/>
        </w:rPr>
      </w:pPr>
      <w:r w:rsidRPr="00C339D2">
        <w:rPr>
          <w:rFonts w:ascii="Times New Roman" w:hAnsi="Times New Roman" w:cs="Times New Roman"/>
          <w:bCs/>
          <w:sz w:val="24"/>
          <w:szCs w:val="24"/>
        </w:rPr>
        <w:t>4.2.1.1 Individual-Level Sociodemographic Characteristics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62</w:t>
      </w:r>
    </w:p>
    <w:p w14:paraId="0B8CFEB5" w14:textId="77777777" w:rsidR="0016249E" w:rsidRPr="00C339D2" w:rsidRDefault="0016249E" w:rsidP="0016249E">
      <w:pPr>
        <w:spacing w:after="0" w:line="360" w:lineRule="auto"/>
        <w:jc w:val="both"/>
        <w:rPr>
          <w:rFonts w:ascii="Times New Roman" w:hAnsi="Times New Roman" w:cs="Times New Roman"/>
          <w:bCs/>
          <w:sz w:val="24"/>
          <w:szCs w:val="24"/>
        </w:rPr>
      </w:pPr>
      <w:r w:rsidRPr="00C339D2">
        <w:rPr>
          <w:rFonts w:ascii="Times New Roman" w:hAnsi="Times New Roman" w:cs="Times New Roman"/>
          <w:bCs/>
          <w:sz w:val="24"/>
          <w:szCs w:val="24"/>
        </w:rPr>
        <w:lastRenderedPageBreak/>
        <w:t>4.2.1.2 Clinical and Treatment Related Characteristics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64</w:t>
      </w:r>
    </w:p>
    <w:p w14:paraId="3B141196" w14:textId="77777777" w:rsidR="0016249E" w:rsidRPr="00C339D2" w:rsidRDefault="0016249E" w:rsidP="0016249E">
      <w:pPr>
        <w:spacing w:after="0" w:line="360" w:lineRule="auto"/>
        <w:jc w:val="both"/>
        <w:rPr>
          <w:rFonts w:ascii="Times New Roman" w:hAnsi="Times New Roman" w:cs="Times New Roman"/>
          <w:bCs/>
          <w:sz w:val="24"/>
          <w:szCs w:val="24"/>
        </w:rPr>
      </w:pPr>
      <w:r w:rsidRPr="00C339D2">
        <w:rPr>
          <w:rFonts w:ascii="Times New Roman" w:hAnsi="Times New Roman" w:cs="Times New Roman"/>
          <w:bCs/>
          <w:sz w:val="24"/>
          <w:szCs w:val="24"/>
        </w:rPr>
        <w:t>4.2.1.3 Facility Level Characteristics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68</w:t>
      </w:r>
    </w:p>
    <w:p w14:paraId="0BF38B4D" w14:textId="77777777" w:rsidR="0016249E" w:rsidRPr="00C339D2" w:rsidRDefault="0016249E" w:rsidP="0016249E">
      <w:pPr>
        <w:spacing w:after="0" w:line="360" w:lineRule="auto"/>
        <w:jc w:val="both"/>
        <w:rPr>
          <w:rFonts w:ascii="Times New Roman" w:hAnsi="Times New Roman" w:cs="Times New Roman"/>
          <w:bCs/>
          <w:sz w:val="24"/>
          <w:szCs w:val="24"/>
        </w:rPr>
      </w:pPr>
      <w:r w:rsidRPr="00C339D2">
        <w:rPr>
          <w:rFonts w:ascii="Times New Roman" w:hAnsi="Times New Roman" w:cs="Times New Roman"/>
          <w:bCs/>
          <w:sz w:val="24"/>
          <w:szCs w:val="24"/>
        </w:rPr>
        <w:t>4.2.2 Programmatic Context: Trend in Viral Load Suppression, 2019-2024</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70</w:t>
      </w:r>
    </w:p>
    <w:p w14:paraId="1933BA5A" w14:textId="77777777" w:rsidR="0016249E" w:rsidRPr="00C339D2" w:rsidRDefault="0016249E" w:rsidP="0016249E">
      <w:pPr>
        <w:spacing w:after="0" w:line="360" w:lineRule="auto"/>
        <w:jc w:val="both"/>
        <w:rPr>
          <w:rFonts w:ascii="Times New Roman" w:hAnsi="Times New Roman" w:cs="Times New Roman"/>
          <w:bCs/>
          <w:sz w:val="24"/>
          <w:szCs w:val="24"/>
        </w:rPr>
      </w:pPr>
      <w:r w:rsidRPr="00C339D2">
        <w:rPr>
          <w:rFonts w:ascii="Times New Roman" w:hAnsi="Times New Roman" w:cs="Times New Roman"/>
          <w:bCs/>
          <w:sz w:val="24"/>
          <w:szCs w:val="24"/>
        </w:rPr>
        <w:t>4.2.3 Phase 2: Bivariate Analysis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71</w:t>
      </w:r>
    </w:p>
    <w:p w14:paraId="7080DD11" w14:textId="77777777" w:rsidR="0016249E" w:rsidRPr="00C339D2" w:rsidRDefault="0016249E" w:rsidP="0016249E">
      <w:pPr>
        <w:spacing w:after="0" w:line="360" w:lineRule="auto"/>
        <w:jc w:val="both"/>
        <w:rPr>
          <w:rFonts w:ascii="Times New Roman" w:hAnsi="Times New Roman" w:cs="Times New Roman"/>
          <w:bCs/>
          <w:sz w:val="24"/>
          <w:szCs w:val="24"/>
        </w:rPr>
      </w:pPr>
      <w:r w:rsidRPr="00C339D2">
        <w:rPr>
          <w:rFonts w:ascii="Times New Roman" w:hAnsi="Times New Roman" w:cs="Times New Roman"/>
          <w:bCs/>
          <w:sz w:val="24"/>
          <w:szCs w:val="24"/>
        </w:rPr>
        <w:t>4.2.4 Phase 3 and 4: Multilevel Analysis Results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74</w:t>
      </w:r>
    </w:p>
    <w:p w14:paraId="1AADD53B"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4.2.4.1 Null Model: Quantifying Facility-Level Variance</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74</w:t>
      </w:r>
    </w:p>
    <w:p w14:paraId="19D9FC3F" w14:textId="77777777" w:rsidR="0016249E" w:rsidRPr="00C339D2" w:rsidRDefault="0016249E" w:rsidP="0016249E">
      <w:pPr>
        <w:spacing w:after="0" w:line="360" w:lineRule="auto"/>
        <w:jc w:val="both"/>
        <w:rPr>
          <w:rFonts w:ascii="Times New Roman" w:hAnsi="Times New Roman" w:cs="Times New Roman"/>
          <w:bCs/>
          <w:sz w:val="24"/>
          <w:szCs w:val="24"/>
        </w:rPr>
      </w:pPr>
      <w:r w:rsidRPr="00C339D2">
        <w:rPr>
          <w:rFonts w:ascii="Times New Roman" w:hAnsi="Times New Roman" w:cs="Times New Roman"/>
          <w:bCs/>
          <w:sz w:val="24"/>
          <w:szCs w:val="24"/>
        </w:rPr>
        <w:t>4.2.4.2 Model Comparison and Structural Findings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75</w:t>
      </w:r>
    </w:p>
    <w:p w14:paraId="5AAEBF1F" w14:textId="77777777" w:rsidR="0016249E" w:rsidRPr="00C339D2" w:rsidRDefault="0016249E" w:rsidP="0016249E">
      <w:pPr>
        <w:spacing w:after="0" w:line="360" w:lineRule="auto"/>
        <w:jc w:val="both"/>
        <w:rPr>
          <w:rFonts w:ascii="Times New Roman" w:hAnsi="Times New Roman" w:cs="Times New Roman"/>
          <w:bCs/>
          <w:sz w:val="24"/>
          <w:szCs w:val="24"/>
        </w:rPr>
      </w:pPr>
      <w:r w:rsidRPr="00C339D2">
        <w:rPr>
          <w:rFonts w:ascii="Times New Roman" w:hAnsi="Times New Roman" w:cs="Times New Roman"/>
          <w:bCs/>
          <w:sz w:val="24"/>
          <w:szCs w:val="24"/>
        </w:rPr>
        <w:t>4.2.4.3 Multilevel Determinants of Viral Load Suppression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76</w:t>
      </w:r>
    </w:p>
    <w:p w14:paraId="7CE6F7FA" w14:textId="77777777" w:rsidR="0016249E" w:rsidRPr="00C339D2" w:rsidRDefault="0016249E" w:rsidP="0016249E">
      <w:pPr>
        <w:spacing w:after="0" w:line="360" w:lineRule="auto"/>
        <w:jc w:val="center"/>
        <w:outlineLvl w:val="2"/>
        <w:rPr>
          <w:rFonts w:ascii="Times New Roman" w:eastAsia="Times New Roman" w:hAnsi="Times New Roman" w:cs="Times New Roman"/>
          <w:b/>
          <w:sz w:val="24"/>
          <w:szCs w:val="24"/>
        </w:rPr>
      </w:pPr>
      <w:r w:rsidRPr="00C339D2">
        <w:rPr>
          <w:rFonts w:ascii="Times New Roman" w:eastAsia="Times New Roman" w:hAnsi="Times New Roman" w:cs="Times New Roman"/>
          <w:b/>
          <w:sz w:val="24"/>
          <w:szCs w:val="24"/>
        </w:rPr>
        <w:t>CHAPTER FIVE</w:t>
      </w:r>
    </w:p>
    <w:p w14:paraId="43C42B5B" w14:textId="77777777" w:rsidR="0016249E" w:rsidRPr="00C339D2" w:rsidRDefault="0016249E" w:rsidP="0016249E">
      <w:pPr>
        <w:spacing w:after="0" w:line="360" w:lineRule="auto"/>
        <w:jc w:val="center"/>
        <w:outlineLvl w:val="2"/>
        <w:rPr>
          <w:rFonts w:ascii="Times New Roman" w:eastAsia="Times New Roman" w:hAnsi="Times New Roman" w:cs="Times New Roman"/>
          <w:b/>
          <w:sz w:val="24"/>
          <w:szCs w:val="24"/>
        </w:rPr>
      </w:pPr>
      <w:r w:rsidRPr="00C339D2">
        <w:rPr>
          <w:rFonts w:ascii="Times New Roman" w:eastAsia="Times New Roman" w:hAnsi="Times New Roman" w:cs="Times New Roman"/>
          <w:b/>
          <w:sz w:val="24"/>
          <w:szCs w:val="24"/>
        </w:rPr>
        <w:t>ANALYSIS</w:t>
      </w:r>
    </w:p>
    <w:p w14:paraId="57C00D83"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5.1 Interpretation of Results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79</w:t>
      </w:r>
    </w:p>
    <w:p w14:paraId="7DD3310E"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5.1.1 Theoretical Alignment (Adapted Social Ecological Model)</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79</w:t>
      </w:r>
    </w:p>
    <w:p w14:paraId="2A0DD774"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5.1.2 Overall Programmatic Performance</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81</w:t>
      </w:r>
    </w:p>
    <w:p w14:paraId="700F503C"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5.1.3 Baseline Viral Load Status: The Strongest Independent Determinant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82</w:t>
      </w:r>
    </w:p>
    <w:p w14:paraId="1685F87F"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5.1.4 Multi Month Dispensing: The Strongest Modifiable Predictor</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83</w:t>
      </w:r>
    </w:p>
    <w:p w14:paraId="2C9AECCA"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 xml:space="preserve">5.1.5 Educational Attainment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84</w:t>
      </w:r>
    </w:p>
    <w:p w14:paraId="4E7AD441"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 xml:space="preserve">5.1.6 Marital Status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85</w:t>
      </w:r>
      <w:r>
        <w:rPr>
          <w:rFonts w:ascii="Times New Roman" w:eastAsia="Times New Roman" w:hAnsi="Times New Roman" w:cs="Times New Roman"/>
          <w:bCs/>
          <w:sz w:val="24"/>
          <w:szCs w:val="24"/>
        </w:rPr>
        <w:tab/>
      </w:r>
    </w:p>
    <w:p w14:paraId="592D9768"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5.1.6 Significant Null Findings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86</w:t>
      </w:r>
    </w:p>
    <w:p w14:paraId="451649CC"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5.2 Methodological and Analytical Alternatives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88</w:t>
      </w:r>
    </w:p>
    <w:p w14:paraId="0319E8DC"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5.2.1 Alternative Explanations for the Four Significant Findings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88</w:t>
      </w:r>
    </w:p>
    <w:p w14:paraId="1406F9EB"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5.2.2 Methodological Alternatives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90</w:t>
      </w:r>
    </w:p>
    <w:p w14:paraId="6AAE767A"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5.2.3 Alternative Programmatic Responses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92</w:t>
      </w:r>
    </w:p>
    <w:p w14:paraId="42040973" w14:textId="77777777" w:rsidR="0016249E" w:rsidRPr="00C339D2" w:rsidRDefault="0016249E" w:rsidP="0016249E">
      <w:pPr>
        <w:spacing w:after="0" w:line="360" w:lineRule="auto"/>
        <w:jc w:val="center"/>
        <w:outlineLvl w:val="2"/>
        <w:rPr>
          <w:rFonts w:ascii="Times New Roman" w:eastAsia="Times New Roman" w:hAnsi="Times New Roman" w:cs="Times New Roman"/>
          <w:b/>
          <w:sz w:val="24"/>
          <w:szCs w:val="24"/>
        </w:rPr>
      </w:pPr>
      <w:r w:rsidRPr="00C339D2">
        <w:rPr>
          <w:rFonts w:ascii="Times New Roman" w:eastAsia="Times New Roman" w:hAnsi="Times New Roman" w:cs="Times New Roman"/>
          <w:b/>
          <w:sz w:val="24"/>
          <w:szCs w:val="24"/>
        </w:rPr>
        <w:t>CHAPTER SIX</w:t>
      </w:r>
    </w:p>
    <w:p w14:paraId="2FEB6688" w14:textId="77777777" w:rsidR="0016249E" w:rsidRPr="00C339D2" w:rsidRDefault="0016249E" w:rsidP="0016249E">
      <w:pPr>
        <w:spacing w:after="0" w:line="360" w:lineRule="auto"/>
        <w:jc w:val="center"/>
        <w:outlineLvl w:val="2"/>
        <w:rPr>
          <w:rFonts w:ascii="Times New Roman" w:eastAsia="Times New Roman" w:hAnsi="Times New Roman" w:cs="Times New Roman"/>
          <w:b/>
          <w:sz w:val="24"/>
          <w:szCs w:val="24"/>
        </w:rPr>
      </w:pPr>
      <w:r w:rsidRPr="00C339D2">
        <w:rPr>
          <w:rFonts w:ascii="Times New Roman" w:eastAsia="Times New Roman" w:hAnsi="Times New Roman" w:cs="Times New Roman"/>
          <w:b/>
          <w:sz w:val="24"/>
          <w:szCs w:val="24"/>
        </w:rPr>
        <w:t>CONCLUSION AND RECOMMENDATIONS</w:t>
      </w:r>
    </w:p>
    <w:p w14:paraId="74C93C81" w14:textId="77777777" w:rsidR="0016249E" w:rsidRPr="00C339D2" w:rsidRDefault="0016249E" w:rsidP="0016249E">
      <w:pPr>
        <w:spacing w:after="0" w:line="360" w:lineRule="auto"/>
        <w:jc w:val="both"/>
        <w:outlineLvl w:val="3"/>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6.1 General Discussions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94</w:t>
      </w:r>
    </w:p>
    <w:p w14:paraId="67231D8B" w14:textId="77777777" w:rsidR="0016249E" w:rsidRPr="00C339D2" w:rsidRDefault="0016249E" w:rsidP="0016249E">
      <w:pPr>
        <w:spacing w:after="0" w:line="360" w:lineRule="auto"/>
        <w:jc w:val="both"/>
        <w:outlineLvl w:val="3"/>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6.2 Recommendations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96</w:t>
      </w:r>
    </w:p>
    <w:p w14:paraId="493140ED"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 xml:space="preserve">6.2.1 Recommendations for Clinical </w:t>
      </w:r>
      <w:proofErr w:type="spellStart"/>
      <w:r w:rsidRPr="00C339D2">
        <w:rPr>
          <w:rFonts w:ascii="Times New Roman" w:eastAsia="Times New Roman" w:hAnsi="Times New Roman" w:cs="Times New Roman"/>
          <w:bCs/>
          <w:sz w:val="24"/>
          <w:szCs w:val="24"/>
        </w:rPr>
        <w:t>Programme</w:t>
      </w:r>
      <w:proofErr w:type="spellEnd"/>
      <w:r w:rsidRPr="00C339D2">
        <w:rPr>
          <w:rFonts w:ascii="Times New Roman" w:eastAsia="Times New Roman" w:hAnsi="Times New Roman" w:cs="Times New Roman"/>
          <w:bCs/>
          <w:sz w:val="24"/>
          <w:szCs w:val="24"/>
        </w:rPr>
        <w:t xml:space="preserve"> Managers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96</w:t>
      </w:r>
    </w:p>
    <w:p w14:paraId="01949F5D"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6.2.2 Recommendations for State and National Policymakers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97</w:t>
      </w:r>
    </w:p>
    <w:p w14:paraId="3DB26F67"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6.2.3 Recommendations for Health Facility Administrators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97</w:t>
      </w:r>
    </w:p>
    <w:p w14:paraId="01689A3D"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6.2.4 Recommendations for Future Research</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98</w:t>
      </w:r>
    </w:p>
    <w:p w14:paraId="24F1D09B" w14:textId="77777777" w:rsidR="0016249E" w:rsidRPr="00C339D2" w:rsidRDefault="0016249E" w:rsidP="0016249E">
      <w:pPr>
        <w:spacing w:after="0" w:line="360" w:lineRule="auto"/>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References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99</w:t>
      </w:r>
    </w:p>
    <w:p w14:paraId="6BDC97DC" w14:textId="77777777" w:rsidR="0016249E" w:rsidRDefault="0016249E" w:rsidP="0016249E">
      <w:pPr>
        <w:spacing w:after="0" w:line="360" w:lineRule="auto"/>
        <w:outlineLvl w:val="0"/>
        <w:rPr>
          <w:rFonts w:ascii="Times New Roman" w:eastAsia="Times New Roman" w:hAnsi="Times New Roman" w:cs="Times New Roman"/>
          <w:bCs/>
          <w:kern w:val="36"/>
          <w:sz w:val="24"/>
          <w:szCs w:val="24"/>
        </w:rPr>
      </w:pPr>
      <w:r w:rsidRPr="00C339D2">
        <w:rPr>
          <w:rFonts w:ascii="Times New Roman" w:eastAsia="Times New Roman" w:hAnsi="Times New Roman" w:cs="Times New Roman"/>
          <w:bCs/>
          <w:kern w:val="36"/>
          <w:sz w:val="24"/>
          <w:szCs w:val="24"/>
        </w:rPr>
        <w:lastRenderedPageBreak/>
        <w:t xml:space="preserve">Appendices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107</w:t>
      </w:r>
    </w:p>
    <w:p w14:paraId="08BAB831" w14:textId="77777777" w:rsidR="0016249E" w:rsidRDefault="0016249E" w:rsidP="0016249E">
      <w:pPr>
        <w:spacing w:after="0" w:line="360" w:lineRule="auto"/>
        <w:outlineLvl w:val="0"/>
        <w:rPr>
          <w:rFonts w:ascii="Times New Roman" w:eastAsia="Times New Roman" w:hAnsi="Times New Roman" w:cs="Times New Roman"/>
          <w:bCs/>
          <w:kern w:val="36"/>
          <w:sz w:val="24"/>
          <w:szCs w:val="24"/>
        </w:rPr>
      </w:pPr>
    </w:p>
    <w:p w14:paraId="7E38E2D3" w14:textId="77777777" w:rsidR="001E58EA" w:rsidRDefault="001E58EA" w:rsidP="0016249E">
      <w:pPr>
        <w:spacing w:after="0" w:line="480" w:lineRule="auto"/>
        <w:jc w:val="center"/>
        <w:outlineLvl w:val="0"/>
        <w:rPr>
          <w:rFonts w:ascii="Times New Roman" w:eastAsia="Times New Roman" w:hAnsi="Times New Roman" w:cs="Times New Roman"/>
          <w:b/>
          <w:kern w:val="36"/>
          <w:sz w:val="24"/>
          <w:szCs w:val="24"/>
        </w:rPr>
      </w:pPr>
    </w:p>
    <w:p w14:paraId="6762AD3D" w14:textId="77777777" w:rsidR="0016249E" w:rsidRPr="00480DCE" w:rsidRDefault="0016249E" w:rsidP="0016249E">
      <w:pPr>
        <w:spacing w:after="0" w:line="480" w:lineRule="auto"/>
        <w:jc w:val="center"/>
        <w:outlineLvl w:val="0"/>
        <w:rPr>
          <w:rFonts w:ascii="Times New Roman" w:eastAsia="Times New Roman" w:hAnsi="Times New Roman" w:cs="Times New Roman"/>
          <w:b/>
          <w:kern w:val="36"/>
          <w:sz w:val="24"/>
          <w:szCs w:val="24"/>
        </w:rPr>
      </w:pPr>
      <w:r w:rsidRPr="00480DCE">
        <w:rPr>
          <w:rFonts w:ascii="Times New Roman" w:eastAsia="Times New Roman" w:hAnsi="Times New Roman" w:cs="Times New Roman"/>
          <w:b/>
          <w:kern w:val="36"/>
          <w:sz w:val="24"/>
          <w:szCs w:val="24"/>
        </w:rPr>
        <w:t>LIST OF TABLES</w:t>
      </w:r>
    </w:p>
    <w:p w14:paraId="4F9CEF46" w14:textId="77777777" w:rsidR="0016249E" w:rsidRDefault="0016249E" w:rsidP="0016249E">
      <w:pPr>
        <w:spacing w:after="0" w:line="240" w:lineRule="auto"/>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 xml:space="preserve">Table 1.1: HIV Burden and ART Treatment Statistics at National, Zonal, </w:t>
      </w:r>
    </w:p>
    <w:p w14:paraId="529442C5" w14:textId="77777777" w:rsidR="0016249E" w:rsidRPr="00C339D2" w:rsidRDefault="0016249E" w:rsidP="0016249E">
      <w:pPr>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C339D2">
        <w:rPr>
          <w:rFonts w:ascii="Times New Roman" w:eastAsia="Times New Roman" w:hAnsi="Times New Roman" w:cs="Times New Roman"/>
          <w:bCs/>
          <w:sz w:val="24"/>
          <w:szCs w:val="24"/>
        </w:rPr>
        <w:t>and State Levels (2024 to 2025 Estimates)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5</w:t>
      </w:r>
    </w:p>
    <w:p w14:paraId="1CD26073" w14:textId="2094CD4F"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Table 3.1: Selected Facilities for Study by Location, Ownership, and Level of Care</w:t>
      </w:r>
      <w:r>
        <w:rPr>
          <w:rFonts w:ascii="Times New Roman" w:eastAsia="Times New Roman" w:hAnsi="Times New Roman" w:cs="Times New Roman"/>
          <w:bCs/>
          <w:sz w:val="24"/>
          <w:szCs w:val="24"/>
        </w:rPr>
        <w:tab/>
      </w:r>
      <w:r w:rsidR="00593293">
        <w:rPr>
          <w:rFonts w:ascii="Times New Roman" w:eastAsia="Times New Roman" w:hAnsi="Times New Roman" w:cs="Times New Roman"/>
          <w:bCs/>
          <w:sz w:val="24"/>
          <w:szCs w:val="24"/>
        </w:rPr>
        <w:t>4</w:t>
      </w:r>
      <w:r>
        <w:rPr>
          <w:rFonts w:ascii="Times New Roman" w:eastAsia="Times New Roman" w:hAnsi="Times New Roman" w:cs="Times New Roman"/>
          <w:bCs/>
          <w:sz w:val="24"/>
          <w:szCs w:val="24"/>
        </w:rPr>
        <w:t>6</w:t>
      </w:r>
    </w:p>
    <w:p w14:paraId="4DCAF04C" w14:textId="77777777" w:rsidR="0016249E" w:rsidRPr="00C339D2" w:rsidRDefault="0016249E" w:rsidP="0016249E">
      <w:pPr>
        <w:spacing w:after="0" w:line="360" w:lineRule="auto"/>
        <w:rPr>
          <w:rFonts w:ascii="Times New Roman" w:hAnsi="Times New Roman" w:cs="Times New Roman"/>
          <w:bCs/>
        </w:rPr>
      </w:pPr>
      <w:r w:rsidRPr="00C339D2">
        <w:rPr>
          <w:rFonts w:ascii="Times New Roman" w:hAnsi="Times New Roman" w:cs="Times New Roman"/>
          <w:bCs/>
        </w:rPr>
        <w:t>Table 3.2: Operational Definition of Key Study Variables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52</w:t>
      </w:r>
    </w:p>
    <w:p w14:paraId="7D716940"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Table 4.1: Variable Classification and Reference Category Designations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58</w:t>
      </w:r>
    </w:p>
    <w:p w14:paraId="02DFADB2" w14:textId="77777777" w:rsidR="0016249E" w:rsidRDefault="0016249E" w:rsidP="0016249E">
      <w:pPr>
        <w:spacing w:after="0" w:line="240" w:lineRule="auto"/>
        <w:jc w:val="both"/>
        <w:rPr>
          <w:rFonts w:ascii="Times New Roman" w:hAnsi="Times New Roman" w:cs="Times New Roman"/>
          <w:bCs/>
          <w:sz w:val="24"/>
          <w:szCs w:val="24"/>
        </w:rPr>
      </w:pPr>
      <w:r w:rsidRPr="00C339D2">
        <w:rPr>
          <w:rFonts w:ascii="Times New Roman" w:hAnsi="Times New Roman" w:cs="Times New Roman"/>
          <w:bCs/>
          <w:sz w:val="24"/>
          <w:szCs w:val="24"/>
        </w:rPr>
        <w:t xml:space="preserve">Table 4.2: Sociodemographic Profile of Patients by Viral Load Suppression Status </w:t>
      </w:r>
    </w:p>
    <w:p w14:paraId="5A173970" w14:textId="77777777" w:rsidR="0016249E" w:rsidRPr="00C339D2" w:rsidRDefault="0016249E" w:rsidP="0016249E">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Pr="00C339D2">
        <w:rPr>
          <w:rFonts w:ascii="Times New Roman" w:hAnsi="Times New Roman" w:cs="Times New Roman"/>
          <w:bCs/>
          <w:sz w:val="24"/>
          <w:szCs w:val="24"/>
        </w:rPr>
        <w:t>(N = 7,029)</w:t>
      </w:r>
      <w:r>
        <w:rPr>
          <w:rFonts w:ascii="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62</w:t>
      </w:r>
    </w:p>
    <w:p w14:paraId="48036B3C" w14:textId="77777777" w:rsidR="0016249E" w:rsidRDefault="0016249E" w:rsidP="0016249E">
      <w:pPr>
        <w:spacing w:after="0" w:line="240" w:lineRule="auto"/>
        <w:jc w:val="both"/>
        <w:rPr>
          <w:rFonts w:ascii="Times New Roman" w:hAnsi="Times New Roman" w:cs="Times New Roman"/>
          <w:bCs/>
          <w:sz w:val="24"/>
          <w:szCs w:val="24"/>
        </w:rPr>
      </w:pPr>
      <w:r w:rsidRPr="00C339D2">
        <w:rPr>
          <w:rFonts w:ascii="Times New Roman" w:hAnsi="Times New Roman" w:cs="Times New Roman"/>
          <w:bCs/>
          <w:sz w:val="24"/>
          <w:szCs w:val="24"/>
        </w:rPr>
        <w:t xml:space="preserve">Table 4.3: Clinical and Treatment Profile of Patients by Viral Load Suppression </w:t>
      </w:r>
    </w:p>
    <w:p w14:paraId="4635BCB4" w14:textId="77777777" w:rsidR="0016249E" w:rsidRPr="00C339D2" w:rsidRDefault="0016249E" w:rsidP="0016249E">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Pr="00C339D2">
        <w:rPr>
          <w:rFonts w:ascii="Times New Roman" w:hAnsi="Times New Roman" w:cs="Times New Roman"/>
          <w:bCs/>
          <w:sz w:val="24"/>
          <w:szCs w:val="24"/>
        </w:rPr>
        <w:t>Status (N = 7,029)</w:t>
      </w:r>
      <w:r w:rsidRPr="00480DCE">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65</w:t>
      </w:r>
    </w:p>
    <w:p w14:paraId="1695326A" w14:textId="77777777" w:rsidR="0016249E" w:rsidRPr="00C339D2" w:rsidRDefault="0016249E" w:rsidP="0016249E">
      <w:pPr>
        <w:spacing w:after="0" w:line="360" w:lineRule="auto"/>
        <w:jc w:val="both"/>
        <w:rPr>
          <w:rFonts w:ascii="Times New Roman" w:hAnsi="Times New Roman" w:cs="Times New Roman"/>
          <w:bCs/>
          <w:sz w:val="24"/>
          <w:szCs w:val="24"/>
        </w:rPr>
      </w:pPr>
      <w:r w:rsidRPr="00C339D2">
        <w:rPr>
          <w:rFonts w:ascii="Times New Roman" w:hAnsi="Times New Roman" w:cs="Times New Roman"/>
          <w:bCs/>
          <w:sz w:val="24"/>
          <w:szCs w:val="24"/>
        </w:rPr>
        <w:t>Table 4.4: Facility Context Profile by Viral Load Suppression Status (N = 7,029)</w:t>
      </w:r>
      <w:r>
        <w:rPr>
          <w:rFonts w:ascii="Times New Roman" w:hAnsi="Times New Roman" w:cs="Times New Roman"/>
          <w:bCs/>
          <w:sz w:val="24"/>
          <w:szCs w:val="24"/>
        </w:rPr>
        <w:tab/>
      </w:r>
      <w:r>
        <w:rPr>
          <w:rFonts w:ascii="Times New Roman" w:hAnsi="Times New Roman" w:cs="Times New Roman"/>
          <w:bCs/>
          <w:sz w:val="24"/>
          <w:szCs w:val="24"/>
        </w:rPr>
        <w:tab/>
        <w:t>68</w:t>
      </w:r>
    </w:p>
    <w:p w14:paraId="74BBCAFF" w14:textId="77777777" w:rsidR="0016249E" w:rsidRPr="00C339D2" w:rsidRDefault="0016249E" w:rsidP="0016249E">
      <w:pPr>
        <w:spacing w:after="0" w:line="360" w:lineRule="auto"/>
        <w:jc w:val="both"/>
        <w:rPr>
          <w:rFonts w:ascii="Times New Roman" w:hAnsi="Times New Roman" w:cs="Times New Roman"/>
          <w:bCs/>
          <w:sz w:val="24"/>
          <w:szCs w:val="24"/>
        </w:rPr>
      </w:pPr>
      <w:r w:rsidRPr="00C339D2">
        <w:rPr>
          <w:rFonts w:ascii="Times New Roman" w:hAnsi="Times New Roman" w:cs="Times New Roman"/>
          <w:bCs/>
          <w:sz w:val="24"/>
          <w:szCs w:val="24"/>
        </w:rPr>
        <w:t>Table 4.6: Bivariate Analysis of Predictors Associated with Viral Load Suppression</w:t>
      </w:r>
      <w:r>
        <w:rPr>
          <w:rFonts w:ascii="Times New Roman" w:hAnsi="Times New Roman" w:cs="Times New Roman"/>
          <w:bCs/>
          <w:sz w:val="24"/>
          <w:szCs w:val="24"/>
        </w:rPr>
        <w:tab/>
        <w:t>72</w:t>
      </w:r>
    </w:p>
    <w:p w14:paraId="63678535" w14:textId="77777777" w:rsidR="0016249E" w:rsidRPr="00C339D2" w:rsidRDefault="0016249E" w:rsidP="0016249E">
      <w:pPr>
        <w:spacing w:after="0" w:line="360" w:lineRule="auto"/>
        <w:jc w:val="both"/>
        <w:rPr>
          <w:rFonts w:ascii="Times New Roman" w:eastAsia="Times New Roman" w:hAnsi="Times New Roman" w:cs="Times New Roman"/>
          <w:bCs/>
          <w:sz w:val="24"/>
          <w:szCs w:val="24"/>
        </w:rPr>
      </w:pPr>
      <w:r w:rsidRPr="00C339D2">
        <w:rPr>
          <w:rFonts w:ascii="Times New Roman" w:eastAsia="Times New Roman" w:hAnsi="Times New Roman" w:cs="Times New Roman"/>
          <w:bCs/>
          <w:sz w:val="24"/>
          <w:szCs w:val="24"/>
        </w:rPr>
        <w:t>Table 4.7: Null Model Variance Parameters for Viral Load Suppression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75</w:t>
      </w:r>
    </w:p>
    <w:p w14:paraId="156E23BD" w14:textId="77777777" w:rsidR="0016249E" w:rsidRPr="00C339D2" w:rsidRDefault="0016249E" w:rsidP="0016249E">
      <w:pPr>
        <w:spacing w:after="0" w:line="360" w:lineRule="auto"/>
        <w:jc w:val="both"/>
        <w:rPr>
          <w:rFonts w:ascii="Times New Roman" w:hAnsi="Times New Roman" w:cs="Times New Roman"/>
          <w:bCs/>
          <w:sz w:val="24"/>
          <w:szCs w:val="24"/>
        </w:rPr>
      </w:pPr>
      <w:r w:rsidRPr="00C339D2">
        <w:rPr>
          <w:rFonts w:ascii="Times New Roman" w:hAnsi="Times New Roman" w:cs="Times New Roman"/>
          <w:bCs/>
          <w:sz w:val="24"/>
          <w:szCs w:val="24"/>
        </w:rPr>
        <w:t>Table 4.8: Multilevel Mixed-Effects Logistic Regression Models (N = 7,029)</w:t>
      </w:r>
      <w:r>
        <w:rPr>
          <w:rFonts w:ascii="Times New Roman" w:hAnsi="Times New Roman" w:cs="Times New Roman"/>
          <w:bCs/>
          <w:sz w:val="24"/>
          <w:szCs w:val="24"/>
        </w:rPr>
        <w:tab/>
      </w:r>
      <w:r>
        <w:rPr>
          <w:rFonts w:ascii="Times New Roman" w:hAnsi="Times New Roman" w:cs="Times New Roman"/>
          <w:bCs/>
          <w:sz w:val="24"/>
          <w:szCs w:val="24"/>
        </w:rPr>
        <w:tab/>
        <w:t>76</w:t>
      </w:r>
    </w:p>
    <w:p w14:paraId="3D5DC933" w14:textId="77777777" w:rsidR="0016249E" w:rsidRDefault="0016249E" w:rsidP="0016249E">
      <w:pPr>
        <w:spacing w:after="0" w:line="360" w:lineRule="auto"/>
        <w:outlineLvl w:val="0"/>
        <w:rPr>
          <w:rFonts w:ascii="Times New Roman" w:eastAsia="Times New Roman" w:hAnsi="Times New Roman" w:cs="Times New Roman"/>
          <w:bCs/>
          <w:kern w:val="36"/>
          <w:sz w:val="24"/>
          <w:szCs w:val="24"/>
        </w:rPr>
      </w:pPr>
    </w:p>
    <w:p w14:paraId="51FC8490" w14:textId="77777777" w:rsidR="0016249E" w:rsidRDefault="0016249E" w:rsidP="0016249E">
      <w:pPr>
        <w:spacing w:after="0" w:line="480" w:lineRule="auto"/>
        <w:jc w:val="center"/>
        <w:outlineLvl w:val="0"/>
        <w:rPr>
          <w:rFonts w:ascii="Times New Roman" w:eastAsia="Times New Roman" w:hAnsi="Times New Roman" w:cs="Times New Roman"/>
          <w:b/>
          <w:kern w:val="36"/>
          <w:sz w:val="24"/>
          <w:szCs w:val="24"/>
        </w:rPr>
      </w:pPr>
    </w:p>
    <w:p w14:paraId="5F767CC0" w14:textId="77777777" w:rsidR="0016249E" w:rsidRDefault="0016249E" w:rsidP="0016249E">
      <w:pPr>
        <w:spacing w:after="0" w:line="480" w:lineRule="auto"/>
        <w:jc w:val="center"/>
        <w:outlineLvl w:val="0"/>
        <w:rPr>
          <w:rFonts w:ascii="Times New Roman" w:eastAsia="Times New Roman" w:hAnsi="Times New Roman" w:cs="Times New Roman"/>
          <w:b/>
          <w:kern w:val="36"/>
          <w:sz w:val="24"/>
          <w:szCs w:val="24"/>
        </w:rPr>
      </w:pPr>
    </w:p>
    <w:p w14:paraId="5F9CB5ED" w14:textId="77777777" w:rsidR="0016249E" w:rsidRDefault="0016249E" w:rsidP="0016249E">
      <w:pPr>
        <w:spacing w:after="0" w:line="480" w:lineRule="auto"/>
        <w:jc w:val="center"/>
        <w:outlineLvl w:val="0"/>
        <w:rPr>
          <w:rFonts w:ascii="Times New Roman" w:eastAsia="Times New Roman" w:hAnsi="Times New Roman" w:cs="Times New Roman"/>
          <w:b/>
          <w:kern w:val="36"/>
          <w:sz w:val="24"/>
          <w:szCs w:val="24"/>
        </w:rPr>
      </w:pPr>
    </w:p>
    <w:p w14:paraId="19FC3FAF" w14:textId="77777777" w:rsidR="0016249E" w:rsidRDefault="0016249E" w:rsidP="0016249E">
      <w:pPr>
        <w:spacing w:after="0" w:line="480" w:lineRule="auto"/>
        <w:jc w:val="center"/>
        <w:outlineLvl w:val="0"/>
        <w:rPr>
          <w:rFonts w:ascii="Times New Roman" w:eastAsia="Times New Roman" w:hAnsi="Times New Roman" w:cs="Times New Roman"/>
          <w:b/>
          <w:kern w:val="36"/>
          <w:sz w:val="24"/>
          <w:szCs w:val="24"/>
        </w:rPr>
      </w:pPr>
    </w:p>
    <w:p w14:paraId="7D23D657" w14:textId="77777777" w:rsidR="0016249E" w:rsidRDefault="0016249E" w:rsidP="0016249E">
      <w:pPr>
        <w:spacing w:after="0" w:line="480" w:lineRule="auto"/>
        <w:jc w:val="center"/>
        <w:outlineLvl w:val="0"/>
        <w:rPr>
          <w:rFonts w:ascii="Times New Roman" w:eastAsia="Times New Roman" w:hAnsi="Times New Roman" w:cs="Times New Roman"/>
          <w:b/>
          <w:kern w:val="36"/>
          <w:sz w:val="24"/>
          <w:szCs w:val="24"/>
        </w:rPr>
      </w:pPr>
    </w:p>
    <w:p w14:paraId="62E2C988" w14:textId="77777777" w:rsidR="0016249E" w:rsidRDefault="0016249E" w:rsidP="0016249E">
      <w:pPr>
        <w:spacing w:after="0" w:line="480" w:lineRule="auto"/>
        <w:jc w:val="center"/>
        <w:outlineLvl w:val="0"/>
        <w:rPr>
          <w:rFonts w:ascii="Times New Roman" w:eastAsia="Times New Roman" w:hAnsi="Times New Roman" w:cs="Times New Roman"/>
          <w:b/>
          <w:kern w:val="36"/>
          <w:sz w:val="24"/>
          <w:szCs w:val="24"/>
        </w:rPr>
      </w:pPr>
    </w:p>
    <w:p w14:paraId="315A3F0C" w14:textId="77777777" w:rsidR="0016249E" w:rsidRDefault="0016249E" w:rsidP="0016249E">
      <w:pPr>
        <w:spacing w:after="0" w:line="480" w:lineRule="auto"/>
        <w:jc w:val="center"/>
        <w:outlineLvl w:val="0"/>
        <w:rPr>
          <w:rFonts w:ascii="Times New Roman" w:eastAsia="Times New Roman" w:hAnsi="Times New Roman" w:cs="Times New Roman"/>
          <w:b/>
          <w:kern w:val="36"/>
          <w:sz w:val="24"/>
          <w:szCs w:val="24"/>
        </w:rPr>
      </w:pPr>
    </w:p>
    <w:p w14:paraId="6E3184A0" w14:textId="77777777" w:rsidR="0016249E" w:rsidRDefault="0016249E" w:rsidP="0016249E">
      <w:pPr>
        <w:spacing w:after="0" w:line="480" w:lineRule="auto"/>
        <w:jc w:val="center"/>
        <w:outlineLvl w:val="0"/>
        <w:rPr>
          <w:rFonts w:ascii="Times New Roman" w:eastAsia="Times New Roman" w:hAnsi="Times New Roman" w:cs="Times New Roman"/>
          <w:b/>
          <w:kern w:val="36"/>
          <w:sz w:val="24"/>
          <w:szCs w:val="24"/>
        </w:rPr>
      </w:pPr>
    </w:p>
    <w:p w14:paraId="7CB9E316" w14:textId="77777777" w:rsidR="0016249E" w:rsidRDefault="0016249E" w:rsidP="0016249E">
      <w:pPr>
        <w:spacing w:after="0" w:line="480" w:lineRule="auto"/>
        <w:jc w:val="center"/>
        <w:outlineLvl w:val="0"/>
        <w:rPr>
          <w:rFonts w:ascii="Times New Roman" w:eastAsia="Times New Roman" w:hAnsi="Times New Roman" w:cs="Times New Roman"/>
          <w:b/>
          <w:kern w:val="36"/>
          <w:sz w:val="24"/>
          <w:szCs w:val="24"/>
        </w:rPr>
      </w:pPr>
    </w:p>
    <w:p w14:paraId="0249B1AA" w14:textId="77777777" w:rsidR="0016249E" w:rsidRDefault="0016249E" w:rsidP="0016249E">
      <w:pPr>
        <w:spacing w:after="0" w:line="480" w:lineRule="auto"/>
        <w:jc w:val="center"/>
        <w:outlineLvl w:val="0"/>
        <w:rPr>
          <w:rFonts w:ascii="Times New Roman" w:eastAsia="Times New Roman" w:hAnsi="Times New Roman" w:cs="Times New Roman"/>
          <w:b/>
          <w:kern w:val="36"/>
          <w:sz w:val="24"/>
          <w:szCs w:val="24"/>
        </w:rPr>
      </w:pPr>
    </w:p>
    <w:p w14:paraId="6031852C" w14:textId="77777777" w:rsidR="0016249E" w:rsidRDefault="0016249E" w:rsidP="0016249E">
      <w:pPr>
        <w:spacing w:after="0" w:line="480" w:lineRule="auto"/>
        <w:jc w:val="center"/>
        <w:outlineLvl w:val="0"/>
        <w:rPr>
          <w:rFonts w:ascii="Times New Roman" w:eastAsia="Times New Roman" w:hAnsi="Times New Roman" w:cs="Times New Roman"/>
          <w:b/>
          <w:kern w:val="36"/>
          <w:sz w:val="24"/>
          <w:szCs w:val="24"/>
        </w:rPr>
      </w:pPr>
    </w:p>
    <w:p w14:paraId="66CECE96" w14:textId="77777777" w:rsidR="0016249E" w:rsidRDefault="0016249E" w:rsidP="0016249E">
      <w:pPr>
        <w:spacing w:after="0" w:line="480" w:lineRule="auto"/>
        <w:jc w:val="center"/>
        <w:outlineLvl w:val="0"/>
        <w:rPr>
          <w:rFonts w:ascii="Times New Roman" w:eastAsia="Times New Roman" w:hAnsi="Times New Roman" w:cs="Times New Roman"/>
          <w:b/>
          <w:kern w:val="36"/>
          <w:sz w:val="24"/>
          <w:szCs w:val="24"/>
        </w:rPr>
      </w:pPr>
    </w:p>
    <w:p w14:paraId="26D84D06" w14:textId="77777777" w:rsidR="0016249E" w:rsidRDefault="0016249E" w:rsidP="0016249E">
      <w:pPr>
        <w:spacing w:after="0" w:line="480" w:lineRule="auto"/>
        <w:jc w:val="center"/>
        <w:outlineLvl w:val="0"/>
        <w:rPr>
          <w:rFonts w:ascii="Times New Roman" w:eastAsia="Times New Roman" w:hAnsi="Times New Roman" w:cs="Times New Roman"/>
          <w:b/>
          <w:kern w:val="36"/>
          <w:sz w:val="24"/>
          <w:szCs w:val="24"/>
        </w:rPr>
      </w:pPr>
    </w:p>
    <w:p w14:paraId="530FB4AC" w14:textId="77777777" w:rsidR="0016249E" w:rsidRPr="00480DCE" w:rsidRDefault="0016249E" w:rsidP="001E58EA">
      <w:pPr>
        <w:spacing w:after="0" w:line="480" w:lineRule="auto"/>
        <w:jc w:val="center"/>
        <w:outlineLvl w:val="0"/>
        <w:rPr>
          <w:rFonts w:ascii="Times New Roman" w:eastAsia="Times New Roman" w:hAnsi="Times New Roman" w:cs="Times New Roman"/>
          <w:b/>
          <w:kern w:val="36"/>
          <w:sz w:val="24"/>
          <w:szCs w:val="24"/>
        </w:rPr>
      </w:pPr>
      <w:r w:rsidRPr="00480DCE">
        <w:rPr>
          <w:rFonts w:ascii="Times New Roman" w:eastAsia="Times New Roman" w:hAnsi="Times New Roman" w:cs="Times New Roman"/>
          <w:b/>
          <w:kern w:val="36"/>
          <w:sz w:val="24"/>
          <w:szCs w:val="24"/>
        </w:rPr>
        <w:t>LIST OF FIGURES</w:t>
      </w:r>
    </w:p>
    <w:p w14:paraId="1C930DFE" w14:textId="77777777" w:rsidR="0016249E" w:rsidRDefault="0016249E" w:rsidP="0016249E">
      <w:pPr>
        <w:spacing w:after="0" w:line="240" w:lineRule="auto"/>
        <w:rPr>
          <w:rFonts w:ascii="Times New Roman" w:hAnsi="Times New Roman" w:cs="Times New Roman"/>
          <w:bCs/>
        </w:rPr>
      </w:pPr>
      <w:r w:rsidRPr="00C339D2">
        <w:rPr>
          <w:rFonts w:ascii="Times New Roman" w:hAnsi="Times New Roman" w:cs="Times New Roman"/>
          <w:bCs/>
        </w:rPr>
        <w:t xml:space="preserve">Figure 1.1: Adapted Two Level Social Ecological Framework for Viral Load Suppression </w:t>
      </w:r>
    </w:p>
    <w:p w14:paraId="508C8524" w14:textId="77777777" w:rsidR="0016249E" w:rsidRPr="00C339D2" w:rsidRDefault="0016249E" w:rsidP="0016249E">
      <w:pPr>
        <w:spacing w:after="0" w:line="360" w:lineRule="auto"/>
        <w:rPr>
          <w:rFonts w:ascii="Times New Roman" w:hAnsi="Times New Roman" w:cs="Times New Roman"/>
          <w:bCs/>
        </w:rPr>
      </w:pPr>
      <w:r>
        <w:rPr>
          <w:rFonts w:ascii="Times New Roman" w:hAnsi="Times New Roman" w:cs="Times New Roman"/>
          <w:bCs/>
        </w:rPr>
        <w:tab/>
      </w:r>
      <w:r w:rsidRPr="00C339D2">
        <w:rPr>
          <w:rFonts w:ascii="Times New Roman" w:hAnsi="Times New Roman" w:cs="Times New Roman"/>
          <w:bCs/>
        </w:rPr>
        <w:t>in Plateau State, Nigeria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9</w:t>
      </w:r>
    </w:p>
    <w:p w14:paraId="39DC94F0" w14:textId="77777777" w:rsidR="0016249E" w:rsidRDefault="0016249E" w:rsidP="0016249E">
      <w:pPr>
        <w:spacing w:after="0" w:line="240" w:lineRule="auto"/>
        <w:jc w:val="both"/>
        <w:rPr>
          <w:rFonts w:ascii="Times New Roman" w:eastAsia="Times New Roman" w:hAnsi="Times New Roman" w:cs="Times New Roman"/>
          <w:bCs/>
        </w:rPr>
      </w:pPr>
      <w:r w:rsidRPr="00C339D2">
        <w:rPr>
          <w:rFonts w:ascii="Times New Roman" w:eastAsia="Times New Roman" w:hAnsi="Times New Roman" w:cs="Times New Roman"/>
          <w:bCs/>
        </w:rPr>
        <w:t xml:space="preserve">Figure 2.1: Conceptual Framework of the Multilevel Determinants of Viral Load Suppression </w:t>
      </w:r>
    </w:p>
    <w:p w14:paraId="5E4A9360" w14:textId="77777777" w:rsidR="0016249E" w:rsidRPr="00C339D2" w:rsidRDefault="0016249E" w:rsidP="0016249E">
      <w:pPr>
        <w:spacing w:after="0" w:line="360" w:lineRule="auto"/>
        <w:jc w:val="both"/>
        <w:rPr>
          <w:rFonts w:ascii="Times New Roman" w:eastAsia="Times New Roman" w:hAnsi="Times New Roman" w:cs="Times New Roman"/>
          <w:bCs/>
        </w:rPr>
      </w:pPr>
      <w:r>
        <w:rPr>
          <w:rFonts w:ascii="Times New Roman" w:eastAsia="Times New Roman" w:hAnsi="Times New Roman" w:cs="Times New Roman"/>
          <w:bCs/>
        </w:rPr>
        <w:tab/>
      </w:r>
      <w:r w:rsidRPr="00C339D2">
        <w:rPr>
          <w:rFonts w:ascii="Times New Roman" w:eastAsia="Times New Roman" w:hAnsi="Times New Roman" w:cs="Times New Roman"/>
          <w:bCs/>
        </w:rPr>
        <w:t>among HIV Patients in Plateau State.</w:t>
      </w:r>
      <w:r w:rsidRPr="006058B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34</w:t>
      </w:r>
    </w:p>
    <w:p w14:paraId="6E04C20F" w14:textId="77777777" w:rsidR="0016249E" w:rsidRDefault="0016249E" w:rsidP="0016249E">
      <w:pPr>
        <w:spacing w:after="0" w:line="240" w:lineRule="auto"/>
        <w:rPr>
          <w:rFonts w:ascii="Times New Roman" w:hAnsi="Times New Roman" w:cs="Times New Roman"/>
          <w:bCs/>
          <w:sz w:val="24"/>
          <w:szCs w:val="24"/>
        </w:rPr>
      </w:pPr>
      <w:r w:rsidRPr="00C339D2">
        <w:rPr>
          <w:rFonts w:ascii="Times New Roman" w:hAnsi="Times New Roman" w:cs="Times New Roman"/>
          <w:bCs/>
          <w:sz w:val="24"/>
          <w:szCs w:val="24"/>
        </w:rPr>
        <w:t xml:space="preserve">Figure 4.1: Trend in Viral Load Suppression among PLHIV Initiated on ART </w:t>
      </w:r>
    </w:p>
    <w:p w14:paraId="4795A0C6" w14:textId="77777777" w:rsidR="0027215C" w:rsidRPr="00C339D2" w:rsidRDefault="0016249E" w:rsidP="0016249E">
      <w:pPr>
        <w:spacing w:after="0" w:line="360" w:lineRule="auto"/>
        <w:rPr>
          <w:rFonts w:ascii="Times New Roman" w:hAnsi="Times New Roman" w:cs="Times New Roman"/>
          <w:bCs/>
          <w:sz w:val="24"/>
          <w:szCs w:val="24"/>
        </w:rPr>
      </w:pPr>
      <w:r>
        <w:rPr>
          <w:rFonts w:ascii="Times New Roman" w:hAnsi="Times New Roman" w:cs="Times New Roman"/>
          <w:bCs/>
          <w:sz w:val="24"/>
          <w:szCs w:val="24"/>
        </w:rPr>
        <w:tab/>
      </w:r>
      <w:r w:rsidRPr="00C339D2">
        <w:rPr>
          <w:rFonts w:ascii="Times New Roman" w:hAnsi="Times New Roman" w:cs="Times New Roman"/>
          <w:bCs/>
          <w:sz w:val="24"/>
          <w:szCs w:val="24"/>
        </w:rPr>
        <w:t>(2019-2024)</w:t>
      </w:r>
      <w:r w:rsidRPr="006058B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70</w:t>
      </w:r>
    </w:p>
    <w:p w14:paraId="5245B85A" w14:textId="77777777" w:rsidR="0027215C" w:rsidRPr="00C339D2" w:rsidRDefault="0027215C" w:rsidP="0027215C">
      <w:pPr>
        <w:spacing w:after="0" w:line="360" w:lineRule="auto"/>
        <w:outlineLvl w:val="0"/>
        <w:rPr>
          <w:rFonts w:ascii="Times New Roman" w:eastAsia="Times New Roman" w:hAnsi="Times New Roman" w:cs="Times New Roman"/>
          <w:bCs/>
          <w:kern w:val="36"/>
          <w:sz w:val="24"/>
          <w:szCs w:val="24"/>
        </w:rPr>
      </w:pPr>
    </w:p>
    <w:p w14:paraId="57BE282A" w14:textId="77777777" w:rsidR="003E7366" w:rsidRDefault="003E7366" w:rsidP="0093721C">
      <w:pPr>
        <w:spacing w:after="0" w:line="360" w:lineRule="auto"/>
        <w:jc w:val="center"/>
        <w:rPr>
          <w:rStyle w:val="fontstyle01"/>
        </w:rPr>
      </w:pPr>
    </w:p>
    <w:p w14:paraId="3517BA6F" w14:textId="77777777" w:rsidR="003E7366" w:rsidRDefault="003E7366" w:rsidP="0093721C">
      <w:pPr>
        <w:spacing w:after="0" w:line="360" w:lineRule="auto"/>
        <w:jc w:val="center"/>
        <w:rPr>
          <w:rStyle w:val="fontstyle01"/>
        </w:rPr>
      </w:pPr>
    </w:p>
    <w:p w14:paraId="6A5812BB" w14:textId="77777777" w:rsidR="003E7366" w:rsidRDefault="003E7366" w:rsidP="0093721C">
      <w:pPr>
        <w:spacing w:after="0" w:line="360" w:lineRule="auto"/>
        <w:jc w:val="center"/>
        <w:rPr>
          <w:rStyle w:val="fontstyle01"/>
        </w:rPr>
      </w:pPr>
    </w:p>
    <w:p w14:paraId="4FD38B0A" w14:textId="77777777" w:rsidR="003E7366" w:rsidRDefault="003E7366" w:rsidP="0093721C">
      <w:pPr>
        <w:spacing w:after="0" w:line="360" w:lineRule="auto"/>
        <w:jc w:val="center"/>
        <w:rPr>
          <w:rStyle w:val="fontstyle01"/>
        </w:rPr>
      </w:pPr>
    </w:p>
    <w:p w14:paraId="0189E92F" w14:textId="77777777" w:rsidR="003E7366" w:rsidRDefault="003E7366" w:rsidP="0093721C">
      <w:pPr>
        <w:spacing w:after="0" w:line="360" w:lineRule="auto"/>
        <w:jc w:val="center"/>
        <w:rPr>
          <w:rStyle w:val="fontstyle01"/>
        </w:rPr>
      </w:pPr>
    </w:p>
    <w:p w14:paraId="22C36ECB" w14:textId="77777777" w:rsidR="003E7366" w:rsidRDefault="003E7366" w:rsidP="0093721C">
      <w:pPr>
        <w:spacing w:after="0" w:line="360" w:lineRule="auto"/>
        <w:jc w:val="center"/>
        <w:rPr>
          <w:rStyle w:val="fontstyle01"/>
        </w:rPr>
      </w:pPr>
    </w:p>
    <w:p w14:paraId="3E7E167F" w14:textId="77777777" w:rsidR="003E7366" w:rsidRDefault="003E7366" w:rsidP="0093721C">
      <w:pPr>
        <w:spacing w:after="0" w:line="360" w:lineRule="auto"/>
        <w:jc w:val="center"/>
        <w:rPr>
          <w:rStyle w:val="fontstyle01"/>
        </w:rPr>
      </w:pPr>
    </w:p>
    <w:p w14:paraId="0631E6B0" w14:textId="77777777" w:rsidR="003E7366" w:rsidRDefault="003E7366" w:rsidP="0093721C">
      <w:pPr>
        <w:spacing w:after="0" w:line="360" w:lineRule="auto"/>
        <w:jc w:val="center"/>
        <w:rPr>
          <w:rStyle w:val="fontstyle01"/>
        </w:rPr>
      </w:pPr>
    </w:p>
    <w:p w14:paraId="436B8FF4" w14:textId="77777777" w:rsidR="003E7366" w:rsidRDefault="003E7366" w:rsidP="0093721C">
      <w:pPr>
        <w:spacing w:after="0" w:line="360" w:lineRule="auto"/>
        <w:jc w:val="center"/>
        <w:rPr>
          <w:rStyle w:val="fontstyle01"/>
        </w:rPr>
      </w:pPr>
    </w:p>
    <w:p w14:paraId="107E6F51" w14:textId="77777777" w:rsidR="003E7366" w:rsidRDefault="003E7366" w:rsidP="0093721C">
      <w:pPr>
        <w:spacing w:after="0" w:line="360" w:lineRule="auto"/>
        <w:jc w:val="center"/>
        <w:rPr>
          <w:rStyle w:val="fontstyle01"/>
        </w:rPr>
      </w:pPr>
    </w:p>
    <w:p w14:paraId="5D812A93" w14:textId="77777777" w:rsidR="003E7366" w:rsidRDefault="003E7366" w:rsidP="0093721C">
      <w:pPr>
        <w:spacing w:after="0" w:line="360" w:lineRule="auto"/>
        <w:jc w:val="center"/>
        <w:rPr>
          <w:rStyle w:val="fontstyle01"/>
        </w:rPr>
      </w:pPr>
    </w:p>
    <w:p w14:paraId="3F4B336D" w14:textId="77777777" w:rsidR="003E7366" w:rsidRDefault="003E7366" w:rsidP="0093721C">
      <w:pPr>
        <w:spacing w:after="0" w:line="360" w:lineRule="auto"/>
        <w:jc w:val="center"/>
        <w:rPr>
          <w:rStyle w:val="fontstyle01"/>
        </w:rPr>
      </w:pPr>
    </w:p>
    <w:p w14:paraId="4300B743" w14:textId="77777777" w:rsidR="003E7366" w:rsidRDefault="003E7366" w:rsidP="0093721C">
      <w:pPr>
        <w:spacing w:after="0" w:line="360" w:lineRule="auto"/>
        <w:jc w:val="center"/>
        <w:rPr>
          <w:rStyle w:val="fontstyle01"/>
        </w:rPr>
      </w:pPr>
    </w:p>
    <w:p w14:paraId="0D8356F1" w14:textId="77777777" w:rsidR="003E7366" w:rsidRDefault="003E7366" w:rsidP="0093721C">
      <w:pPr>
        <w:spacing w:after="0" w:line="360" w:lineRule="auto"/>
        <w:jc w:val="center"/>
        <w:rPr>
          <w:rStyle w:val="fontstyle01"/>
        </w:rPr>
      </w:pPr>
    </w:p>
    <w:p w14:paraId="02AB079D" w14:textId="77777777" w:rsidR="003E7366" w:rsidRDefault="003E7366" w:rsidP="0093721C">
      <w:pPr>
        <w:spacing w:after="0" w:line="360" w:lineRule="auto"/>
        <w:jc w:val="center"/>
        <w:rPr>
          <w:rStyle w:val="fontstyle01"/>
        </w:rPr>
      </w:pPr>
    </w:p>
    <w:p w14:paraId="764FBE04" w14:textId="77777777" w:rsidR="003E7366" w:rsidRDefault="003E7366" w:rsidP="0093721C">
      <w:pPr>
        <w:spacing w:after="0" w:line="360" w:lineRule="auto"/>
        <w:jc w:val="center"/>
        <w:rPr>
          <w:rStyle w:val="fontstyle01"/>
        </w:rPr>
      </w:pPr>
    </w:p>
    <w:p w14:paraId="6C399132" w14:textId="77777777" w:rsidR="003E7366" w:rsidRDefault="003E7366" w:rsidP="0093721C">
      <w:pPr>
        <w:spacing w:after="0" w:line="360" w:lineRule="auto"/>
        <w:jc w:val="center"/>
        <w:rPr>
          <w:rStyle w:val="fontstyle01"/>
        </w:rPr>
      </w:pPr>
    </w:p>
    <w:p w14:paraId="778411BD" w14:textId="77777777" w:rsidR="003E7366" w:rsidRDefault="003E7366" w:rsidP="0093721C">
      <w:pPr>
        <w:spacing w:after="0" w:line="360" w:lineRule="auto"/>
        <w:jc w:val="center"/>
        <w:rPr>
          <w:rStyle w:val="fontstyle01"/>
        </w:rPr>
      </w:pPr>
    </w:p>
    <w:p w14:paraId="20A97320" w14:textId="77777777" w:rsidR="003E7366" w:rsidRDefault="003E7366" w:rsidP="0093721C">
      <w:pPr>
        <w:spacing w:after="0" w:line="360" w:lineRule="auto"/>
        <w:jc w:val="center"/>
        <w:rPr>
          <w:rStyle w:val="fontstyle01"/>
        </w:rPr>
      </w:pPr>
    </w:p>
    <w:p w14:paraId="1FB26905" w14:textId="77777777" w:rsidR="003E7366" w:rsidRDefault="003E7366" w:rsidP="0093721C">
      <w:pPr>
        <w:spacing w:after="0" w:line="360" w:lineRule="auto"/>
        <w:jc w:val="center"/>
        <w:rPr>
          <w:rStyle w:val="fontstyle01"/>
        </w:rPr>
      </w:pPr>
    </w:p>
    <w:p w14:paraId="1A73A8DB" w14:textId="77777777" w:rsidR="003E7366" w:rsidRDefault="003E7366" w:rsidP="0093721C">
      <w:pPr>
        <w:spacing w:after="0" w:line="360" w:lineRule="auto"/>
        <w:jc w:val="center"/>
        <w:rPr>
          <w:rStyle w:val="fontstyle01"/>
        </w:rPr>
      </w:pPr>
    </w:p>
    <w:p w14:paraId="62218A56" w14:textId="77777777" w:rsidR="003E7366" w:rsidRDefault="003E7366" w:rsidP="0093721C">
      <w:pPr>
        <w:spacing w:after="0" w:line="360" w:lineRule="auto"/>
        <w:jc w:val="center"/>
        <w:rPr>
          <w:rStyle w:val="fontstyle01"/>
        </w:rPr>
      </w:pPr>
    </w:p>
    <w:p w14:paraId="3BC4E899" w14:textId="77777777" w:rsidR="003E7366" w:rsidRDefault="003E7366" w:rsidP="0093721C">
      <w:pPr>
        <w:spacing w:after="0" w:line="360" w:lineRule="auto"/>
        <w:jc w:val="center"/>
        <w:rPr>
          <w:rStyle w:val="fontstyle01"/>
        </w:rPr>
      </w:pPr>
    </w:p>
    <w:p w14:paraId="0C1C09E1" w14:textId="77777777" w:rsidR="003E7366" w:rsidRDefault="003E7366" w:rsidP="0093721C">
      <w:pPr>
        <w:spacing w:after="0" w:line="360" w:lineRule="auto"/>
        <w:jc w:val="center"/>
        <w:rPr>
          <w:rStyle w:val="fontstyle01"/>
        </w:rPr>
      </w:pPr>
    </w:p>
    <w:p w14:paraId="2AB3BD7A" w14:textId="77777777" w:rsidR="003E7366" w:rsidRDefault="003E7366" w:rsidP="001E58EA">
      <w:pPr>
        <w:spacing w:after="0" w:line="480" w:lineRule="auto"/>
        <w:jc w:val="center"/>
        <w:rPr>
          <w:rFonts w:ascii="Times New Roman" w:eastAsia="SimSun" w:hAnsi="Times New Roman" w:cs="Times New Roman"/>
          <w:b/>
          <w:bCs/>
          <w:sz w:val="24"/>
          <w:szCs w:val="24"/>
          <w:lang w:eastAsia="zh-CN"/>
        </w:rPr>
      </w:pPr>
      <w:r w:rsidRPr="003E7366">
        <w:rPr>
          <w:rFonts w:ascii="Times New Roman" w:eastAsia="SimSun" w:hAnsi="Times New Roman" w:cs="Times New Roman"/>
          <w:b/>
          <w:bCs/>
          <w:sz w:val="24"/>
          <w:szCs w:val="24"/>
          <w:lang w:eastAsia="zh-CN"/>
        </w:rPr>
        <w:t>LIST OF ABBREVIATIONS</w:t>
      </w:r>
    </w:p>
    <w:p w14:paraId="4C78C8C3"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AIC: Akaike Information Criterion</w:t>
      </w:r>
    </w:p>
    <w:p w14:paraId="50BAB9B4"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AIDS: Acquired Immunodeficiency Syndrome</w:t>
      </w:r>
    </w:p>
    <w:p w14:paraId="26731891" w14:textId="77777777" w:rsidR="00797525" w:rsidRPr="00797525" w:rsidRDefault="00797525" w:rsidP="00797525">
      <w:pPr>
        <w:spacing w:line="276" w:lineRule="auto"/>
        <w:jc w:val="both"/>
        <w:rPr>
          <w:rFonts w:ascii="Times New Roman" w:hAnsi="Times New Roman" w:cs="Times New Roman"/>
          <w:sz w:val="24"/>
          <w:szCs w:val="24"/>
        </w:rPr>
      </w:pPr>
      <w:proofErr w:type="spellStart"/>
      <w:r w:rsidRPr="00797525">
        <w:rPr>
          <w:rFonts w:ascii="Times New Roman" w:hAnsi="Times New Roman" w:cs="Times New Roman"/>
          <w:sz w:val="24"/>
          <w:szCs w:val="24"/>
        </w:rPr>
        <w:t>aOR</w:t>
      </w:r>
      <w:proofErr w:type="spellEnd"/>
      <w:r w:rsidRPr="00797525">
        <w:rPr>
          <w:rFonts w:ascii="Times New Roman" w:hAnsi="Times New Roman" w:cs="Times New Roman"/>
          <w:sz w:val="24"/>
          <w:szCs w:val="24"/>
        </w:rPr>
        <w:t>: Adjusted Odds Ratio</w:t>
      </w:r>
    </w:p>
    <w:p w14:paraId="288234EA"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ART: Antiretroviral Therapy</w:t>
      </w:r>
    </w:p>
    <w:p w14:paraId="2634BE5D"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ARV: Antiretroviral</w:t>
      </w:r>
    </w:p>
    <w:p w14:paraId="5077C8F4"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AYLHIV: Adolescents and Young Adults Living with HIV</w:t>
      </w:r>
    </w:p>
    <w:p w14:paraId="1E652A4F"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CD4: Cluster of Differentiation 4</w:t>
      </w:r>
    </w:p>
    <w:p w14:paraId="2A14E13B"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CI: Confidence Interval</w:t>
      </w:r>
    </w:p>
    <w:p w14:paraId="7E1167AD"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 xml:space="preserve">COCIN: Church Of Christ </w:t>
      </w:r>
      <w:proofErr w:type="gramStart"/>
      <w:r w:rsidRPr="00797525">
        <w:rPr>
          <w:rFonts w:ascii="Times New Roman" w:hAnsi="Times New Roman" w:cs="Times New Roman"/>
          <w:sz w:val="24"/>
          <w:szCs w:val="24"/>
        </w:rPr>
        <w:t>In</w:t>
      </w:r>
      <w:proofErr w:type="gramEnd"/>
      <w:r w:rsidRPr="00797525">
        <w:rPr>
          <w:rFonts w:ascii="Times New Roman" w:hAnsi="Times New Roman" w:cs="Times New Roman"/>
          <w:sz w:val="24"/>
          <w:szCs w:val="24"/>
        </w:rPr>
        <w:t xml:space="preserve"> Nigeria</w:t>
      </w:r>
    </w:p>
    <w:p w14:paraId="7CC3507B" w14:textId="77777777" w:rsidR="00797525" w:rsidRPr="00797525" w:rsidRDefault="00797525" w:rsidP="00797525">
      <w:pPr>
        <w:spacing w:line="276" w:lineRule="auto"/>
        <w:jc w:val="both"/>
        <w:rPr>
          <w:rFonts w:ascii="Times New Roman" w:hAnsi="Times New Roman" w:cs="Times New Roman"/>
          <w:sz w:val="24"/>
          <w:szCs w:val="24"/>
        </w:rPr>
      </w:pPr>
      <w:proofErr w:type="spellStart"/>
      <w:r w:rsidRPr="00797525">
        <w:rPr>
          <w:rFonts w:ascii="Times New Roman" w:hAnsi="Times New Roman" w:cs="Times New Roman"/>
          <w:sz w:val="24"/>
          <w:szCs w:val="24"/>
        </w:rPr>
        <w:t>cOR</w:t>
      </w:r>
      <w:proofErr w:type="spellEnd"/>
      <w:r w:rsidRPr="00797525">
        <w:rPr>
          <w:rFonts w:ascii="Times New Roman" w:hAnsi="Times New Roman" w:cs="Times New Roman"/>
          <w:sz w:val="24"/>
          <w:szCs w:val="24"/>
        </w:rPr>
        <w:t>: Crude Odds Ratio</w:t>
      </w:r>
    </w:p>
    <w:p w14:paraId="6BF3699B"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 xml:space="preserve">DDD: </w:t>
      </w:r>
      <w:proofErr w:type="spellStart"/>
      <w:r w:rsidRPr="00797525">
        <w:rPr>
          <w:rFonts w:ascii="Times New Roman" w:hAnsi="Times New Roman" w:cs="Times New Roman"/>
          <w:sz w:val="24"/>
          <w:szCs w:val="24"/>
        </w:rPr>
        <w:t>Decentralised</w:t>
      </w:r>
      <w:proofErr w:type="spellEnd"/>
      <w:r w:rsidRPr="00797525">
        <w:rPr>
          <w:rFonts w:ascii="Times New Roman" w:hAnsi="Times New Roman" w:cs="Times New Roman"/>
          <w:sz w:val="24"/>
          <w:szCs w:val="24"/>
        </w:rPr>
        <w:t xml:space="preserve"> Drug Delivery</w:t>
      </w:r>
    </w:p>
    <w:p w14:paraId="742740F0"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DSD: Differentiated Service Delivery</w:t>
      </w:r>
    </w:p>
    <w:p w14:paraId="20F32B1B"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DTG: Dolutegravir</w:t>
      </w:r>
    </w:p>
    <w:p w14:paraId="2BC95E49"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ECWA: Evangelical Church of West Africa</w:t>
      </w:r>
    </w:p>
    <w:p w14:paraId="6732E830"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EMR: Electronic Medical Record</w:t>
      </w:r>
    </w:p>
    <w:p w14:paraId="27027931"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HAART: Highly Active Antiretroviral Therapy</w:t>
      </w:r>
    </w:p>
    <w:p w14:paraId="24F01B07"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HIV: Human Immunodeficiency Virus</w:t>
      </w:r>
    </w:p>
    <w:p w14:paraId="2A49A74C"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ICC: Intraclass Correlation Coefficient</w:t>
      </w:r>
    </w:p>
    <w:p w14:paraId="66A3DA96"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MMD: Multi-Month Dispensing</w:t>
      </w:r>
    </w:p>
    <w:p w14:paraId="37058D60"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MOR: Median Odds Ratio</w:t>
      </w:r>
    </w:p>
    <w:p w14:paraId="6B0D7064"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NACA: National Agency for the Control of AIDS</w:t>
      </w:r>
    </w:p>
    <w:p w14:paraId="7D9DA855"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NAIIS: Nigeria HIV/AIDS Indicator and Impact Survey</w:t>
      </w:r>
    </w:p>
    <w:p w14:paraId="244FB666"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lastRenderedPageBreak/>
        <w:t>NNRTI: Non-Nucleoside Reverse Transcriptase Inhibitor</w:t>
      </w:r>
    </w:p>
    <w:p w14:paraId="211521BA"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OLA: Our Lady of Apostles</w:t>
      </w:r>
    </w:p>
    <w:p w14:paraId="42BB98AA"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OR: Odds Ratio</w:t>
      </w:r>
    </w:p>
    <w:p w14:paraId="31DC7F29"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PEPFAR: President's Emergency Plan for AIDS Relief</w:t>
      </w:r>
    </w:p>
    <w:p w14:paraId="730713B8"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PHC: Primary Health Centre</w:t>
      </w:r>
    </w:p>
    <w:p w14:paraId="718C7326"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PLHIV: People Living with HIV</w:t>
      </w:r>
    </w:p>
    <w:p w14:paraId="342A7C01"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PSHREC: Plateau State Health Research Ethics Committee</w:t>
      </w:r>
    </w:p>
    <w:p w14:paraId="5CE40E4D"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PSMOH: Plateau State Ministry of Health</w:t>
      </w:r>
    </w:p>
    <w:p w14:paraId="340574F1"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RNA: Ribonucleic Acid</w:t>
      </w:r>
    </w:p>
    <w:p w14:paraId="50641AA4"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SDA: Seventh Day Adventist</w:t>
      </w:r>
    </w:p>
    <w:p w14:paraId="2B5EDE4B"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SEM: Social-Ecological Model</w:t>
      </w:r>
    </w:p>
    <w:p w14:paraId="7182BF7B"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SQL: Structured Query Language</w:t>
      </w:r>
    </w:p>
    <w:p w14:paraId="3FF8C287"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STI: Sexually Transmitted Infection</w:t>
      </w:r>
    </w:p>
    <w:p w14:paraId="454B7DCC"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TLD: Tenofovir Lamivudine Dolutegravir</w:t>
      </w:r>
    </w:p>
    <w:p w14:paraId="7C25E342"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 xml:space="preserve">UNAIDS: Joint United Nations </w:t>
      </w:r>
      <w:proofErr w:type="spellStart"/>
      <w:r w:rsidRPr="00797525">
        <w:rPr>
          <w:rFonts w:ascii="Times New Roman" w:hAnsi="Times New Roman" w:cs="Times New Roman"/>
          <w:sz w:val="24"/>
          <w:szCs w:val="24"/>
        </w:rPr>
        <w:t>Programme</w:t>
      </w:r>
      <w:proofErr w:type="spellEnd"/>
      <w:r w:rsidRPr="00797525">
        <w:rPr>
          <w:rFonts w:ascii="Times New Roman" w:hAnsi="Times New Roman" w:cs="Times New Roman"/>
          <w:sz w:val="24"/>
          <w:szCs w:val="24"/>
        </w:rPr>
        <w:t xml:space="preserve"> on HIV/AIDS</w:t>
      </w:r>
    </w:p>
    <w:p w14:paraId="548C473F"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VL: Viral Load</w:t>
      </w:r>
    </w:p>
    <w:p w14:paraId="249627DC"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VLS: Viral Load Suppression</w:t>
      </w:r>
    </w:p>
    <w:p w14:paraId="2F83F2F2" w14:textId="77777777" w:rsidR="00797525" w:rsidRPr="00797525" w:rsidRDefault="00797525" w:rsidP="00797525">
      <w:pPr>
        <w:spacing w:line="276" w:lineRule="auto"/>
        <w:jc w:val="both"/>
        <w:rPr>
          <w:rFonts w:ascii="Times New Roman" w:hAnsi="Times New Roman" w:cs="Times New Roman"/>
          <w:sz w:val="24"/>
          <w:szCs w:val="24"/>
        </w:rPr>
      </w:pPr>
      <w:r w:rsidRPr="00797525">
        <w:rPr>
          <w:rFonts w:ascii="Times New Roman" w:hAnsi="Times New Roman" w:cs="Times New Roman"/>
          <w:sz w:val="24"/>
          <w:szCs w:val="24"/>
        </w:rPr>
        <w:t>WHO: World Health Organization</w:t>
      </w:r>
    </w:p>
    <w:p w14:paraId="740C0773" w14:textId="77777777" w:rsidR="003E7366" w:rsidRDefault="003E7366" w:rsidP="00797525">
      <w:pPr>
        <w:spacing w:after="0" w:line="240" w:lineRule="auto"/>
        <w:rPr>
          <w:rFonts w:ascii="Times New Roman" w:eastAsia="SimSun" w:hAnsi="Times New Roman" w:cs="Times New Roman"/>
          <w:b/>
          <w:bCs/>
          <w:sz w:val="24"/>
          <w:szCs w:val="24"/>
          <w:lang w:eastAsia="zh-CN"/>
        </w:rPr>
      </w:pPr>
    </w:p>
    <w:p w14:paraId="0C86C94E" w14:textId="77777777" w:rsidR="003E7366" w:rsidRDefault="003E7366" w:rsidP="00ED3EDD">
      <w:pPr>
        <w:spacing w:after="0" w:line="240" w:lineRule="auto"/>
        <w:jc w:val="center"/>
        <w:rPr>
          <w:rFonts w:ascii="Times New Roman" w:eastAsia="SimSun" w:hAnsi="Times New Roman" w:cs="Times New Roman"/>
          <w:b/>
          <w:bCs/>
          <w:sz w:val="24"/>
          <w:szCs w:val="24"/>
          <w:lang w:eastAsia="zh-CN"/>
        </w:rPr>
      </w:pPr>
    </w:p>
    <w:p w14:paraId="29E578FF" w14:textId="77777777" w:rsidR="003E7366" w:rsidRDefault="003E7366" w:rsidP="00ED3EDD">
      <w:pPr>
        <w:spacing w:after="0" w:line="240" w:lineRule="auto"/>
        <w:jc w:val="center"/>
        <w:rPr>
          <w:rFonts w:ascii="Times New Roman" w:eastAsia="SimSun" w:hAnsi="Times New Roman" w:cs="Times New Roman"/>
          <w:b/>
          <w:bCs/>
          <w:sz w:val="24"/>
          <w:szCs w:val="24"/>
          <w:lang w:eastAsia="zh-CN"/>
        </w:rPr>
      </w:pPr>
    </w:p>
    <w:p w14:paraId="635FA94C" w14:textId="77777777" w:rsidR="003E7366" w:rsidRDefault="003E7366" w:rsidP="00ED3EDD">
      <w:pPr>
        <w:spacing w:after="0" w:line="240" w:lineRule="auto"/>
        <w:jc w:val="center"/>
        <w:rPr>
          <w:rFonts w:ascii="Times New Roman" w:eastAsia="SimSun" w:hAnsi="Times New Roman" w:cs="Times New Roman"/>
          <w:b/>
          <w:bCs/>
          <w:sz w:val="24"/>
          <w:szCs w:val="24"/>
          <w:lang w:eastAsia="zh-CN"/>
        </w:rPr>
      </w:pPr>
    </w:p>
    <w:p w14:paraId="67EEC091" w14:textId="77777777" w:rsidR="003E7366" w:rsidRDefault="003E7366" w:rsidP="00ED3EDD">
      <w:pPr>
        <w:spacing w:after="0" w:line="240" w:lineRule="auto"/>
        <w:jc w:val="center"/>
        <w:rPr>
          <w:rFonts w:ascii="Times New Roman" w:eastAsia="SimSun" w:hAnsi="Times New Roman" w:cs="Times New Roman"/>
          <w:b/>
          <w:bCs/>
          <w:sz w:val="24"/>
          <w:szCs w:val="24"/>
          <w:lang w:eastAsia="zh-CN"/>
        </w:rPr>
      </w:pPr>
    </w:p>
    <w:p w14:paraId="4D5E7376" w14:textId="77777777" w:rsidR="003E7366" w:rsidRDefault="003E7366" w:rsidP="00ED3EDD">
      <w:pPr>
        <w:spacing w:after="0" w:line="240" w:lineRule="auto"/>
        <w:jc w:val="center"/>
        <w:rPr>
          <w:rFonts w:ascii="Times New Roman" w:eastAsia="SimSun" w:hAnsi="Times New Roman" w:cs="Times New Roman"/>
          <w:b/>
          <w:bCs/>
          <w:sz w:val="24"/>
          <w:szCs w:val="24"/>
          <w:lang w:eastAsia="zh-CN"/>
        </w:rPr>
      </w:pPr>
    </w:p>
    <w:p w14:paraId="3B804837" w14:textId="77777777" w:rsidR="003E7366" w:rsidRDefault="003E7366" w:rsidP="00ED3EDD">
      <w:pPr>
        <w:spacing w:after="0" w:line="240" w:lineRule="auto"/>
        <w:jc w:val="center"/>
        <w:rPr>
          <w:rFonts w:ascii="Times New Roman" w:eastAsia="SimSun" w:hAnsi="Times New Roman" w:cs="Times New Roman"/>
          <w:b/>
          <w:bCs/>
          <w:sz w:val="24"/>
          <w:szCs w:val="24"/>
          <w:lang w:eastAsia="zh-CN"/>
        </w:rPr>
      </w:pPr>
    </w:p>
    <w:p w14:paraId="435F315C" w14:textId="77777777" w:rsidR="003E7366" w:rsidRDefault="003E7366" w:rsidP="00ED3EDD">
      <w:pPr>
        <w:spacing w:after="0" w:line="240" w:lineRule="auto"/>
        <w:jc w:val="center"/>
        <w:rPr>
          <w:rFonts w:ascii="Times New Roman" w:eastAsia="SimSun" w:hAnsi="Times New Roman" w:cs="Times New Roman"/>
          <w:b/>
          <w:bCs/>
          <w:sz w:val="24"/>
          <w:szCs w:val="24"/>
          <w:lang w:eastAsia="zh-CN"/>
        </w:rPr>
      </w:pPr>
    </w:p>
    <w:p w14:paraId="35F565EC" w14:textId="77777777" w:rsidR="003E7366" w:rsidRDefault="003E7366" w:rsidP="00ED3EDD">
      <w:pPr>
        <w:spacing w:after="0" w:line="240" w:lineRule="auto"/>
        <w:jc w:val="center"/>
        <w:rPr>
          <w:rFonts w:ascii="Times New Roman" w:eastAsia="SimSun" w:hAnsi="Times New Roman" w:cs="Times New Roman"/>
          <w:b/>
          <w:bCs/>
          <w:sz w:val="24"/>
          <w:szCs w:val="24"/>
          <w:lang w:eastAsia="zh-CN"/>
        </w:rPr>
      </w:pPr>
    </w:p>
    <w:p w14:paraId="2253DDDC" w14:textId="77777777" w:rsidR="003E7366" w:rsidRDefault="003E7366" w:rsidP="00ED3EDD">
      <w:pPr>
        <w:spacing w:after="0" w:line="240" w:lineRule="auto"/>
        <w:jc w:val="center"/>
        <w:rPr>
          <w:rFonts w:ascii="Times New Roman" w:eastAsia="SimSun" w:hAnsi="Times New Roman" w:cs="Times New Roman"/>
          <w:b/>
          <w:bCs/>
          <w:sz w:val="24"/>
          <w:szCs w:val="24"/>
          <w:lang w:eastAsia="zh-CN"/>
        </w:rPr>
      </w:pPr>
    </w:p>
    <w:p w14:paraId="06731392" w14:textId="77777777" w:rsidR="003E7366" w:rsidRDefault="003E7366" w:rsidP="00ED3EDD">
      <w:pPr>
        <w:spacing w:after="0" w:line="240" w:lineRule="auto"/>
        <w:jc w:val="center"/>
        <w:rPr>
          <w:rFonts w:ascii="Times New Roman" w:eastAsia="SimSun" w:hAnsi="Times New Roman" w:cs="Times New Roman"/>
          <w:b/>
          <w:bCs/>
          <w:sz w:val="24"/>
          <w:szCs w:val="24"/>
          <w:lang w:eastAsia="zh-CN"/>
        </w:rPr>
      </w:pPr>
    </w:p>
    <w:p w14:paraId="07C288EE" w14:textId="77777777" w:rsidR="003E7366" w:rsidRDefault="003E7366" w:rsidP="00ED3EDD">
      <w:pPr>
        <w:spacing w:after="0" w:line="240" w:lineRule="auto"/>
        <w:jc w:val="center"/>
        <w:rPr>
          <w:rFonts w:ascii="Times New Roman" w:eastAsia="SimSun" w:hAnsi="Times New Roman" w:cs="Times New Roman"/>
          <w:b/>
          <w:bCs/>
          <w:sz w:val="24"/>
          <w:szCs w:val="24"/>
          <w:lang w:eastAsia="zh-CN"/>
        </w:rPr>
      </w:pPr>
    </w:p>
    <w:p w14:paraId="4D0BD17A" w14:textId="77777777" w:rsidR="003E7366" w:rsidRDefault="003E7366" w:rsidP="00ED3EDD">
      <w:pPr>
        <w:spacing w:after="0" w:line="240" w:lineRule="auto"/>
        <w:jc w:val="center"/>
        <w:rPr>
          <w:rFonts w:ascii="Times New Roman" w:eastAsia="SimSun" w:hAnsi="Times New Roman" w:cs="Times New Roman"/>
          <w:b/>
          <w:bCs/>
          <w:sz w:val="24"/>
          <w:szCs w:val="24"/>
          <w:lang w:eastAsia="zh-CN"/>
        </w:rPr>
      </w:pPr>
    </w:p>
    <w:p w14:paraId="597005F1" w14:textId="77777777" w:rsidR="003E7366" w:rsidRDefault="003E7366" w:rsidP="00ED3EDD">
      <w:pPr>
        <w:spacing w:after="0" w:line="240" w:lineRule="auto"/>
        <w:jc w:val="center"/>
        <w:rPr>
          <w:rFonts w:ascii="Times New Roman" w:eastAsia="SimSun" w:hAnsi="Times New Roman" w:cs="Times New Roman"/>
          <w:b/>
          <w:bCs/>
          <w:sz w:val="24"/>
          <w:szCs w:val="24"/>
          <w:lang w:eastAsia="zh-CN"/>
        </w:rPr>
      </w:pPr>
    </w:p>
    <w:p w14:paraId="39A0D979" w14:textId="77777777" w:rsidR="003E7366" w:rsidRDefault="003E7366" w:rsidP="00ED3EDD">
      <w:pPr>
        <w:spacing w:after="0" w:line="240" w:lineRule="auto"/>
        <w:jc w:val="center"/>
        <w:rPr>
          <w:rFonts w:ascii="Times New Roman" w:eastAsia="SimSun" w:hAnsi="Times New Roman" w:cs="Times New Roman"/>
          <w:b/>
          <w:bCs/>
          <w:sz w:val="24"/>
          <w:szCs w:val="24"/>
          <w:lang w:eastAsia="zh-CN"/>
        </w:rPr>
      </w:pPr>
    </w:p>
    <w:p w14:paraId="4EBDD538" w14:textId="77777777" w:rsidR="003E7366" w:rsidRDefault="003E7366" w:rsidP="00763ECE">
      <w:pPr>
        <w:spacing w:after="0" w:line="360" w:lineRule="auto"/>
        <w:jc w:val="center"/>
        <w:rPr>
          <w:rFonts w:ascii="Times New Roman" w:eastAsia="SimSun" w:hAnsi="Times New Roman" w:cs="Times New Roman"/>
          <w:b/>
          <w:bCs/>
          <w:sz w:val="24"/>
          <w:szCs w:val="24"/>
          <w:lang w:eastAsia="zh-CN"/>
        </w:rPr>
      </w:pPr>
      <w:r w:rsidRPr="003E7366">
        <w:rPr>
          <w:rFonts w:ascii="Times New Roman" w:eastAsia="SimSun" w:hAnsi="Times New Roman" w:cs="Times New Roman"/>
          <w:b/>
          <w:bCs/>
          <w:sz w:val="24"/>
          <w:szCs w:val="24"/>
          <w:lang w:eastAsia="zh-CN"/>
        </w:rPr>
        <w:lastRenderedPageBreak/>
        <w:t>LIST OF OPERATIONAL DEFINITIONS</w:t>
      </w:r>
    </w:p>
    <w:p w14:paraId="63A9A9E5" w14:textId="77777777" w:rsidR="00797525" w:rsidRPr="00797525" w:rsidRDefault="00797525" w:rsidP="00797525">
      <w:pPr>
        <w:spacing w:before="100" w:beforeAutospacing="1" w:after="100" w:afterAutospacing="1" w:line="276" w:lineRule="auto"/>
        <w:jc w:val="both"/>
        <w:rPr>
          <w:rFonts w:ascii="Times New Roman" w:eastAsia="Times New Roman" w:hAnsi="Times New Roman" w:cs="Times New Roman"/>
          <w:sz w:val="24"/>
          <w:szCs w:val="24"/>
        </w:rPr>
      </w:pPr>
      <w:r w:rsidRPr="00797525">
        <w:rPr>
          <w:rFonts w:ascii="Times New Roman" w:eastAsia="Times New Roman" w:hAnsi="Times New Roman" w:cs="Times New Roman"/>
          <w:b/>
          <w:bCs/>
          <w:sz w:val="24"/>
          <w:szCs w:val="24"/>
        </w:rPr>
        <w:t>Adult Patient:</w:t>
      </w:r>
      <w:r w:rsidRPr="00797525">
        <w:rPr>
          <w:rFonts w:ascii="Times New Roman" w:eastAsia="Times New Roman" w:hAnsi="Times New Roman" w:cs="Times New Roman"/>
          <w:sz w:val="24"/>
          <w:szCs w:val="24"/>
        </w:rPr>
        <w:t xml:space="preserve"> An individual aged 18 years or older who is actively receiving antiretroviral therapy for a minimum of six months at a selected facility during a specific annual reporting cycle. </w:t>
      </w:r>
    </w:p>
    <w:p w14:paraId="7EE7AD40" w14:textId="77777777" w:rsidR="00797525" w:rsidRPr="00797525" w:rsidRDefault="00797525" w:rsidP="00797525">
      <w:pPr>
        <w:spacing w:before="100" w:beforeAutospacing="1" w:after="100" w:afterAutospacing="1" w:line="276" w:lineRule="auto"/>
        <w:jc w:val="both"/>
        <w:rPr>
          <w:rFonts w:ascii="Times New Roman" w:eastAsia="Times New Roman" w:hAnsi="Times New Roman" w:cs="Times New Roman"/>
          <w:sz w:val="24"/>
          <w:szCs w:val="24"/>
        </w:rPr>
      </w:pPr>
      <w:r w:rsidRPr="00797525">
        <w:rPr>
          <w:rFonts w:ascii="Times New Roman" w:eastAsia="Times New Roman" w:hAnsi="Times New Roman" w:cs="Times New Roman"/>
          <w:b/>
          <w:bCs/>
          <w:sz w:val="24"/>
          <w:szCs w:val="24"/>
        </w:rPr>
        <w:t>Antiretroviral Therapy:</w:t>
      </w:r>
      <w:r w:rsidRPr="00797525">
        <w:rPr>
          <w:rFonts w:ascii="Times New Roman" w:eastAsia="Times New Roman" w:hAnsi="Times New Roman" w:cs="Times New Roman"/>
          <w:sz w:val="24"/>
          <w:szCs w:val="24"/>
        </w:rPr>
        <w:t xml:space="preserve"> The lifelong, systematic use of a combination of antiretroviral medicines prescribed to durably suppress HIV replication, preserve immune function, and prevent onward transmission. </w:t>
      </w:r>
    </w:p>
    <w:p w14:paraId="18EE6225" w14:textId="77777777" w:rsidR="00797525" w:rsidRPr="00797525" w:rsidRDefault="00797525" w:rsidP="00797525">
      <w:pPr>
        <w:spacing w:before="100" w:beforeAutospacing="1" w:after="100" w:afterAutospacing="1" w:line="276" w:lineRule="auto"/>
        <w:jc w:val="both"/>
        <w:rPr>
          <w:rFonts w:ascii="Times New Roman" w:eastAsia="Times New Roman" w:hAnsi="Times New Roman" w:cs="Times New Roman"/>
          <w:sz w:val="24"/>
          <w:szCs w:val="24"/>
        </w:rPr>
      </w:pPr>
      <w:r w:rsidRPr="00797525">
        <w:rPr>
          <w:rFonts w:ascii="Times New Roman" w:eastAsia="Times New Roman" w:hAnsi="Times New Roman" w:cs="Times New Roman"/>
          <w:b/>
          <w:bCs/>
          <w:sz w:val="24"/>
          <w:szCs w:val="24"/>
        </w:rPr>
        <w:t>Baseline Viral Load Status:</w:t>
      </w:r>
      <w:r w:rsidRPr="00797525">
        <w:rPr>
          <w:rFonts w:ascii="Times New Roman" w:eastAsia="Times New Roman" w:hAnsi="Times New Roman" w:cs="Times New Roman"/>
          <w:sz w:val="24"/>
          <w:szCs w:val="24"/>
        </w:rPr>
        <w:t xml:space="preserve"> The initial virologic condition of a patient at the earliest recorded measurement within the study window, classified as either suppressed or unsuppressed. </w:t>
      </w:r>
    </w:p>
    <w:p w14:paraId="0C37DC84" w14:textId="77777777" w:rsidR="00797525" w:rsidRPr="00797525" w:rsidRDefault="00797525" w:rsidP="00797525">
      <w:pPr>
        <w:spacing w:before="100" w:beforeAutospacing="1" w:after="100" w:afterAutospacing="1" w:line="276" w:lineRule="auto"/>
        <w:jc w:val="both"/>
        <w:rPr>
          <w:rFonts w:ascii="Times New Roman" w:eastAsia="Times New Roman" w:hAnsi="Times New Roman" w:cs="Times New Roman"/>
          <w:sz w:val="24"/>
          <w:szCs w:val="24"/>
        </w:rPr>
      </w:pPr>
      <w:r w:rsidRPr="00797525">
        <w:rPr>
          <w:rFonts w:ascii="Times New Roman" w:eastAsia="Times New Roman" w:hAnsi="Times New Roman" w:cs="Times New Roman"/>
          <w:b/>
          <w:bCs/>
          <w:sz w:val="24"/>
          <w:szCs w:val="24"/>
        </w:rPr>
        <w:t>Differentiated Service Delivery Model:</w:t>
      </w:r>
      <w:r w:rsidRPr="00797525">
        <w:rPr>
          <w:rFonts w:ascii="Times New Roman" w:eastAsia="Times New Roman" w:hAnsi="Times New Roman" w:cs="Times New Roman"/>
          <w:sz w:val="24"/>
          <w:szCs w:val="24"/>
        </w:rPr>
        <w:t xml:space="preserve"> The specific operational framework through which a patient receives their medications, classified in this study as either standard facility dispensing or </w:t>
      </w:r>
      <w:proofErr w:type="spellStart"/>
      <w:r w:rsidRPr="00797525">
        <w:rPr>
          <w:rFonts w:ascii="Times New Roman" w:eastAsia="Times New Roman" w:hAnsi="Times New Roman" w:cs="Times New Roman"/>
          <w:sz w:val="24"/>
          <w:szCs w:val="24"/>
        </w:rPr>
        <w:t>decentralised</w:t>
      </w:r>
      <w:proofErr w:type="spellEnd"/>
      <w:r w:rsidRPr="00797525">
        <w:rPr>
          <w:rFonts w:ascii="Times New Roman" w:eastAsia="Times New Roman" w:hAnsi="Times New Roman" w:cs="Times New Roman"/>
          <w:sz w:val="24"/>
          <w:szCs w:val="24"/>
        </w:rPr>
        <w:t xml:space="preserve"> drug delivery. </w:t>
      </w:r>
    </w:p>
    <w:p w14:paraId="56137AD6" w14:textId="77777777" w:rsidR="00797525" w:rsidRPr="00797525" w:rsidRDefault="00797525" w:rsidP="00797525">
      <w:pPr>
        <w:spacing w:before="100" w:beforeAutospacing="1" w:after="100" w:afterAutospacing="1" w:line="276" w:lineRule="auto"/>
        <w:jc w:val="both"/>
        <w:rPr>
          <w:rFonts w:ascii="Times New Roman" w:eastAsia="Times New Roman" w:hAnsi="Times New Roman" w:cs="Times New Roman"/>
          <w:sz w:val="24"/>
          <w:szCs w:val="24"/>
        </w:rPr>
      </w:pPr>
      <w:r w:rsidRPr="00797525">
        <w:rPr>
          <w:rFonts w:ascii="Times New Roman" w:eastAsia="Times New Roman" w:hAnsi="Times New Roman" w:cs="Times New Roman"/>
          <w:b/>
          <w:bCs/>
          <w:sz w:val="24"/>
          <w:szCs w:val="24"/>
        </w:rPr>
        <w:t>Duration on Antiretroviral Therapy:</w:t>
      </w:r>
      <w:r w:rsidRPr="00797525">
        <w:rPr>
          <w:rFonts w:ascii="Times New Roman" w:eastAsia="Times New Roman" w:hAnsi="Times New Roman" w:cs="Times New Roman"/>
          <w:sz w:val="24"/>
          <w:szCs w:val="24"/>
        </w:rPr>
        <w:t xml:space="preserve"> The continuous time elapsed from the exact date a </w:t>
      </w:r>
      <w:proofErr w:type="gramStart"/>
      <w:r w:rsidRPr="00797525">
        <w:rPr>
          <w:rFonts w:ascii="Times New Roman" w:eastAsia="Times New Roman" w:hAnsi="Times New Roman" w:cs="Times New Roman"/>
          <w:sz w:val="24"/>
          <w:szCs w:val="24"/>
        </w:rPr>
        <w:t>patient initiated</w:t>
      </w:r>
      <w:proofErr w:type="gramEnd"/>
      <w:r w:rsidRPr="00797525">
        <w:rPr>
          <w:rFonts w:ascii="Times New Roman" w:eastAsia="Times New Roman" w:hAnsi="Times New Roman" w:cs="Times New Roman"/>
          <w:sz w:val="24"/>
          <w:szCs w:val="24"/>
        </w:rPr>
        <w:t xml:space="preserve"> treatment to the date of the respective annual cross-sectional snapshot, measured in years. </w:t>
      </w:r>
    </w:p>
    <w:p w14:paraId="445C3723" w14:textId="77777777" w:rsidR="00797525" w:rsidRPr="00797525" w:rsidRDefault="00797525" w:rsidP="00797525">
      <w:pPr>
        <w:spacing w:before="100" w:beforeAutospacing="1" w:after="100" w:afterAutospacing="1" w:line="276" w:lineRule="auto"/>
        <w:jc w:val="both"/>
        <w:rPr>
          <w:rFonts w:ascii="Times New Roman" w:eastAsia="Times New Roman" w:hAnsi="Times New Roman" w:cs="Times New Roman"/>
          <w:sz w:val="24"/>
          <w:szCs w:val="24"/>
        </w:rPr>
      </w:pPr>
      <w:r w:rsidRPr="00797525">
        <w:rPr>
          <w:rFonts w:ascii="Times New Roman" w:eastAsia="Times New Roman" w:hAnsi="Times New Roman" w:cs="Times New Roman"/>
          <w:b/>
          <w:bCs/>
          <w:sz w:val="24"/>
          <w:szCs w:val="24"/>
        </w:rPr>
        <w:t>Facility Location:</w:t>
      </w:r>
      <w:r w:rsidRPr="00797525">
        <w:rPr>
          <w:rFonts w:ascii="Times New Roman" w:eastAsia="Times New Roman" w:hAnsi="Times New Roman" w:cs="Times New Roman"/>
          <w:sz w:val="24"/>
          <w:szCs w:val="24"/>
        </w:rPr>
        <w:t xml:space="preserve"> The geographic placement of the treatment facility, designated as either urban or rural to evaluate spatial disparities in care delivery across the state. </w:t>
      </w:r>
    </w:p>
    <w:p w14:paraId="20BC19ED" w14:textId="77777777" w:rsidR="00797525" w:rsidRPr="00797525" w:rsidRDefault="00797525" w:rsidP="00797525">
      <w:pPr>
        <w:spacing w:before="100" w:beforeAutospacing="1" w:after="100" w:afterAutospacing="1" w:line="276" w:lineRule="auto"/>
        <w:jc w:val="both"/>
        <w:rPr>
          <w:rFonts w:ascii="Times New Roman" w:eastAsia="Times New Roman" w:hAnsi="Times New Roman" w:cs="Times New Roman"/>
          <w:sz w:val="24"/>
          <w:szCs w:val="24"/>
        </w:rPr>
      </w:pPr>
      <w:r w:rsidRPr="00797525">
        <w:rPr>
          <w:rFonts w:ascii="Times New Roman" w:eastAsia="Times New Roman" w:hAnsi="Times New Roman" w:cs="Times New Roman"/>
          <w:b/>
          <w:bCs/>
          <w:sz w:val="24"/>
          <w:szCs w:val="24"/>
        </w:rPr>
        <w:t>Facility Ownership:</w:t>
      </w:r>
      <w:r w:rsidRPr="00797525">
        <w:rPr>
          <w:rFonts w:ascii="Times New Roman" w:eastAsia="Times New Roman" w:hAnsi="Times New Roman" w:cs="Times New Roman"/>
          <w:sz w:val="24"/>
          <w:szCs w:val="24"/>
        </w:rPr>
        <w:t xml:space="preserve"> The administrative control and primary funding structure of the treatment site, categorized as public, private, or faith-based. </w:t>
      </w:r>
    </w:p>
    <w:p w14:paraId="6B3B5543" w14:textId="77777777" w:rsidR="00797525" w:rsidRDefault="00797525" w:rsidP="00797525">
      <w:pPr>
        <w:spacing w:before="100" w:beforeAutospacing="1" w:after="100" w:afterAutospacing="1" w:line="276" w:lineRule="auto"/>
        <w:jc w:val="both"/>
        <w:rPr>
          <w:rFonts w:ascii="Times New Roman" w:eastAsia="Times New Roman" w:hAnsi="Times New Roman" w:cs="Times New Roman"/>
          <w:sz w:val="24"/>
          <w:szCs w:val="24"/>
        </w:rPr>
      </w:pPr>
      <w:r w:rsidRPr="00797525">
        <w:rPr>
          <w:rFonts w:ascii="Times New Roman" w:eastAsia="Times New Roman" w:hAnsi="Times New Roman" w:cs="Times New Roman"/>
          <w:b/>
          <w:bCs/>
          <w:sz w:val="24"/>
          <w:szCs w:val="24"/>
        </w:rPr>
        <w:t>Facility Tier:</w:t>
      </w:r>
      <w:r w:rsidRPr="00797525">
        <w:rPr>
          <w:rFonts w:ascii="Times New Roman" w:eastAsia="Times New Roman" w:hAnsi="Times New Roman" w:cs="Times New Roman"/>
          <w:sz w:val="24"/>
          <w:szCs w:val="24"/>
        </w:rPr>
        <w:t xml:space="preserve"> The designated structural level of clinical care provision within the health system hierarchy, categorized as primary health centers, secondary hospitals, or tertiary institutions. </w:t>
      </w:r>
    </w:p>
    <w:p w14:paraId="5E42E612" w14:textId="77777777" w:rsidR="00777AEA" w:rsidRPr="00797525" w:rsidRDefault="00777AEA" w:rsidP="00777AEA">
      <w:pPr>
        <w:spacing w:before="100" w:beforeAutospacing="1" w:after="100" w:afterAutospacing="1" w:line="276" w:lineRule="auto"/>
        <w:jc w:val="both"/>
        <w:rPr>
          <w:rFonts w:ascii="Times New Roman" w:eastAsia="Times New Roman" w:hAnsi="Times New Roman" w:cs="Times New Roman"/>
          <w:sz w:val="24"/>
          <w:szCs w:val="24"/>
        </w:rPr>
      </w:pPr>
      <w:r w:rsidRPr="00777AEA">
        <w:rPr>
          <w:rFonts w:ascii="Times New Roman" w:eastAsia="Times New Roman" w:hAnsi="Times New Roman" w:cs="Times New Roman"/>
          <w:b/>
          <w:bCs/>
          <w:sz w:val="24"/>
          <w:szCs w:val="24"/>
        </w:rPr>
        <w:t>Last Viral Load</w:t>
      </w:r>
      <w:r>
        <w:rPr>
          <w:rFonts w:ascii="Times New Roman" w:eastAsia="Times New Roman" w:hAnsi="Times New Roman" w:cs="Times New Roman"/>
          <w:sz w:val="24"/>
          <w:szCs w:val="24"/>
        </w:rPr>
        <w:t xml:space="preserve">: Most recent documented virological condition of a patient recorded measurement </w:t>
      </w:r>
    </w:p>
    <w:p w14:paraId="47812EC2" w14:textId="77777777" w:rsidR="00797525" w:rsidRPr="00797525" w:rsidRDefault="00797525" w:rsidP="00797525">
      <w:pPr>
        <w:spacing w:before="100" w:beforeAutospacing="1" w:after="100" w:afterAutospacing="1" w:line="276" w:lineRule="auto"/>
        <w:jc w:val="both"/>
        <w:rPr>
          <w:rFonts w:ascii="Times New Roman" w:eastAsia="Times New Roman" w:hAnsi="Times New Roman" w:cs="Times New Roman"/>
          <w:sz w:val="24"/>
          <w:szCs w:val="24"/>
        </w:rPr>
      </w:pPr>
      <w:r w:rsidRPr="00797525">
        <w:rPr>
          <w:rFonts w:ascii="Times New Roman" w:eastAsia="Times New Roman" w:hAnsi="Times New Roman" w:cs="Times New Roman"/>
          <w:b/>
          <w:bCs/>
          <w:sz w:val="24"/>
          <w:szCs w:val="24"/>
        </w:rPr>
        <w:t>Multi-Month Dispensing Category:</w:t>
      </w:r>
      <w:r w:rsidRPr="00797525">
        <w:rPr>
          <w:rFonts w:ascii="Times New Roman" w:eastAsia="Times New Roman" w:hAnsi="Times New Roman" w:cs="Times New Roman"/>
          <w:sz w:val="24"/>
          <w:szCs w:val="24"/>
        </w:rPr>
        <w:t xml:space="preserve"> The duration of the medication supply provided to the patient at a single pharmacy visit, operationalized as intervals of less than three months, exactly three months, or six months. </w:t>
      </w:r>
    </w:p>
    <w:p w14:paraId="41EBA9BC" w14:textId="77777777" w:rsidR="00797525" w:rsidRPr="00797525" w:rsidRDefault="00797525" w:rsidP="00797525">
      <w:pPr>
        <w:spacing w:before="100" w:beforeAutospacing="1" w:after="100" w:afterAutospacing="1" w:line="276" w:lineRule="auto"/>
        <w:jc w:val="both"/>
        <w:rPr>
          <w:rFonts w:ascii="Times New Roman" w:eastAsia="Times New Roman" w:hAnsi="Times New Roman" w:cs="Times New Roman"/>
          <w:sz w:val="24"/>
          <w:szCs w:val="24"/>
        </w:rPr>
      </w:pPr>
      <w:r w:rsidRPr="00797525">
        <w:rPr>
          <w:rFonts w:ascii="Times New Roman" w:eastAsia="Times New Roman" w:hAnsi="Times New Roman" w:cs="Times New Roman"/>
          <w:b/>
          <w:bCs/>
          <w:sz w:val="24"/>
          <w:szCs w:val="24"/>
        </w:rPr>
        <w:t>Viral Load Suppression:</w:t>
      </w:r>
      <w:r w:rsidRPr="00797525">
        <w:rPr>
          <w:rFonts w:ascii="Times New Roman" w:eastAsia="Times New Roman" w:hAnsi="Times New Roman" w:cs="Times New Roman"/>
          <w:sz w:val="24"/>
          <w:szCs w:val="24"/>
        </w:rPr>
        <w:t xml:space="preserve"> The primary biological outcome indicator of this study, strictly defined as achieving a plasma HIV RNA concentration of fewer than 1,000 copies per </w:t>
      </w:r>
      <w:proofErr w:type="spellStart"/>
      <w:r w:rsidRPr="00797525">
        <w:rPr>
          <w:rFonts w:ascii="Times New Roman" w:eastAsia="Times New Roman" w:hAnsi="Times New Roman" w:cs="Times New Roman"/>
          <w:sz w:val="24"/>
          <w:szCs w:val="24"/>
        </w:rPr>
        <w:t>millilitre</w:t>
      </w:r>
      <w:proofErr w:type="spellEnd"/>
      <w:r w:rsidRPr="00797525">
        <w:rPr>
          <w:rFonts w:ascii="Times New Roman" w:eastAsia="Times New Roman" w:hAnsi="Times New Roman" w:cs="Times New Roman"/>
          <w:sz w:val="24"/>
          <w:szCs w:val="24"/>
        </w:rPr>
        <w:t xml:space="preserve"> of blood after a minimum of six months on active antiretroviral therapy. </w:t>
      </w:r>
    </w:p>
    <w:p w14:paraId="08DB624C" w14:textId="77777777" w:rsidR="00797525" w:rsidRPr="00797525" w:rsidRDefault="00797525" w:rsidP="00797525">
      <w:pPr>
        <w:spacing w:before="100" w:beforeAutospacing="1" w:after="100" w:afterAutospacing="1" w:line="276" w:lineRule="auto"/>
        <w:jc w:val="both"/>
        <w:rPr>
          <w:rFonts w:ascii="Times New Roman" w:eastAsia="Times New Roman" w:hAnsi="Times New Roman" w:cs="Times New Roman"/>
          <w:sz w:val="24"/>
          <w:szCs w:val="24"/>
        </w:rPr>
      </w:pPr>
      <w:r w:rsidRPr="00797525">
        <w:rPr>
          <w:rFonts w:ascii="Times New Roman" w:eastAsia="Times New Roman" w:hAnsi="Times New Roman" w:cs="Times New Roman"/>
          <w:b/>
          <w:bCs/>
          <w:sz w:val="24"/>
          <w:szCs w:val="24"/>
        </w:rPr>
        <w:t>World Health Organization Clinical Stage:</w:t>
      </w:r>
      <w:r w:rsidRPr="00797525">
        <w:rPr>
          <w:rFonts w:ascii="Times New Roman" w:eastAsia="Times New Roman" w:hAnsi="Times New Roman" w:cs="Times New Roman"/>
          <w:sz w:val="24"/>
          <w:szCs w:val="24"/>
        </w:rPr>
        <w:t xml:space="preserve"> The established clinical severity of the disease at the exact time a patient initiates treatment, categorized from Stage I representing asymptomatic disease to Stage IV representing advanced immunodeficiency. </w:t>
      </w:r>
    </w:p>
    <w:p w14:paraId="6356BEA5" w14:textId="77777777" w:rsidR="00ED3EDD" w:rsidRDefault="00ED3EDD" w:rsidP="00ED3EDD">
      <w:pPr>
        <w:spacing w:after="0" w:line="240" w:lineRule="auto"/>
        <w:jc w:val="center"/>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lastRenderedPageBreak/>
        <w:t xml:space="preserve">ABSTRACT </w:t>
      </w:r>
    </w:p>
    <w:p w14:paraId="11DCB342" w14:textId="77777777" w:rsidR="00ED5C72" w:rsidRPr="0031759B" w:rsidRDefault="00ED5C72" w:rsidP="00ED5C72">
      <w:pPr>
        <w:spacing w:before="100" w:beforeAutospacing="1" w:after="100" w:afterAutospacing="1" w:line="240" w:lineRule="auto"/>
        <w:jc w:val="both"/>
        <w:rPr>
          <w:rFonts w:ascii="Times New Roman" w:eastAsia="Times New Roman" w:hAnsi="Times New Roman" w:cs="Times New Roman"/>
          <w:sz w:val="24"/>
          <w:szCs w:val="24"/>
        </w:rPr>
      </w:pPr>
      <w:r w:rsidRPr="0031759B">
        <w:rPr>
          <w:rFonts w:ascii="Times New Roman" w:eastAsia="Times New Roman" w:hAnsi="Times New Roman" w:cs="Times New Roman"/>
          <w:b/>
          <w:bCs/>
          <w:sz w:val="24"/>
          <w:szCs w:val="24"/>
        </w:rPr>
        <w:t>Background:</w:t>
      </w:r>
      <w:r w:rsidRPr="0031759B">
        <w:rPr>
          <w:rFonts w:ascii="Times New Roman" w:eastAsia="Times New Roman" w:hAnsi="Times New Roman" w:cs="Times New Roman"/>
          <w:sz w:val="24"/>
          <w:szCs w:val="24"/>
        </w:rPr>
        <w:t xml:space="preserve"> Despite the significant expansion of antiretroviral therapy across Nigeria, achieving equitable and sustained viral load suppression remains a challenge within decentralized health systems. To address the critical gap between basic treatment coverage and true biological success, this study investigated the individual</w:t>
      </w:r>
      <w:r>
        <w:rPr>
          <w:rFonts w:ascii="Times New Roman" w:eastAsia="Times New Roman" w:hAnsi="Times New Roman" w:cs="Times New Roman"/>
          <w:sz w:val="24"/>
          <w:szCs w:val="24"/>
        </w:rPr>
        <w:t xml:space="preserve"> </w:t>
      </w:r>
      <w:r w:rsidRPr="0031759B">
        <w:rPr>
          <w:rFonts w:ascii="Times New Roman" w:eastAsia="Times New Roman" w:hAnsi="Times New Roman" w:cs="Times New Roman"/>
          <w:sz w:val="24"/>
          <w:szCs w:val="24"/>
        </w:rPr>
        <w:t>and facility level factors associated with viral load suppression among adult patients in Plateau State.</w:t>
      </w:r>
    </w:p>
    <w:p w14:paraId="5AD5B35B" w14:textId="77777777" w:rsidR="00ED5C72" w:rsidRPr="0031759B" w:rsidRDefault="00ED5C72" w:rsidP="00ED5C72">
      <w:pPr>
        <w:spacing w:before="100" w:beforeAutospacing="1" w:after="100" w:afterAutospacing="1" w:line="240" w:lineRule="auto"/>
        <w:jc w:val="both"/>
        <w:rPr>
          <w:rFonts w:ascii="Times New Roman" w:eastAsia="Times New Roman" w:hAnsi="Times New Roman" w:cs="Times New Roman"/>
          <w:sz w:val="24"/>
          <w:szCs w:val="24"/>
        </w:rPr>
      </w:pPr>
      <w:r w:rsidRPr="0031759B">
        <w:rPr>
          <w:rFonts w:ascii="Times New Roman" w:eastAsia="Times New Roman" w:hAnsi="Times New Roman" w:cs="Times New Roman"/>
          <w:b/>
          <w:bCs/>
          <w:sz w:val="24"/>
          <w:szCs w:val="24"/>
        </w:rPr>
        <w:t>Methodology:</w:t>
      </w:r>
      <w:r w:rsidRPr="0031759B">
        <w:rPr>
          <w:rFonts w:ascii="Times New Roman" w:eastAsia="Times New Roman" w:hAnsi="Times New Roman" w:cs="Times New Roman"/>
          <w:sz w:val="24"/>
          <w:szCs w:val="24"/>
        </w:rPr>
        <w:t xml:space="preserve"> The research employed a retrospective serial cross sectional design, analyzing electronic medical records of patients initiated on treatment from </w:t>
      </w:r>
      <w:r>
        <w:rPr>
          <w:rFonts w:ascii="Times New Roman" w:eastAsia="Times New Roman" w:hAnsi="Times New Roman" w:cs="Times New Roman"/>
          <w:sz w:val="24"/>
          <w:szCs w:val="24"/>
        </w:rPr>
        <w:t>January</w:t>
      </w:r>
      <w:r w:rsidRPr="0031759B">
        <w:rPr>
          <w:rFonts w:ascii="Times New Roman" w:eastAsia="Times New Roman" w:hAnsi="Times New Roman" w:cs="Times New Roman"/>
          <w:sz w:val="24"/>
          <w:szCs w:val="24"/>
        </w:rPr>
        <w:t xml:space="preserve"> 2019 through </w:t>
      </w:r>
      <w:r>
        <w:rPr>
          <w:rFonts w:ascii="Times New Roman" w:eastAsia="Times New Roman" w:hAnsi="Times New Roman" w:cs="Times New Roman"/>
          <w:sz w:val="24"/>
          <w:szCs w:val="24"/>
        </w:rPr>
        <w:t>December 2024</w:t>
      </w:r>
      <w:r w:rsidRPr="0031759B">
        <w:rPr>
          <w:rFonts w:ascii="Times New Roman" w:eastAsia="Times New Roman" w:hAnsi="Times New Roman" w:cs="Times New Roman"/>
          <w:sz w:val="24"/>
          <w:szCs w:val="24"/>
        </w:rPr>
        <w:t>. The study population comprised 7,029 adults actively receiving care across 35 primary, secondary, and tertiary facilities</w:t>
      </w:r>
      <w:r>
        <w:rPr>
          <w:rFonts w:ascii="Times New Roman" w:eastAsia="Times New Roman" w:hAnsi="Times New Roman" w:cs="Times New Roman"/>
          <w:sz w:val="24"/>
          <w:szCs w:val="24"/>
        </w:rPr>
        <w:t xml:space="preserve"> in Plateau state</w:t>
      </w:r>
      <w:r w:rsidRPr="0031759B">
        <w:rPr>
          <w:rFonts w:ascii="Times New Roman" w:eastAsia="Times New Roman" w:hAnsi="Times New Roman" w:cs="Times New Roman"/>
          <w:sz w:val="24"/>
          <w:szCs w:val="24"/>
        </w:rPr>
        <w:t xml:space="preserve">. A two-level mixed effects logistic regression was applied to partition institutional variance and isolate independent predictors of virologic success while controlling </w:t>
      </w:r>
      <w:r>
        <w:rPr>
          <w:rFonts w:ascii="Times New Roman" w:eastAsia="Times New Roman" w:hAnsi="Times New Roman" w:cs="Times New Roman"/>
          <w:sz w:val="24"/>
          <w:szCs w:val="24"/>
        </w:rPr>
        <w:t xml:space="preserve">for </w:t>
      </w:r>
      <w:r w:rsidRPr="0031759B">
        <w:rPr>
          <w:rFonts w:ascii="Times New Roman" w:eastAsia="Times New Roman" w:hAnsi="Times New Roman" w:cs="Times New Roman"/>
          <w:sz w:val="24"/>
          <w:szCs w:val="24"/>
        </w:rPr>
        <w:t>facility level clustering.</w:t>
      </w:r>
    </w:p>
    <w:p w14:paraId="534E95BB" w14:textId="77777777" w:rsidR="00ED5C72" w:rsidRPr="0031759B" w:rsidRDefault="00ED5C72" w:rsidP="00ED5C72">
      <w:pPr>
        <w:spacing w:before="100" w:beforeAutospacing="1" w:after="100" w:afterAutospacing="1" w:line="240" w:lineRule="auto"/>
        <w:jc w:val="both"/>
        <w:rPr>
          <w:rFonts w:ascii="Times New Roman" w:eastAsia="Times New Roman" w:hAnsi="Times New Roman" w:cs="Times New Roman"/>
          <w:sz w:val="24"/>
          <w:szCs w:val="24"/>
        </w:rPr>
      </w:pPr>
      <w:r w:rsidRPr="0031759B">
        <w:rPr>
          <w:rFonts w:ascii="Times New Roman" w:eastAsia="Times New Roman" w:hAnsi="Times New Roman" w:cs="Times New Roman"/>
          <w:b/>
          <w:bCs/>
          <w:sz w:val="24"/>
          <w:szCs w:val="24"/>
        </w:rPr>
        <w:t>Findings:</w:t>
      </w:r>
      <w:r w:rsidRPr="0031759B">
        <w:rPr>
          <w:rFonts w:ascii="Times New Roman" w:eastAsia="Times New Roman" w:hAnsi="Times New Roman" w:cs="Times New Roman"/>
          <w:sz w:val="24"/>
          <w:szCs w:val="24"/>
        </w:rPr>
        <w:t xml:space="preserve"> Overall, the cohort achieved a robust final viral load suppression rate of 93.6 percent. However, </w:t>
      </w:r>
      <w:r>
        <w:rPr>
          <w:rFonts w:ascii="Times New Roman" w:eastAsia="Times New Roman" w:hAnsi="Times New Roman" w:cs="Times New Roman"/>
          <w:sz w:val="24"/>
          <w:szCs w:val="24"/>
        </w:rPr>
        <w:t>an annual</w:t>
      </w:r>
      <w:r w:rsidRPr="0031759B">
        <w:rPr>
          <w:rFonts w:ascii="Times New Roman" w:eastAsia="Times New Roman" w:hAnsi="Times New Roman" w:cs="Times New Roman"/>
          <w:sz w:val="24"/>
          <w:szCs w:val="24"/>
        </w:rPr>
        <w:t xml:space="preserve"> trend analysis revealed a widening 13.5 percentage point gap between baseline and endline suppression by 2024, indicating patients are increasingly entering care with profound virologic vulnerability. The null model yielded an Intraclass Correlation Coefficient of 3.16 percent, confirming that the facility environment exerts a measurable baseline influence on treatment outcomes. In the fully adjusted multivariable model, unsuppressed baseline </w:t>
      </w:r>
      <w:r>
        <w:rPr>
          <w:rFonts w:ascii="Times New Roman" w:eastAsia="Times New Roman" w:hAnsi="Times New Roman" w:cs="Times New Roman"/>
          <w:sz w:val="24"/>
          <w:szCs w:val="24"/>
        </w:rPr>
        <w:t xml:space="preserve">viral load </w:t>
      </w:r>
      <w:r w:rsidRPr="0031759B">
        <w:rPr>
          <w:rFonts w:ascii="Times New Roman" w:eastAsia="Times New Roman" w:hAnsi="Times New Roman" w:cs="Times New Roman"/>
          <w:sz w:val="24"/>
          <w:szCs w:val="24"/>
        </w:rPr>
        <w:t>emerged as a severe risk factor that significantly reduced the adjusted odds of ultimate suppression (</w:t>
      </w:r>
      <w:proofErr w:type="spellStart"/>
      <w:r w:rsidRPr="0031759B">
        <w:rPr>
          <w:rFonts w:ascii="Times New Roman" w:eastAsia="Times New Roman" w:hAnsi="Times New Roman" w:cs="Times New Roman"/>
          <w:sz w:val="24"/>
          <w:szCs w:val="24"/>
        </w:rPr>
        <w:t>aOR</w:t>
      </w:r>
      <w:proofErr w:type="spellEnd"/>
      <w:r w:rsidRPr="0031759B">
        <w:rPr>
          <w:rFonts w:ascii="Times New Roman" w:eastAsia="Times New Roman" w:hAnsi="Times New Roman" w:cs="Times New Roman"/>
          <w:sz w:val="24"/>
          <w:szCs w:val="24"/>
        </w:rPr>
        <w:t xml:space="preserve"> = 0.46, </w:t>
      </w:r>
      <w:r w:rsidRPr="0031759B">
        <w:rPr>
          <w:rFonts w:ascii="Times New Roman" w:eastAsia="Times New Roman" w:hAnsi="Times New Roman" w:cs="Times New Roman"/>
          <w:i/>
          <w:iCs/>
          <w:sz w:val="24"/>
          <w:szCs w:val="24"/>
        </w:rPr>
        <w:t>p</w:t>
      </w:r>
      <w:r w:rsidRPr="0031759B">
        <w:rPr>
          <w:rFonts w:ascii="Times New Roman" w:eastAsia="Times New Roman" w:hAnsi="Times New Roman" w:cs="Times New Roman"/>
          <w:sz w:val="24"/>
          <w:szCs w:val="24"/>
        </w:rPr>
        <w:t xml:space="preserve"> &lt; .001). Conversely, placing patients on </w:t>
      </w:r>
      <w:proofErr w:type="gramStart"/>
      <w:r w:rsidRPr="0031759B">
        <w:rPr>
          <w:rFonts w:ascii="Times New Roman" w:eastAsia="Times New Roman" w:hAnsi="Times New Roman" w:cs="Times New Roman"/>
          <w:sz w:val="24"/>
          <w:szCs w:val="24"/>
        </w:rPr>
        <w:t>six month</w:t>
      </w:r>
      <w:proofErr w:type="gramEnd"/>
      <w:r w:rsidRPr="0031759B">
        <w:rPr>
          <w:rFonts w:ascii="Times New Roman" w:eastAsia="Times New Roman" w:hAnsi="Times New Roman" w:cs="Times New Roman"/>
          <w:sz w:val="24"/>
          <w:szCs w:val="24"/>
        </w:rPr>
        <w:t xml:space="preserve"> multi month dispensing greatly improved outcomes compared to standard </w:t>
      </w:r>
      <w:proofErr w:type="gramStart"/>
      <w:r w:rsidRPr="0031759B">
        <w:rPr>
          <w:rFonts w:ascii="Times New Roman" w:eastAsia="Times New Roman" w:hAnsi="Times New Roman" w:cs="Times New Roman"/>
          <w:sz w:val="24"/>
          <w:szCs w:val="24"/>
        </w:rPr>
        <w:t>three month</w:t>
      </w:r>
      <w:proofErr w:type="gramEnd"/>
      <w:r w:rsidRPr="0031759B">
        <w:rPr>
          <w:rFonts w:ascii="Times New Roman" w:eastAsia="Times New Roman" w:hAnsi="Times New Roman" w:cs="Times New Roman"/>
          <w:sz w:val="24"/>
          <w:szCs w:val="24"/>
        </w:rPr>
        <w:t xml:space="preserve"> schedules (</w:t>
      </w:r>
      <w:proofErr w:type="spellStart"/>
      <w:r w:rsidRPr="0031759B">
        <w:rPr>
          <w:rFonts w:ascii="Times New Roman" w:eastAsia="Times New Roman" w:hAnsi="Times New Roman" w:cs="Times New Roman"/>
          <w:sz w:val="24"/>
          <w:szCs w:val="24"/>
        </w:rPr>
        <w:t>aOR</w:t>
      </w:r>
      <w:proofErr w:type="spellEnd"/>
      <w:r w:rsidRPr="0031759B">
        <w:rPr>
          <w:rFonts w:ascii="Times New Roman" w:eastAsia="Times New Roman" w:hAnsi="Times New Roman" w:cs="Times New Roman"/>
          <w:sz w:val="24"/>
          <w:szCs w:val="24"/>
        </w:rPr>
        <w:t xml:space="preserve"> = 1.34, </w:t>
      </w:r>
      <w:r w:rsidRPr="0031759B">
        <w:rPr>
          <w:rFonts w:ascii="Times New Roman" w:eastAsia="Times New Roman" w:hAnsi="Times New Roman" w:cs="Times New Roman"/>
          <w:i/>
          <w:iCs/>
          <w:sz w:val="24"/>
          <w:szCs w:val="24"/>
        </w:rPr>
        <w:t>p</w:t>
      </w:r>
      <w:r w:rsidRPr="0031759B">
        <w:rPr>
          <w:rFonts w:ascii="Times New Roman" w:eastAsia="Times New Roman" w:hAnsi="Times New Roman" w:cs="Times New Roman"/>
          <w:sz w:val="24"/>
          <w:szCs w:val="24"/>
        </w:rPr>
        <w:t xml:space="preserve"> &lt; .01). Social determinants also heavily moderated clinical success; tertiary education </w:t>
      </w:r>
      <w:r>
        <w:rPr>
          <w:rFonts w:ascii="Times New Roman" w:eastAsia="Times New Roman" w:hAnsi="Times New Roman" w:cs="Times New Roman"/>
          <w:sz w:val="24"/>
          <w:szCs w:val="24"/>
        </w:rPr>
        <w:t xml:space="preserve">yielded higher odds of suppression </w:t>
      </w:r>
      <w:r w:rsidRPr="0031759B">
        <w:rPr>
          <w:rFonts w:ascii="Times New Roman" w:eastAsia="Times New Roman" w:hAnsi="Times New Roman" w:cs="Times New Roman"/>
          <w:sz w:val="24"/>
          <w:szCs w:val="24"/>
        </w:rPr>
        <w:t>(</w:t>
      </w:r>
      <w:proofErr w:type="spellStart"/>
      <w:r w:rsidRPr="0031759B">
        <w:rPr>
          <w:rFonts w:ascii="Times New Roman" w:eastAsia="Times New Roman" w:hAnsi="Times New Roman" w:cs="Times New Roman"/>
          <w:sz w:val="24"/>
          <w:szCs w:val="24"/>
        </w:rPr>
        <w:t>aOR</w:t>
      </w:r>
      <w:proofErr w:type="spellEnd"/>
      <w:r w:rsidRPr="0031759B">
        <w:rPr>
          <w:rFonts w:ascii="Times New Roman" w:eastAsia="Times New Roman" w:hAnsi="Times New Roman" w:cs="Times New Roman"/>
          <w:sz w:val="24"/>
          <w:szCs w:val="24"/>
        </w:rPr>
        <w:t xml:space="preserve"> = 1.54, </w:t>
      </w:r>
      <w:r w:rsidRPr="0031759B">
        <w:rPr>
          <w:rFonts w:ascii="Times New Roman" w:eastAsia="Times New Roman" w:hAnsi="Times New Roman" w:cs="Times New Roman"/>
          <w:i/>
          <w:iCs/>
          <w:sz w:val="24"/>
          <w:szCs w:val="24"/>
        </w:rPr>
        <w:t>p</w:t>
      </w:r>
      <w:r w:rsidRPr="0031759B">
        <w:rPr>
          <w:rFonts w:ascii="Times New Roman" w:eastAsia="Times New Roman" w:hAnsi="Times New Roman" w:cs="Times New Roman"/>
          <w:sz w:val="24"/>
          <w:szCs w:val="24"/>
        </w:rPr>
        <w:t xml:space="preserve"> &lt; .05), while never married status reduced the odds of suppression (</w:t>
      </w:r>
      <w:proofErr w:type="spellStart"/>
      <w:r w:rsidRPr="0031759B">
        <w:rPr>
          <w:rFonts w:ascii="Times New Roman" w:eastAsia="Times New Roman" w:hAnsi="Times New Roman" w:cs="Times New Roman"/>
          <w:sz w:val="24"/>
          <w:szCs w:val="24"/>
        </w:rPr>
        <w:t>aOR</w:t>
      </w:r>
      <w:proofErr w:type="spellEnd"/>
      <w:r w:rsidRPr="0031759B">
        <w:rPr>
          <w:rFonts w:ascii="Times New Roman" w:eastAsia="Times New Roman" w:hAnsi="Times New Roman" w:cs="Times New Roman"/>
          <w:sz w:val="24"/>
          <w:szCs w:val="24"/>
        </w:rPr>
        <w:t xml:space="preserve"> = 0.75, </w:t>
      </w:r>
      <w:r w:rsidRPr="0031759B">
        <w:rPr>
          <w:rFonts w:ascii="Times New Roman" w:eastAsia="Times New Roman" w:hAnsi="Times New Roman" w:cs="Times New Roman"/>
          <w:i/>
          <w:iCs/>
          <w:sz w:val="24"/>
          <w:szCs w:val="24"/>
        </w:rPr>
        <w:t>p</w:t>
      </w:r>
      <w:r w:rsidRPr="0031759B">
        <w:rPr>
          <w:rFonts w:ascii="Times New Roman" w:eastAsia="Times New Roman" w:hAnsi="Times New Roman" w:cs="Times New Roman"/>
          <w:sz w:val="24"/>
          <w:szCs w:val="24"/>
        </w:rPr>
        <w:t xml:space="preserve"> &lt; .05). Crucially, the distinct rural disadvantage observed during crude screening was completely attenuated after controlling for individual vulnerabilities, proving that structural classifications like facility tier and geographic location do not independently predict clinical success</w:t>
      </w:r>
      <w:r>
        <w:rPr>
          <w:rFonts w:ascii="Times New Roman" w:eastAsia="Times New Roman" w:hAnsi="Times New Roman" w:cs="Times New Roman"/>
          <w:sz w:val="24"/>
          <w:szCs w:val="24"/>
        </w:rPr>
        <w:t xml:space="preserve"> in this study</w:t>
      </w:r>
      <w:r w:rsidRPr="0031759B">
        <w:rPr>
          <w:rFonts w:ascii="Times New Roman" w:eastAsia="Times New Roman" w:hAnsi="Times New Roman" w:cs="Times New Roman"/>
          <w:sz w:val="24"/>
          <w:szCs w:val="24"/>
        </w:rPr>
        <w:t>.</w:t>
      </w:r>
    </w:p>
    <w:p w14:paraId="08D30173" w14:textId="77777777" w:rsidR="00ED3EDD" w:rsidRDefault="00ED5C72" w:rsidP="00ED5C72">
      <w:pPr>
        <w:pStyle w:val="NormalWeb"/>
        <w:jc w:val="both"/>
      </w:pPr>
      <w:r w:rsidRPr="0031759B">
        <w:rPr>
          <w:b/>
          <w:bCs/>
        </w:rPr>
        <w:t>Conclusion:</w:t>
      </w:r>
      <w:r w:rsidRPr="0031759B">
        <w:t xml:space="preserve"> Virologic </w:t>
      </w:r>
      <w:r>
        <w:t>un-suppression</w:t>
      </w:r>
      <w:r w:rsidRPr="0031759B">
        <w:t xml:space="preserve"> in Plateau State is highly concentrated among specific, vulnerable patient subgroups rather than being driven by facility geography or </w:t>
      </w:r>
      <w:r>
        <w:t>level of care</w:t>
      </w:r>
      <w:r w:rsidRPr="0031759B">
        <w:t xml:space="preserve">. To achieve sustained epidemic control, health systems must </w:t>
      </w:r>
      <w:proofErr w:type="spellStart"/>
      <w:r>
        <w:t>prioritise</w:t>
      </w:r>
      <w:proofErr w:type="spellEnd"/>
      <w:r w:rsidRPr="0031759B">
        <w:t xml:space="preserve"> vulnerability</w:t>
      </w:r>
      <w:r>
        <w:t>-based</w:t>
      </w:r>
      <w:r w:rsidRPr="0031759B">
        <w:t xml:space="preserve"> resource allocation. Programmatic recommendations include </w:t>
      </w:r>
      <w:r>
        <w:t>intensifying</w:t>
      </w:r>
      <w:r w:rsidRPr="0031759B">
        <w:t xml:space="preserve"> early</w:t>
      </w:r>
      <w:r>
        <w:t xml:space="preserve"> detection of cases, viral load optimization,</w:t>
      </w:r>
      <w:r w:rsidRPr="0031759B">
        <w:t xml:space="preserve"> </w:t>
      </w:r>
      <w:r>
        <w:t xml:space="preserve">rapid ART initiation, </w:t>
      </w:r>
      <w:r w:rsidRPr="0031759B">
        <w:t xml:space="preserve">and adopting a presumptive six month extended dispensing model. Finally, targeted </w:t>
      </w:r>
      <w:r>
        <w:t xml:space="preserve">health education, </w:t>
      </w:r>
      <w:r w:rsidRPr="0031759B">
        <w:t>social and adherence support must be deployed specifically for never married and uneducated patients to close the remaining gaps in the care cascade.</w:t>
      </w:r>
    </w:p>
    <w:p w14:paraId="21EB5C71" w14:textId="77777777" w:rsidR="00ED3EDD" w:rsidRDefault="00ED3EDD" w:rsidP="0093721C">
      <w:pPr>
        <w:spacing w:after="0" w:line="360" w:lineRule="auto"/>
        <w:jc w:val="center"/>
        <w:rPr>
          <w:rFonts w:ascii="Times New Roman" w:eastAsia="SimSun" w:hAnsi="Times New Roman" w:cs="Times New Roman"/>
          <w:b/>
          <w:bCs/>
          <w:sz w:val="24"/>
          <w:szCs w:val="24"/>
          <w:lang w:eastAsia="zh-CN"/>
        </w:rPr>
      </w:pPr>
    </w:p>
    <w:p w14:paraId="5D460F59" w14:textId="77777777" w:rsidR="00ED3EDD" w:rsidRDefault="00ED3EDD" w:rsidP="0093721C">
      <w:pPr>
        <w:spacing w:after="0" w:line="360" w:lineRule="auto"/>
        <w:jc w:val="center"/>
        <w:rPr>
          <w:rFonts w:ascii="Times New Roman" w:eastAsia="SimSun" w:hAnsi="Times New Roman" w:cs="Times New Roman"/>
          <w:b/>
          <w:bCs/>
          <w:sz w:val="24"/>
          <w:szCs w:val="24"/>
          <w:lang w:eastAsia="zh-CN"/>
        </w:rPr>
      </w:pPr>
    </w:p>
    <w:p w14:paraId="63C7C14A" w14:textId="77777777" w:rsidR="0027215C" w:rsidRDefault="0027215C" w:rsidP="0093721C">
      <w:pPr>
        <w:spacing w:after="0" w:line="360" w:lineRule="auto"/>
        <w:jc w:val="center"/>
        <w:rPr>
          <w:rFonts w:ascii="Times New Roman" w:eastAsia="SimSun" w:hAnsi="Times New Roman" w:cs="Times New Roman"/>
          <w:b/>
          <w:bCs/>
          <w:sz w:val="24"/>
          <w:szCs w:val="24"/>
          <w:lang w:eastAsia="zh-CN"/>
        </w:rPr>
        <w:sectPr w:rsidR="0027215C" w:rsidSect="0027215C">
          <w:footerReference w:type="default" r:id="rId11"/>
          <w:pgSz w:w="12240" w:h="15840"/>
          <w:pgMar w:top="1440" w:right="1440" w:bottom="1440" w:left="1440" w:header="720" w:footer="720" w:gutter="0"/>
          <w:pgNumType w:fmt="lowerRoman"/>
          <w:cols w:space="720"/>
          <w:docGrid w:linePitch="360"/>
        </w:sectPr>
      </w:pPr>
    </w:p>
    <w:p w14:paraId="014F2CAC" w14:textId="77777777" w:rsidR="0093721C" w:rsidRPr="0093721C" w:rsidRDefault="0093721C" w:rsidP="0027215C">
      <w:pPr>
        <w:spacing w:after="200" w:line="360" w:lineRule="auto"/>
        <w:jc w:val="center"/>
        <w:rPr>
          <w:rFonts w:ascii="Times New Roman" w:eastAsia="Calibri" w:hAnsi="Times New Roman" w:cs="Times New Roman"/>
          <w:b/>
          <w:sz w:val="24"/>
          <w:szCs w:val="24"/>
        </w:rPr>
      </w:pPr>
      <w:r w:rsidRPr="0093721C">
        <w:rPr>
          <w:rFonts w:ascii="Times New Roman" w:eastAsia="Calibri" w:hAnsi="Times New Roman" w:cs="Times New Roman"/>
          <w:b/>
          <w:sz w:val="24"/>
          <w:szCs w:val="24"/>
        </w:rPr>
        <w:lastRenderedPageBreak/>
        <w:t>CHAPTER ONE</w:t>
      </w:r>
      <w:r w:rsidR="00096602">
        <w:rPr>
          <w:rFonts w:ascii="Times New Roman" w:eastAsia="Calibri" w:hAnsi="Times New Roman" w:cs="Times New Roman"/>
          <w:b/>
          <w:sz w:val="24"/>
          <w:szCs w:val="24"/>
        </w:rPr>
        <w:t xml:space="preserve"> </w:t>
      </w:r>
    </w:p>
    <w:p w14:paraId="55716E77" w14:textId="77777777" w:rsidR="0093721C" w:rsidRPr="0093721C" w:rsidRDefault="0093721C" w:rsidP="0027215C">
      <w:pPr>
        <w:spacing w:after="200" w:line="360" w:lineRule="auto"/>
        <w:jc w:val="center"/>
        <w:rPr>
          <w:rFonts w:ascii="Times New Roman" w:eastAsia="Calibri" w:hAnsi="Times New Roman" w:cs="Times New Roman"/>
          <w:b/>
          <w:sz w:val="24"/>
          <w:szCs w:val="24"/>
        </w:rPr>
      </w:pPr>
      <w:r w:rsidRPr="0093721C">
        <w:rPr>
          <w:rFonts w:ascii="Times New Roman" w:eastAsia="SimSun" w:hAnsi="Times New Roman" w:cs="Times New Roman"/>
          <w:b/>
          <w:color w:val="212529"/>
          <w:sz w:val="24"/>
          <w:szCs w:val="24"/>
          <w:shd w:val="clear" w:color="auto" w:fill="FFFFFF"/>
          <w:lang w:eastAsia="zh-CN"/>
        </w:rPr>
        <w:t>GENERAL</w:t>
      </w:r>
      <w:r w:rsidRPr="0093721C">
        <w:rPr>
          <w:rFonts w:ascii="Times New Roman" w:eastAsia="SimSun" w:hAnsi="Times New Roman" w:cs="Times New Roman"/>
          <w:color w:val="212529"/>
          <w:sz w:val="24"/>
          <w:szCs w:val="24"/>
          <w:shd w:val="clear" w:color="auto" w:fill="FFFFFF"/>
          <w:lang w:eastAsia="zh-CN"/>
        </w:rPr>
        <w:t xml:space="preserve"> </w:t>
      </w:r>
      <w:r w:rsidRPr="0093721C">
        <w:rPr>
          <w:rFonts w:ascii="Times New Roman" w:eastAsia="Calibri" w:hAnsi="Times New Roman" w:cs="Times New Roman"/>
          <w:b/>
          <w:sz w:val="24"/>
          <w:szCs w:val="24"/>
        </w:rPr>
        <w:t>INTRODUCTION</w:t>
      </w:r>
    </w:p>
    <w:p w14:paraId="7BA7BCF8" w14:textId="77777777" w:rsidR="0093721C" w:rsidRPr="0093721C" w:rsidRDefault="0093721C" w:rsidP="0093721C">
      <w:pPr>
        <w:spacing w:before="100" w:beforeAutospacing="1" w:after="100" w:afterAutospacing="1" w:line="480" w:lineRule="auto"/>
        <w:jc w:val="both"/>
        <w:rPr>
          <w:rFonts w:ascii="Times New Roman" w:eastAsia="Times New Roman" w:hAnsi="Times New Roman" w:cs="Times New Roman"/>
          <w:sz w:val="24"/>
          <w:szCs w:val="24"/>
        </w:rPr>
      </w:pPr>
      <w:r w:rsidRPr="0093721C">
        <w:rPr>
          <w:rFonts w:ascii="Times New Roman" w:eastAsia="Times New Roman" w:hAnsi="Times New Roman" w:cs="Times New Roman"/>
          <w:b/>
          <w:bCs/>
          <w:sz w:val="24"/>
          <w:szCs w:val="24"/>
        </w:rPr>
        <w:t>1.1 Contextual Data</w:t>
      </w:r>
    </w:p>
    <w:p w14:paraId="6D09776B" w14:textId="77777777" w:rsidR="003D5ED2" w:rsidRPr="003D5ED2" w:rsidRDefault="003D5ED2" w:rsidP="003D5ED2">
      <w:pPr>
        <w:spacing w:before="100" w:beforeAutospacing="1" w:after="100" w:afterAutospacing="1" w:line="480" w:lineRule="auto"/>
        <w:jc w:val="both"/>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 xml:space="preserve">The global HIV epidemic has undergone a profound transformation over the past three decades. Through the sustained expansion of antiretroviral therapy, HIV has shifted from a uniformly fatal condition to a manageable chronic disease. Central to this transformation is the concept of viral load suppression, defined in programmatic settings as a plasma HIV RNA concentration below 1,000 copies per </w:t>
      </w:r>
      <w:proofErr w:type="spellStart"/>
      <w:r w:rsidRPr="003D5ED2">
        <w:rPr>
          <w:rFonts w:ascii="Times New Roman" w:eastAsia="Times New Roman" w:hAnsi="Times New Roman" w:cs="Times New Roman"/>
          <w:sz w:val="24"/>
          <w:szCs w:val="24"/>
        </w:rPr>
        <w:t>millilitre</w:t>
      </w:r>
      <w:proofErr w:type="spellEnd"/>
      <w:r w:rsidRPr="003D5ED2">
        <w:rPr>
          <w:rFonts w:ascii="Times New Roman" w:eastAsia="Times New Roman" w:hAnsi="Times New Roman" w:cs="Times New Roman"/>
          <w:sz w:val="24"/>
          <w:szCs w:val="24"/>
        </w:rPr>
        <w:t xml:space="preserve">. This threshold serves as the primary biological indicator of treatment effectiveness (World Health Organization, 2022). Sustained suppression preserves immune function, prevents progression to Acquired Immunodeficiency Syndrome, and effectively eliminates the risk of onward sexual transmission. This prevention paradigm was definitively confirmed by the landmark PARTNER2 study, which provided the scientific foundation for the Undetectable equals </w:t>
      </w:r>
      <w:proofErr w:type="spellStart"/>
      <w:r w:rsidRPr="003D5ED2">
        <w:rPr>
          <w:rFonts w:ascii="Times New Roman" w:eastAsia="Times New Roman" w:hAnsi="Times New Roman" w:cs="Times New Roman"/>
          <w:sz w:val="24"/>
          <w:szCs w:val="24"/>
        </w:rPr>
        <w:t>Untransmittable</w:t>
      </w:r>
      <w:proofErr w:type="spellEnd"/>
      <w:r w:rsidRPr="003D5ED2">
        <w:rPr>
          <w:rFonts w:ascii="Times New Roman" w:eastAsia="Times New Roman" w:hAnsi="Times New Roman" w:cs="Times New Roman"/>
          <w:sz w:val="24"/>
          <w:szCs w:val="24"/>
        </w:rPr>
        <w:t xml:space="preserve"> public health strategy (Rodger et al., 2019). Within the framework of the UNAIDS 95, 95, 95 targets, achieving viral load suppression among 95 percent of all individuals on treatment constitutes the final and most clinically demanding milestone. It represents the critical point at which biomedical potential translates into demonstrable population level epidemic control (UNAIDS, 2023).</w:t>
      </w:r>
    </w:p>
    <w:p w14:paraId="1F37317E" w14:textId="77777777" w:rsidR="003D5ED2" w:rsidRPr="003D5ED2" w:rsidRDefault="003D5ED2" w:rsidP="003D5ED2">
      <w:pPr>
        <w:spacing w:before="100" w:beforeAutospacing="1" w:after="100" w:afterAutospacing="1" w:line="480" w:lineRule="auto"/>
        <w:jc w:val="both"/>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 xml:space="preserve">Nigeria occupies a critical position in the global HIV response. With an adult HIV prevalence between 1.3 and 1.4 percent and approximately 1.9 million people living with the virus, the country carries the second largest HIV burden in Africa and a disproportionate share of the global treatment gap (National Agency for the Control of AIDS, 2025; UNAIDS, 2024). While the expansion of antiretroviral therapy has been substantial, successfully reaching over 1.8 million individuals, the </w:t>
      </w:r>
      <w:r w:rsidRPr="003D5ED2">
        <w:rPr>
          <w:rFonts w:ascii="Times New Roman" w:eastAsia="Times New Roman" w:hAnsi="Times New Roman" w:cs="Times New Roman"/>
          <w:sz w:val="24"/>
          <w:szCs w:val="24"/>
        </w:rPr>
        <w:lastRenderedPageBreak/>
        <w:t>conversion of treatment enrollment into durable viral suppression remains inconsistent. The 2018 Nigeria HIV and AIDS Indicator and Impact Survey reported a sobering reality; among all adults aged 15 to 64 years living with HIV, only 44.5 percent had achieved viral suppression (National Agency for the Control of AIDS, 2022). More recent programmatic data indicate that among individuals actively receiving antiretroviral therapy, suppression rates have improved considerably and approach 95 percent in certain cohorts (National Agency for the Control of AIDS, 2025). However, when calculated across the entire population of people living with HIV, including those who are undiagnosed, not yet on treatment, or lost to follow up, population level viral suppression in Nigeria stands at approximately 79 percent (UNAIDS, 2025). This means approximately one in five individuals living with the virus remains at risk of disease progression, drug resistance, and continued transmission. This persistent gap between on treatment suppression and population level suppression constitutes the central programmatic challenge this study seeks to investigate.</w:t>
      </w:r>
    </w:p>
    <w:p w14:paraId="23727EB9" w14:textId="77777777" w:rsidR="003D5ED2" w:rsidRPr="003D5ED2" w:rsidRDefault="003D5ED2" w:rsidP="003D5ED2">
      <w:pPr>
        <w:spacing w:before="100" w:beforeAutospacing="1" w:after="100" w:afterAutospacing="1" w:line="480" w:lineRule="auto"/>
        <w:jc w:val="both"/>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 xml:space="preserve">The epidemic in Nigeria is geographically heterogeneous, which has significant implications for programmatic responses. The North Central geopolitical zone carries a disproportionately high burden, exhibiting an adult HIV prevalence of approximately 2.0 percent compared to the lower national average (National Agency for the Control of AIDS, 2025). Within this zone, Plateau State reports a prevalence of 1.6 percent, translating to an estimated 51,370 individuals living with HIV (Plateau State Ministry of Health, 2025). Of the 47,056 adults currently enrolled in treatment services across the state, a striking gender asymmetry is evident. The cohort comprises 33,055 females and 14,001 males, representing a female to male ratio of approximately 2.4 to 1 (Plateau State Ministry of Health, 2025). This disparity indicates that while women are more consistently engaged in the treatment cascade, often facilitated by the integration of HIV services with maternal and child health programs, men remain a substantially underserved population. Men frequently </w:t>
      </w:r>
      <w:r w:rsidRPr="00460B84">
        <w:rPr>
          <w:rFonts w:ascii="Times New Roman" w:eastAsia="Times New Roman" w:hAnsi="Times New Roman" w:cs="Times New Roman"/>
          <w:sz w:val="24"/>
          <w:szCs w:val="24"/>
        </w:rPr>
        <w:lastRenderedPageBreak/>
        <w:t>present at more advanced stages of the disease at the time of treatment initiation. Furthermore, Plateau State continues to record new infections, with 2,786 reported in 2024 and 1,910 additional cases identified between January and September 2025. These figures underscore the ongoing transmission burden and the sustained urgency of optimizing clinical outcomes (Plateau State Ministry of Health, 2025).</w:t>
      </w:r>
    </w:p>
    <w:p w14:paraId="7A7451C6" w14:textId="77777777" w:rsidR="003D5ED2" w:rsidRPr="003D5ED2" w:rsidRDefault="003D5ED2" w:rsidP="003D5ED2">
      <w:pPr>
        <w:spacing w:before="100" w:beforeAutospacing="1" w:after="100" w:afterAutospacing="1" w:line="480" w:lineRule="auto"/>
        <w:jc w:val="both"/>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 xml:space="preserve">The health system architecture through which care is delivered in Plateau State is highly decentralized. Services are structured across 1,145 primary health </w:t>
      </w:r>
      <w:proofErr w:type="spellStart"/>
      <w:r w:rsidRPr="003D5ED2">
        <w:rPr>
          <w:rFonts w:ascii="Times New Roman" w:eastAsia="Times New Roman" w:hAnsi="Times New Roman" w:cs="Times New Roman"/>
          <w:sz w:val="24"/>
          <w:szCs w:val="24"/>
        </w:rPr>
        <w:t>centres</w:t>
      </w:r>
      <w:proofErr w:type="spellEnd"/>
      <w:r w:rsidRPr="003D5ED2">
        <w:rPr>
          <w:rFonts w:ascii="Times New Roman" w:eastAsia="Times New Roman" w:hAnsi="Times New Roman" w:cs="Times New Roman"/>
          <w:sz w:val="24"/>
          <w:szCs w:val="24"/>
        </w:rPr>
        <w:t xml:space="preserve">, 85 secondary facilities, and 3 tertiary institutions distributed across urban local government areas like Jos North and rural localities such as Mangu, </w:t>
      </w:r>
      <w:proofErr w:type="spellStart"/>
      <w:r w:rsidRPr="003D5ED2">
        <w:rPr>
          <w:rFonts w:ascii="Times New Roman" w:eastAsia="Times New Roman" w:hAnsi="Times New Roman" w:cs="Times New Roman"/>
          <w:sz w:val="24"/>
          <w:szCs w:val="24"/>
        </w:rPr>
        <w:t>Bokkos</w:t>
      </w:r>
      <w:proofErr w:type="spellEnd"/>
      <w:r w:rsidRPr="003D5ED2">
        <w:rPr>
          <w:rFonts w:ascii="Times New Roman" w:eastAsia="Times New Roman" w:hAnsi="Times New Roman" w:cs="Times New Roman"/>
          <w:sz w:val="24"/>
          <w:szCs w:val="24"/>
        </w:rPr>
        <w:t xml:space="preserve">, and </w:t>
      </w:r>
      <w:proofErr w:type="spellStart"/>
      <w:r w:rsidRPr="003D5ED2">
        <w:rPr>
          <w:rFonts w:ascii="Times New Roman" w:eastAsia="Times New Roman" w:hAnsi="Times New Roman" w:cs="Times New Roman"/>
          <w:sz w:val="24"/>
          <w:szCs w:val="24"/>
        </w:rPr>
        <w:t>Shendam</w:t>
      </w:r>
      <w:proofErr w:type="spellEnd"/>
      <w:r w:rsidRPr="003D5ED2">
        <w:rPr>
          <w:rFonts w:ascii="Times New Roman" w:eastAsia="Times New Roman" w:hAnsi="Times New Roman" w:cs="Times New Roman"/>
          <w:sz w:val="24"/>
          <w:szCs w:val="24"/>
        </w:rPr>
        <w:t xml:space="preserve"> (Plateau State Ministry of Health, 2025). While this decentralization has successfully improved geographic access to treatment, it has simultaneously introduced profound structural variability. Facilities exhibit significant differences in laboratory infrastructure, sample transportation logistics, human resource capacity, and adherence support systems. Urban tertiary and secondary facilities generally maintain reliable laboratory networks and comprehensive monitoring frameworks. Conversely, rural primary and secondary sites frequently experience logistical constraints, including unreliable power supplies, delayed sample transportation, and intermittent reagent availability. These localized barriers directly affect the timeliness of testing and the quality of clinical follow up (Nigeria Health Watch, 2025; Osayi et al., 2024).</w:t>
      </w:r>
    </w:p>
    <w:p w14:paraId="5B721F93" w14:textId="77777777" w:rsidR="003D5ED2" w:rsidRPr="003D5ED2" w:rsidRDefault="003D5ED2" w:rsidP="003D5ED2">
      <w:pPr>
        <w:spacing w:before="100" w:beforeAutospacing="1" w:after="100" w:afterAutospacing="1" w:line="480" w:lineRule="auto"/>
        <w:jc w:val="both"/>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 xml:space="preserve">Nigeria's HIV response is additionally navigating a complex fiscal transition at the time of this investigation. The historical reliance on donor supported mechanisms, particularly the United States President's Emergency Plan for AIDS Relief, is being progressively realigned toward domestic financing models such as the HIV Trust Fund of Nigeria and the integration of HIV </w:t>
      </w:r>
      <w:r w:rsidRPr="003D5ED2">
        <w:rPr>
          <w:rFonts w:ascii="Times New Roman" w:eastAsia="Times New Roman" w:hAnsi="Times New Roman" w:cs="Times New Roman"/>
          <w:sz w:val="24"/>
          <w:szCs w:val="24"/>
        </w:rPr>
        <w:lastRenderedPageBreak/>
        <w:t>services into the National Health Insurance Scheme (Nigeria Health Watch, 2025; UNAIDS, 2025). Early 2025 marked a highly disruptive phase of this transition, during which reductions in donor funded community health worker support compromised monitoring capacities across several states, including Plateau State. These macro level financing pressures interact with existing micro level barriers, such as poverty, treatment fatigue, psychosocial stressors, and inadequate adherence counseling. Together, they create an evolving service delivery environment where the determinants of viral suppression are simultaneously clinical, behavioral, and deeply institutional.</w:t>
      </w:r>
    </w:p>
    <w:p w14:paraId="443233FA" w14:textId="77777777" w:rsidR="003D5ED2" w:rsidRPr="003D5ED2" w:rsidRDefault="003D5ED2" w:rsidP="003D5ED2">
      <w:pPr>
        <w:spacing w:before="100" w:beforeAutospacing="1" w:after="100" w:afterAutospacing="1" w:line="480" w:lineRule="auto"/>
        <w:jc w:val="both"/>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Table 1.1 summarizes the HIV burden and treatment statistics for Nigeria at national, zonal, and state levels, providing the precise epidemiological reference points that frame this investigation.</w:t>
      </w:r>
    </w:p>
    <w:p w14:paraId="5500D509" w14:textId="77777777" w:rsidR="009C5063" w:rsidRDefault="009C5063" w:rsidP="003D5ED2">
      <w:pPr>
        <w:spacing w:before="100" w:beforeAutospacing="1" w:after="100" w:afterAutospacing="1" w:line="240" w:lineRule="auto"/>
        <w:rPr>
          <w:rFonts w:ascii="Times New Roman" w:eastAsia="Times New Roman" w:hAnsi="Times New Roman" w:cs="Times New Roman"/>
          <w:b/>
          <w:bCs/>
          <w:sz w:val="24"/>
          <w:szCs w:val="24"/>
        </w:rPr>
      </w:pPr>
    </w:p>
    <w:p w14:paraId="1BF9A498" w14:textId="77777777" w:rsidR="009C5063" w:rsidRDefault="009C5063" w:rsidP="003D5ED2">
      <w:pPr>
        <w:spacing w:before="100" w:beforeAutospacing="1" w:after="100" w:afterAutospacing="1" w:line="240" w:lineRule="auto"/>
        <w:rPr>
          <w:rFonts w:ascii="Times New Roman" w:eastAsia="Times New Roman" w:hAnsi="Times New Roman" w:cs="Times New Roman"/>
          <w:b/>
          <w:bCs/>
          <w:sz w:val="24"/>
          <w:szCs w:val="24"/>
        </w:rPr>
      </w:pPr>
    </w:p>
    <w:p w14:paraId="532C2B64" w14:textId="77777777" w:rsidR="009C5063" w:rsidRDefault="009C5063" w:rsidP="003D5ED2">
      <w:pPr>
        <w:spacing w:before="100" w:beforeAutospacing="1" w:after="100" w:afterAutospacing="1" w:line="240" w:lineRule="auto"/>
        <w:rPr>
          <w:rFonts w:ascii="Times New Roman" w:eastAsia="Times New Roman" w:hAnsi="Times New Roman" w:cs="Times New Roman"/>
          <w:b/>
          <w:bCs/>
          <w:sz w:val="24"/>
          <w:szCs w:val="24"/>
        </w:rPr>
      </w:pPr>
    </w:p>
    <w:p w14:paraId="608982CD" w14:textId="77777777" w:rsidR="009C5063" w:rsidRDefault="009C5063" w:rsidP="003D5ED2">
      <w:pPr>
        <w:spacing w:before="100" w:beforeAutospacing="1" w:after="100" w:afterAutospacing="1" w:line="240" w:lineRule="auto"/>
        <w:rPr>
          <w:rFonts w:ascii="Times New Roman" w:eastAsia="Times New Roman" w:hAnsi="Times New Roman" w:cs="Times New Roman"/>
          <w:b/>
          <w:bCs/>
          <w:sz w:val="24"/>
          <w:szCs w:val="24"/>
        </w:rPr>
      </w:pPr>
    </w:p>
    <w:p w14:paraId="166BECC2" w14:textId="77777777" w:rsidR="009C5063" w:rsidRDefault="009C5063" w:rsidP="003D5ED2">
      <w:pPr>
        <w:spacing w:before="100" w:beforeAutospacing="1" w:after="100" w:afterAutospacing="1" w:line="240" w:lineRule="auto"/>
        <w:rPr>
          <w:rFonts w:ascii="Times New Roman" w:eastAsia="Times New Roman" w:hAnsi="Times New Roman" w:cs="Times New Roman"/>
          <w:b/>
          <w:bCs/>
          <w:sz w:val="24"/>
          <w:szCs w:val="24"/>
        </w:rPr>
      </w:pPr>
    </w:p>
    <w:p w14:paraId="456692BC" w14:textId="77777777" w:rsidR="009C5063" w:rsidRDefault="009C5063" w:rsidP="003D5ED2">
      <w:pPr>
        <w:spacing w:before="100" w:beforeAutospacing="1" w:after="100" w:afterAutospacing="1" w:line="240" w:lineRule="auto"/>
        <w:rPr>
          <w:rFonts w:ascii="Times New Roman" w:eastAsia="Times New Roman" w:hAnsi="Times New Roman" w:cs="Times New Roman"/>
          <w:b/>
          <w:bCs/>
          <w:sz w:val="24"/>
          <w:szCs w:val="24"/>
        </w:rPr>
      </w:pPr>
    </w:p>
    <w:p w14:paraId="0B182259" w14:textId="77777777" w:rsidR="009C5063" w:rsidRDefault="009C5063" w:rsidP="003D5ED2">
      <w:pPr>
        <w:spacing w:before="100" w:beforeAutospacing="1" w:after="100" w:afterAutospacing="1" w:line="240" w:lineRule="auto"/>
        <w:rPr>
          <w:rFonts w:ascii="Times New Roman" w:eastAsia="Times New Roman" w:hAnsi="Times New Roman" w:cs="Times New Roman"/>
          <w:b/>
          <w:bCs/>
          <w:sz w:val="24"/>
          <w:szCs w:val="24"/>
        </w:rPr>
      </w:pPr>
    </w:p>
    <w:p w14:paraId="37EA60F6" w14:textId="77777777" w:rsidR="009C5063" w:rsidRDefault="009C5063" w:rsidP="003D5ED2">
      <w:pPr>
        <w:spacing w:before="100" w:beforeAutospacing="1" w:after="100" w:afterAutospacing="1" w:line="240" w:lineRule="auto"/>
        <w:rPr>
          <w:rFonts w:ascii="Times New Roman" w:eastAsia="Times New Roman" w:hAnsi="Times New Roman" w:cs="Times New Roman"/>
          <w:b/>
          <w:bCs/>
          <w:sz w:val="24"/>
          <w:szCs w:val="24"/>
        </w:rPr>
      </w:pPr>
    </w:p>
    <w:p w14:paraId="359692C9" w14:textId="77777777" w:rsidR="009C5063" w:rsidRDefault="009C5063" w:rsidP="003D5ED2">
      <w:pPr>
        <w:spacing w:before="100" w:beforeAutospacing="1" w:after="100" w:afterAutospacing="1" w:line="240" w:lineRule="auto"/>
        <w:rPr>
          <w:rFonts w:ascii="Times New Roman" w:eastAsia="Times New Roman" w:hAnsi="Times New Roman" w:cs="Times New Roman"/>
          <w:b/>
          <w:bCs/>
          <w:sz w:val="24"/>
          <w:szCs w:val="24"/>
        </w:rPr>
      </w:pPr>
    </w:p>
    <w:p w14:paraId="6C8A058E" w14:textId="77777777" w:rsidR="001F2FF0" w:rsidRDefault="001F2FF0" w:rsidP="003D5ED2">
      <w:pPr>
        <w:spacing w:before="100" w:beforeAutospacing="1" w:after="100" w:afterAutospacing="1" w:line="240" w:lineRule="auto"/>
        <w:rPr>
          <w:rFonts w:ascii="Times New Roman" w:eastAsia="Times New Roman" w:hAnsi="Times New Roman" w:cs="Times New Roman"/>
          <w:b/>
          <w:bCs/>
          <w:sz w:val="24"/>
          <w:szCs w:val="24"/>
        </w:rPr>
      </w:pPr>
    </w:p>
    <w:p w14:paraId="0603FEF1" w14:textId="77777777" w:rsidR="001F2FF0" w:rsidRDefault="001F2FF0" w:rsidP="003D5ED2">
      <w:pPr>
        <w:spacing w:before="100" w:beforeAutospacing="1" w:after="100" w:afterAutospacing="1" w:line="240" w:lineRule="auto"/>
        <w:rPr>
          <w:rFonts w:ascii="Times New Roman" w:eastAsia="Times New Roman" w:hAnsi="Times New Roman" w:cs="Times New Roman"/>
          <w:b/>
          <w:bCs/>
          <w:sz w:val="24"/>
          <w:szCs w:val="24"/>
        </w:rPr>
      </w:pPr>
    </w:p>
    <w:p w14:paraId="62581BD2" w14:textId="77777777" w:rsidR="001F2FF0" w:rsidRDefault="001F2FF0" w:rsidP="003D5ED2">
      <w:pPr>
        <w:spacing w:before="100" w:beforeAutospacing="1" w:after="100" w:afterAutospacing="1" w:line="240" w:lineRule="auto"/>
        <w:rPr>
          <w:rFonts w:ascii="Times New Roman" w:eastAsia="Times New Roman" w:hAnsi="Times New Roman" w:cs="Times New Roman"/>
          <w:b/>
          <w:bCs/>
          <w:sz w:val="24"/>
          <w:szCs w:val="24"/>
        </w:rPr>
      </w:pPr>
    </w:p>
    <w:p w14:paraId="693030F0" w14:textId="77777777" w:rsidR="001F2FF0" w:rsidRDefault="001F2FF0" w:rsidP="003D5ED2">
      <w:pPr>
        <w:spacing w:before="100" w:beforeAutospacing="1" w:after="100" w:afterAutospacing="1" w:line="240" w:lineRule="auto"/>
        <w:rPr>
          <w:rFonts w:ascii="Times New Roman" w:eastAsia="Times New Roman" w:hAnsi="Times New Roman" w:cs="Times New Roman"/>
          <w:b/>
          <w:bCs/>
          <w:sz w:val="24"/>
          <w:szCs w:val="24"/>
        </w:rPr>
      </w:pPr>
    </w:p>
    <w:p w14:paraId="78D2455F" w14:textId="77777777" w:rsidR="003D5ED2" w:rsidRPr="003D5ED2" w:rsidRDefault="003D5ED2" w:rsidP="003D5ED2">
      <w:pPr>
        <w:spacing w:before="100" w:beforeAutospacing="1" w:after="100" w:afterAutospacing="1"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b/>
          <w:bCs/>
          <w:sz w:val="24"/>
          <w:szCs w:val="24"/>
        </w:rPr>
        <w:lastRenderedPageBreak/>
        <w:t>Table 1.1: HIV Burden and ART Treatment Statistics at National, Zonal, and State Levels (2024 to 2025 Estimates)</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542"/>
        <w:gridCol w:w="2665"/>
        <w:gridCol w:w="2969"/>
        <w:gridCol w:w="2184"/>
      </w:tblGrid>
      <w:tr w:rsidR="003D5ED2" w:rsidRPr="003D5ED2" w14:paraId="00B07510" w14:textId="77777777" w:rsidTr="009C5063">
        <w:trPr>
          <w:tblHeader/>
          <w:tblCellSpacing w:w="15" w:type="dxa"/>
        </w:trPr>
        <w:tc>
          <w:tcPr>
            <w:tcW w:w="0" w:type="auto"/>
            <w:vAlign w:val="center"/>
            <w:hideMark/>
          </w:tcPr>
          <w:p w14:paraId="35BC33B7"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b/>
                <w:bCs/>
                <w:sz w:val="24"/>
                <w:szCs w:val="24"/>
              </w:rPr>
              <w:t>Level</w:t>
            </w:r>
          </w:p>
        </w:tc>
        <w:tc>
          <w:tcPr>
            <w:tcW w:w="0" w:type="auto"/>
            <w:vAlign w:val="center"/>
            <w:hideMark/>
          </w:tcPr>
          <w:p w14:paraId="1018C408"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b/>
                <w:bCs/>
                <w:sz w:val="24"/>
                <w:szCs w:val="24"/>
              </w:rPr>
              <w:t>Indicator</w:t>
            </w:r>
          </w:p>
        </w:tc>
        <w:tc>
          <w:tcPr>
            <w:tcW w:w="0" w:type="auto"/>
            <w:vAlign w:val="center"/>
            <w:hideMark/>
          </w:tcPr>
          <w:p w14:paraId="21252480"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b/>
                <w:bCs/>
                <w:sz w:val="24"/>
                <w:szCs w:val="24"/>
              </w:rPr>
              <w:t>Estimate</w:t>
            </w:r>
          </w:p>
        </w:tc>
        <w:tc>
          <w:tcPr>
            <w:tcW w:w="0" w:type="auto"/>
            <w:vAlign w:val="center"/>
            <w:hideMark/>
          </w:tcPr>
          <w:p w14:paraId="28F601D1"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b/>
                <w:bCs/>
                <w:sz w:val="24"/>
                <w:szCs w:val="24"/>
              </w:rPr>
              <w:t>Source</w:t>
            </w:r>
          </w:p>
        </w:tc>
      </w:tr>
      <w:tr w:rsidR="003D5ED2" w:rsidRPr="003D5ED2" w14:paraId="1C9DB438" w14:textId="77777777" w:rsidTr="009C5063">
        <w:trPr>
          <w:tblCellSpacing w:w="15" w:type="dxa"/>
        </w:trPr>
        <w:tc>
          <w:tcPr>
            <w:tcW w:w="0" w:type="auto"/>
            <w:tcBorders>
              <w:top w:val="single" w:sz="4" w:space="0" w:color="auto"/>
            </w:tcBorders>
            <w:vAlign w:val="center"/>
            <w:hideMark/>
          </w:tcPr>
          <w:p w14:paraId="0C879AE4"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National (Nigeria)</w:t>
            </w:r>
          </w:p>
        </w:tc>
        <w:tc>
          <w:tcPr>
            <w:tcW w:w="0" w:type="auto"/>
            <w:tcBorders>
              <w:top w:val="single" w:sz="4" w:space="0" w:color="auto"/>
            </w:tcBorders>
            <w:vAlign w:val="center"/>
            <w:hideMark/>
          </w:tcPr>
          <w:p w14:paraId="494DD985"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Adult HIV prevalence (15 to 49 years)</w:t>
            </w:r>
          </w:p>
        </w:tc>
        <w:tc>
          <w:tcPr>
            <w:tcW w:w="0" w:type="auto"/>
            <w:tcBorders>
              <w:top w:val="single" w:sz="4" w:space="0" w:color="auto"/>
            </w:tcBorders>
            <w:vAlign w:val="center"/>
            <w:hideMark/>
          </w:tcPr>
          <w:p w14:paraId="4A9EAD9A"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1.3% to 1.4%</w:t>
            </w:r>
          </w:p>
        </w:tc>
        <w:tc>
          <w:tcPr>
            <w:tcW w:w="0" w:type="auto"/>
            <w:tcBorders>
              <w:top w:val="single" w:sz="4" w:space="0" w:color="auto"/>
            </w:tcBorders>
            <w:vAlign w:val="center"/>
            <w:hideMark/>
          </w:tcPr>
          <w:p w14:paraId="4476CCDB"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UNAIDS, 2024; NACA, 2025</w:t>
            </w:r>
          </w:p>
        </w:tc>
      </w:tr>
      <w:tr w:rsidR="003D5ED2" w:rsidRPr="003D5ED2" w14:paraId="40ED8E76" w14:textId="77777777" w:rsidTr="009C5063">
        <w:trPr>
          <w:tblCellSpacing w:w="15" w:type="dxa"/>
        </w:trPr>
        <w:tc>
          <w:tcPr>
            <w:tcW w:w="0" w:type="auto"/>
            <w:vAlign w:val="center"/>
            <w:hideMark/>
          </w:tcPr>
          <w:p w14:paraId="691786D5"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National (Nigeria)</w:t>
            </w:r>
          </w:p>
        </w:tc>
        <w:tc>
          <w:tcPr>
            <w:tcW w:w="0" w:type="auto"/>
            <w:vAlign w:val="center"/>
            <w:hideMark/>
          </w:tcPr>
          <w:p w14:paraId="469C85F3"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PLHIV (all ages)</w:t>
            </w:r>
          </w:p>
        </w:tc>
        <w:tc>
          <w:tcPr>
            <w:tcW w:w="0" w:type="auto"/>
            <w:vAlign w:val="center"/>
            <w:hideMark/>
          </w:tcPr>
          <w:p w14:paraId="7DCB9CAE"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~1.9 million</w:t>
            </w:r>
          </w:p>
        </w:tc>
        <w:tc>
          <w:tcPr>
            <w:tcW w:w="0" w:type="auto"/>
            <w:vAlign w:val="center"/>
            <w:hideMark/>
          </w:tcPr>
          <w:p w14:paraId="0746C483"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UNAIDS, 2024</w:t>
            </w:r>
          </w:p>
        </w:tc>
      </w:tr>
      <w:tr w:rsidR="003D5ED2" w:rsidRPr="003D5ED2" w14:paraId="2F8390E6" w14:textId="77777777" w:rsidTr="009C5063">
        <w:trPr>
          <w:tblCellSpacing w:w="15" w:type="dxa"/>
        </w:trPr>
        <w:tc>
          <w:tcPr>
            <w:tcW w:w="0" w:type="auto"/>
            <w:vAlign w:val="center"/>
            <w:hideMark/>
          </w:tcPr>
          <w:p w14:paraId="747F1989"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National (Nigeria)</w:t>
            </w:r>
          </w:p>
        </w:tc>
        <w:tc>
          <w:tcPr>
            <w:tcW w:w="0" w:type="auto"/>
            <w:vAlign w:val="center"/>
            <w:hideMark/>
          </w:tcPr>
          <w:p w14:paraId="4B038059"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Adults on ART</w:t>
            </w:r>
          </w:p>
        </w:tc>
        <w:tc>
          <w:tcPr>
            <w:tcW w:w="0" w:type="auto"/>
            <w:vAlign w:val="center"/>
            <w:hideMark/>
          </w:tcPr>
          <w:p w14:paraId="605FBF9B"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~1.8 million</w:t>
            </w:r>
          </w:p>
        </w:tc>
        <w:tc>
          <w:tcPr>
            <w:tcW w:w="0" w:type="auto"/>
            <w:vAlign w:val="center"/>
            <w:hideMark/>
          </w:tcPr>
          <w:p w14:paraId="54467F04"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NACA, 2025</w:t>
            </w:r>
          </w:p>
        </w:tc>
      </w:tr>
      <w:tr w:rsidR="003D5ED2" w:rsidRPr="003D5ED2" w14:paraId="51C45B2C" w14:textId="77777777" w:rsidTr="009C5063">
        <w:trPr>
          <w:tblCellSpacing w:w="15" w:type="dxa"/>
        </w:trPr>
        <w:tc>
          <w:tcPr>
            <w:tcW w:w="0" w:type="auto"/>
            <w:vAlign w:val="center"/>
            <w:hideMark/>
          </w:tcPr>
          <w:p w14:paraId="655A963A"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National (Nigeria)</w:t>
            </w:r>
          </w:p>
        </w:tc>
        <w:tc>
          <w:tcPr>
            <w:tcW w:w="0" w:type="auto"/>
            <w:vAlign w:val="center"/>
            <w:hideMark/>
          </w:tcPr>
          <w:p w14:paraId="5F4224A2"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On treatment VLS rate</w:t>
            </w:r>
          </w:p>
        </w:tc>
        <w:tc>
          <w:tcPr>
            <w:tcW w:w="0" w:type="auto"/>
            <w:vAlign w:val="center"/>
            <w:hideMark/>
          </w:tcPr>
          <w:p w14:paraId="07843478"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~95% (active on ART)</w:t>
            </w:r>
          </w:p>
        </w:tc>
        <w:tc>
          <w:tcPr>
            <w:tcW w:w="0" w:type="auto"/>
            <w:vAlign w:val="center"/>
            <w:hideMark/>
          </w:tcPr>
          <w:p w14:paraId="75DD9C5C"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NACA, 2025</w:t>
            </w:r>
          </w:p>
        </w:tc>
      </w:tr>
      <w:tr w:rsidR="003D5ED2" w:rsidRPr="003D5ED2" w14:paraId="7E2A9AAC" w14:textId="77777777" w:rsidTr="009C5063">
        <w:trPr>
          <w:tblCellSpacing w:w="15" w:type="dxa"/>
        </w:trPr>
        <w:tc>
          <w:tcPr>
            <w:tcW w:w="0" w:type="auto"/>
            <w:vAlign w:val="center"/>
            <w:hideMark/>
          </w:tcPr>
          <w:p w14:paraId="74EA9A99"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National (Nigeria)</w:t>
            </w:r>
          </w:p>
        </w:tc>
        <w:tc>
          <w:tcPr>
            <w:tcW w:w="0" w:type="auto"/>
            <w:vAlign w:val="center"/>
            <w:hideMark/>
          </w:tcPr>
          <w:p w14:paraId="6739C3D6"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Population level VLS</w:t>
            </w:r>
          </w:p>
        </w:tc>
        <w:tc>
          <w:tcPr>
            <w:tcW w:w="0" w:type="auto"/>
            <w:vAlign w:val="center"/>
            <w:hideMark/>
          </w:tcPr>
          <w:p w14:paraId="2E1AC415"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~79% (all PLHIV)</w:t>
            </w:r>
          </w:p>
        </w:tc>
        <w:tc>
          <w:tcPr>
            <w:tcW w:w="0" w:type="auto"/>
            <w:vAlign w:val="center"/>
            <w:hideMark/>
          </w:tcPr>
          <w:p w14:paraId="53E11D37"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UNAIDS, 2025</w:t>
            </w:r>
          </w:p>
        </w:tc>
      </w:tr>
      <w:tr w:rsidR="003D5ED2" w:rsidRPr="003D5ED2" w14:paraId="68E7A12A" w14:textId="77777777" w:rsidTr="009C5063">
        <w:trPr>
          <w:tblCellSpacing w:w="15" w:type="dxa"/>
        </w:trPr>
        <w:tc>
          <w:tcPr>
            <w:tcW w:w="0" w:type="auto"/>
            <w:vAlign w:val="center"/>
            <w:hideMark/>
          </w:tcPr>
          <w:p w14:paraId="437CB491"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National (Nigeria)</w:t>
            </w:r>
          </w:p>
        </w:tc>
        <w:tc>
          <w:tcPr>
            <w:tcW w:w="0" w:type="auto"/>
            <w:vAlign w:val="center"/>
            <w:hideMark/>
          </w:tcPr>
          <w:p w14:paraId="2227F0B9"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NAIIS adult VLS (2018)</w:t>
            </w:r>
          </w:p>
        </w:tc>
        <w:tc>
          <w:tcPr>
            <w:tcW w:w="0" w:type="auto"/>
            <w:vAlign w:val="center"/>
            <w:hideMark/>
          </w:tcPr>
          <w:p w14:paraId="714ABF12"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44.5% (all PLHIV 15 to 64)</w:t>
            </w:r>
          </w:p>
        </w:tc>
        <w:tc>
          <w:tcPr>
            <w:tcW w:w="0" w:type="auto"/>
            <w:vAlign w:val="center"/>
            <w:hideMark/>
          </w:tcPr>
          <w:p w14:paraId="5B911BE2"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NACA, 2022</w:t>
            </w:r>
          </w:p>
        </w:tc>
      </w:tr>
      <w:tr w:rsidR="003D5ED2" w:rsidRPr="003D5ED2" w14:paraId="676A575F" w14:textId="77777777" w:rsidTr="009C5063">
        <w:trPr>
          <w:tblCellSpacing w:w="15" w:type="dxa"/>
        </w:trPr>
        <w:tc>
          <w:tcPr>
            <w:tcW w:w="0" w:type="auto"/>
            <w:vAlign w:val="center"/>
            <w:hideMark/>
          </w:tcPr>
          <w:p w14:paraId="191EAFF6"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North Central Zone</w:t>
            </w:r>
          </w:p>
        </w:tc>
        <w:tc>
          <w:tcPr>
            <w:tcW w:w="0" w:type="auto"/>
            <w:vAlign w:val="center"/>
            <w:hideMark/>
          </w:tcPr>
          <w:p w14:paraId="495132D4"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Adult HIV prevalence</w:t>
            </w:r>
          </w:p>
        </w:tc>
        <w:tc>
          <w:tcPr>
            <w:tcW w:w="0" w:type="auto"/>
            <w:vAlign w:val="center"/>
            <w:hideMark/>
          </w:tcPr>
          <w:p w14:paraId="4B17CD46"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~2.0%</w:t>
            </w:r>
          </w:p>
        </w:tc>
        <w:tc>
          <w:tcPr>
            <w:tcW w:w="0" w:type="auto"/>
            <w:vAlign w:val="center"/>
            <w:hideMark/>
          </w:tcPr>
          <w:p w14:paraId="6B2AE399"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NACA, 2025</w:t>
            </w:r>
          </w:p>
        </w:tc>
      </w:tr>
      <w:tr w:rsidR="003D5ED2" w:rsidRPr="003D5ED2" w14:paraId="0388EA9E" w14:textId="77777777" w:rsidTr="009C5063">
        <w:trPr>
          <w:tblCellSpacing w:w="15" w:type="dxa"/>
        </w:trPr>
        <w:tc>
          <w:tcPr>
            <w:tcW w:w="0" w:type="auto"/>
            <w:vAlign w:val="center"/>
            <w:hideMark/>
          </w:tcPr>
          <w:p w14:paraId="75A6BBD6"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Plateau State</w:t>
            </w:r>
          </w:p>
        </w:tc>
        <w:tc>
          <w:tcPr>
            <w:tcW w:w="0" w:type="auto"/>
            <w:vAlign w:val="center"/>
            <w:hideMark/>
          </w:tcPr>
          <w:p w14:paraId="18810944"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Adult HIV prevalence</w:t>
            </w:r>
          </w:p>
        </w:tc>
        <w:tc>
          <w:tcPr>
            <w:tcW w:w="0" w:type="auto"/>
            <w:vAlign w:val="center"/>
            <w:hideMark/>
          </w:tcPr>
          <w:p w14:paraId="294D2762"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~1.6%</w:t>
            </w:r>
          </w:p>
        </w:tc>
        <w:tc>
          <w:tcPr>
            <w:tcW w:w="0" w:type="auto"/>
            <w:vAlign w:val="center"/>
            <w:hideMark/>
          </w:tcPr>
          <w:p w14:paraId="0FEC9E7D"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PSMOH, 2025</w:t>
            </w:r>
          </w:p>
        </w:tc>
      </w:tr>
      <w:tr w:rsidR="003D5ED2" w:rsidRPr="003D5ED2" w14:paraId="78818A06" w14:textId="77777777" w:rsidTr="009C5063">
        <w:trPr>
          <w:tblCellSpacing w:w="15" w:type="dxa"/>
        </w:trPr>
        <w:tc>
          <w:tcPr>
            <w:tcW w:w="0" w:type="auto"/>
            <w:vAlign w:val="center"/>
            <w:hideMark/>
          </w:tcPr>
          <w:p w14:paraId="369D74A2"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Plateau State</w:t>
            </w:r>
          </w:p>
        </w:tc>
        <w:tc>
          <w:tcPr>
            <w:tcW w:w="0" w:type="auto"/>
            <w:vAlign w:val="center"/>
            <w:hideMark/>
          </w:tcPr>
          <w:p w14:paraId="51903E65"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Estimated PLHIV</w:t>
            </w:r>
          </w:p>
        </w:tc>
        <w:tc>
          <w:tcPr>
            <w:tcW w:w="0" w:type="auto"/>
            <w:vAlign w:val="center"/>
            <w:hideMark/>
          </w:tcPr>
          <w:p w14:paraId="25B696D7"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~51,370</w:t>
            </w:r>
          </w:p>
        </w:tc>
        <w:tc>
          <w:tcPr>
            <w:tcW w:w="0" w:type="auto"/>
            <w:vAlign w:val="center"/>
            <w:hideMark/>
          </w:tcPr>
          <w:p w14:paraId="68C56A07"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PSMOH, 2025</w:t>
            </w:r>
          </w:p>
        </w:tc>
      </w:tr>
      <w:tr w:rsidR="003D5ED2" w:rsidRPr="003D5ED2" w14:paraId="491538ED" w14:textId="77777777" w:rsidTr="009C5063">
        <w:trPr>
          <w:tblCellSpacing w:w="15" w:type="dxa"/>
        </w:trPr>
        <w:tc>
          <w:tcPr>
            <w:tcW w:w="0" w:type="auto"/>
            <w:vAlign w:val="center"/>
            <w:hideMark/>
          </w:tcPr>
          <w:p w14:paraId="1C98EF35"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Plateau State</w:t>
            </w:r>
          </w:p>
        </w:tc>
        <w:tc>
          <w:tcPr>
            <w:tcW w:w="0" w:type="auto"/>
            <w:vAlign w:val="center"/>
            <w:hideMark/>
          </w:tcPr>
          <w:p w14:paraId="321D94CE"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Adults on ART</w:t>
            </w:r>
          </w:p>
        </w:tc>
        <w:tc>
          <w:tcPr>
            <w:tcW w:w="0" w:type="auto"/>
            <w:vAlign w:val="center"/>
            <w:hideMark/>
          </w:tcPr>
          <w:p w14:paraId="33E2606E"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47,056</w:t>
            </w:r>
          </w:p>
        </w:tc>
        <w:tc>
          <w:tcPr>
            <w:tcW w:w="0" w:type="auto"/>
            <w:vAlign w:val="center"/>
            <w:hideMark/>
          </w:tcPr>
          <w:p w14:paraId="0E9A1B47"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PSMOH, 2025</w:t>
            </w:r>
          </w:p>
        </w:tc>
      </w:tr>
      <w:tr w:rsidR="003D5ED2" w:rsidRPr="003D5ED2" w14:paraId="016B0276" w14:textId="77777777" w:rsidTr="009C5063">
        <w:trPr>
          <w:tblCellSpacing w:w="15" w:type="dxa"/>
        </w:trPr>
        <w:tc>
          <w:tcPr>
            <w:tcW w:w="0" w:type="auto"/>
            <w:vAlign w:val="center"/>
            <w:hideMark/>
          </w:tcPr>
          <w:p w14:paraId="4E35B689"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Plateau State</w:t>
            </w:r>
          </w:p>
        </w:tc>
        <w:tc>
          <w:tcPr>
            <w:tcW w:w="0" w:type="auto"/>
            <w:vAlign w:val="center"/>
            <w:hideMark/>
          </w:tcPr>
          <w:p w14:paraId="7DA888D2"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Female adults on ART</w:t>
            </w:r>
          </w:p>
        </w:tc>
        <w:tc>
          <w:tcPr>
            <w:tcW w:w="0" w:type="auto"/>
            <w:vAlign w:val="center"/>
            <w:hideMark/>
          </w:tcPr>
          <w:p w14:paraId="4595E570"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33,055 (70.2%)</w:t>
            </w:r>
          </w:p>
        </w:tc>
        <w:tc>
          <w:tcPr>
            <w:tcW w:w="0" w:type="auto"/>
            <w:vAlign w:val="center"/>
            <w:hideMark/>
          </w:tcPr>
          <w:p w14:paraId="228FCAFD"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PSMOH, 2025</w:t>
            </w:r>
          </w:p>
        </w:tc>
      </w:tr>
      <w:tr w:rsidR="003D5ED2" w:rsidRPr="003D5ED2" w14:paraId="2D67D4BE" w14:textId="77777777" w:rsidTr="009C5063">
        <w:trPr>
          <w:tblCellSpacing w:w="15" w:type="dxa"/>
        </w:trPr>
        <w:tc>
          <w:tcPr>
            <w:tcW w:w="0" w:type="auto"/>
            <w:vAlign w:val="center"/>
            <w:hideMark/>
          </w:tcPr>
          <w:p w14:paraId="014A2557"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Plateau State</w:t>
            </w:r>
          </w:p>
        </w:tc>
        <w:tc>
          <w:tcPr>
            <w:tcW w:w="0" w:type="auto"/>
            <w:vAlign w:val="center"/>
            <w:hideMark/>
          </w:tcPr>
          <w:p w14:paraId="14871E20"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Male adults on ART</w:t>
            </w:r>
          </w:p>
        </w:tc>
        <w:tc>
          <w:tcPr>
            <w:tcW w:w="0" w:type="auto"/>
            <w:vAlign w:val="center"/>
            <w:hideMark/>
          </w:tcPr>
          <w:p w14:paraId="1E9B7459"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14,001 (29.8%)</w:t>
            </w:r>
          </w:p>
        </w:tc>
        <w:tc>
          <w:tcPr>
            <w:tcW w:w="0" w:type="auto"/>
            <w:vAlign w:val="center"/>
            <w:hideMark/>
          </w:tcPr>
          <w:p w14:paraId="4CCB46CC"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PSMOH, 2025</w:t>
            </w:r>
          </w:p>
        </w:tc>
      </w:tr>
      <w:tr w:rsidR="003D5ED2" w:rsidRPr="003D5ED2" w14:paraId="55A59949" w14:textId="77777777" w:rsidTr="009C5063">
        <w:trPr>
          <w:tblCellSpacing w:w="15" w:type="dxa"/>
        </w:trPr>
        <w:tc>
          <w:tcPr>
            <w:tcW w:w="0" w:type="auto"/>
            <w:vAlign w:val="center"/>
            <w:hideMark/>
          </w:tcPr>
          <w:p w14:paraId="035949E7"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Plateau State</w:t>
            </w:r>
          </w:p>
        </w:tc>
        <w:tc>
          <w:tcPr>
            <w:tcW w:w="0" w:type="auto"/>
            <w:vAlign w:val="center"/>
            <w:hideMark/>
          </w:tcPr>
          <w:p w14:paraId="1374E455"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New HIV infections (2024)</w:t>
            </w:r>
          </w:p>
        </w:tc>
        <w:tc>
          <w:tcPr>
            <w:tcW w:w="0" w:type="auto"/>
            <w:vAlign w:val="center"/>
            <w:hideMark/>
          </w:tcPr>
          <w:p w14:paraId="06685A50"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2,786</w:t>
            </w:r>
          </w:p>
        </w:tc>
        <w:tc>
          <w:tcPr>
            <w:tcW w:w="0" w:type="auto"/>
            <w:vAlign w:val="center"/>
            <w:hideMark/>
          </w:tcPr>
          <w:p w14:paraId="6C5D62D6"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PSMOH, 2025</w:t>
            </w:r>
          </w:p>
        </w:tc>
      </w:tr>
      <w:tr w:rsidR="003D5ED2" w:rsidRPr="003D5ED2" w14:paraId="44487714" w14:textId="77777777" w:rsidTr="009C5063">
        <w:trPr>
          <w:tblCellSpacing w:w="15" w:type="dxa"/>
        </w:trPr>
        <w:tc>
          <w:tcPr>
            <w:tcW w:w="0" w:type="auto"/>
            <w:vAlign w:val="center"/>
            <w:hideMark/>
          </w:tcPr>
          <w:p w14:paraId="4CF674F0"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Plateau State</w:t>
            </w:r>
          </w:p>
        </w:tc>
        <w:tc>
          <w:tcPr>
            <w:tcW w:w="0" w:type="auto"/>
            <w:vAlign w:val="center"/>
            <w:hideMark/>
          </w:tcPr>
          <w:p w14:paraId="25F0F8DA"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New HIV infections (Jan to Sep 2025)</w:t>
            </w:r>
          </w:p>
        </w:tc>
        <w:tc>
          <w:tcPr>
            <w:tcW w:w="0" w:type="auto"/>
            <w:vAlign w:val="center"/>
            <w:hideMark/>
          </w:tcPr>
          <w:p w14:paraId="2887789F"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1,910</w:t>
            </w:r>
          </w:p>
        </w:tc>
        <w:tc>
          <w:tcPr>
            <w:tcW w:w="0" w:type="auto"/>
            <w:vAlign w:val="center"/>
            <w:hideMark/>
          </w:tcPr>
          <w:p w14:paraId="702B32CB"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PSMOH, 2025</w:t>
            </w:r>
          </w:p>
        </w:tc>
      </w:tr>
      <w:tr w:rsidR="003D5ED2" w:rsidRPr="003D5ED2" w14:paraId="02E464E4" w14:textId="77777777" w:rsidTr="009C5063">
        <w:trPr>
          <w:tblCellSpacing w:w="15" w:type="dxa"/>
        </w:trPr>
        <w:tc>
          <w:tcPr>
            <w:tcW w:w="0" w:type="auto"/>
            <w:vAlign w:val="center"/>
            <w:hideMark/>
          </w:tcPr>
          <w:p w14:paraId="2B0D124F"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Plateau State</w:t>
            </w:r>
          </w:p>
        </w:tc>
        <w:tc>
          <w:tcPr>
            <w:tcW w:w="0" w:type="auto"/>
            <w:vAlign w:val="center"/>
            <w:hideMark/>
          </w:tcPr>
          <w:p w14:paraId="2F842496"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Health facilities delivering ART</w:t>
            </w:r>
          </w:p>
        </w:tc>
        <w:tc>
          <w:tcPr>
            <w:tcW w:w="0" w:type="auto"/>
            <w:vAlign w:val="center"/>
            <w:hideMark/>
          </w:tcPr>
          <w:p w14:paraId="7B7C57B2"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 xml:space="preserve">1,233 (1,145 PHC; 85 </w:t>
            </w:r>
            <w:proofErr w:type="gramStart"/>
            <w:r w:rsidRPr="003D5ED2">
              <w:rPr>
                <w:rFonts w:ascii="Times New Roman" w:eastAsia="Times New Roman" w:hAnsi="Times New Roman" w:cs="Times New Roman"/>
                <w:sz w:val="24"/>
                <w:szCs w:val="24"/>
              </w:rPr>
              <w:t>secondary</w:t>
            </w:r>
            <w:proofErr w:type="gramEnd"/>
            <w:r w:rsidRPr="003D5ED2">
              <w:rPr>
                <w:rFonts w:ascii="Times New Roman" w:eastAsia="Times New Roman" w:hAnsi="Times New Roman" w:cs="Times New Roman"/>
                <w:sz w:val="24"/>
                <w:szCs w:val="24"/>
              </w:rPr>
              <w:t>; 3 tertiary)</w:t>
            </w:r>
          </w:p>
        </w:tc>
        <w:tc>
          <w:tcPr>
            <w:tcW w:w="0" w:type="auto"/>
            <w:vAlign w:val="center"/>
            <w:hideMark/>
          </w:tcPr>
          <w:p w14:paraId="6C3D3342" w14:textId="77777777" w:rsidR="003D5ED2" w:rsidRPr="003D5ED2" w:rsidRDefault="003D5ED2" w:rsidP="009C5063">
            <w:pPr>
              <w:spacing w:after="0" w:line="240" w:lineRule="auto"/>
              <w:rPr>
                <w:rFonts w:ascii="Times New Roman" w:eastAsia="Times New Roman" w:hAnsi="Times New Roman" w:cs="Times New Roman"/>
                <w:sz w:val="24"/>
                <w:szCs w:val="24"/>
              </w:rPr>
            </w:pPr>
            <w:r w:rsidRPr="003D5ED2">
              <w:rPr>
                <w:rFonts w:ascii="Times New Roman" w:eastAsia="Times New Roman" w:hAnsi="Times New Roman" w:cs="Times New Roman"/>
                <w:sz w:val="24"/>
                <w:szCs w:val="24"/>
              </w:rPr>
              <w:t>PSMOH, 2025</w:t>
            </w:r>
          </w:p>
        </w:tc>
      </w:tr>
    </w:tbl>
    <w:p w14:paraId="0EFF2053" w14:textId="77777777" w:rsidR="003D5ED2" w:rsidRDefault="003D5ED2" w:rsidP="009C5063">
      <w:pPr>
        <w:spacing w:after="100" w:afterAutospacing="1" w:line="240" w:lineRule="auto"/>
        <w:rPr>
          <w:rFonts w:ascii="Times New Roman" w:eastAsia="Times New Roman" w:hAnsi="Times New Roman" w:cs="Times New Roman"/>
          <w:i/>
          <w:iCs/>
          <w:sz w:val="24"/>
          <w:szCs w:val="24"/>
        </w:rPr>
      </w:pPr>
      <w:r w:rsidRPr="003D5ED2">
        <w:rPr>
          <w:rFonts w:ascii="Times New Roman" w:eastAsia="Times New Roman" w:hAnsi="Times New Roman" w:cs="Times New Roman"/>
          <w:b/>
          <w:i/>
          <w:iCs/>
          <w:sz w:val="24"/>
          <w:szCs w:val="24"/>
        </w:rPr>
        <w:t>Note</w:t>
      </w:r>
      <w:r w:rsidRPr="003D5ED2">
        <w:rPr>
          <w:rFonts w:ascii="Times New Roman" w:eastAsia="Times New Roman" w:hAnsi="Times New Roman" w:cs="Times New Roman"/>
          <w:i/>
          <w:iCs/>
          <w:sz w:val="24"/>
          <w:szCs w:val="24"/>
        </w:rPr>
        <w:t>: The distinction between on treatment VLS (approximately 95%) and population level VLS (approximately 79%) reflects different denominators. The former is calculated among individuals actively receiving ART, while the latter is calculated among all PLHIV including those not yet diagnosed or not on treatment. All data reflect the most recent available estimates at the time of writing (2025 to 2026 reporting cycle).</w:t>
      </w:r>
    </w:p>
    <w:p w14:paraId="6C87CB0C" w14:textId="77777777" w:rsidR="003D5ED2" w:rsidRPr="009C5063" w:rsidRDefault="009C5063" w:rsidP="003D5ED2">
      <w:pPr>
        <w:spacing w:before="100" w:beforeAutospacing="1" w:after="100" w:afterAutospacing="1" w:line="240" w:lineRule="auto"/>
        <w:rPr>
          <w:rFonts w:ascii="Times New Roman" w:eastAsia="Times New Roman" w:hAnsi="Times New Roman" w:cs="Times New Roman"/>
          <w:i/>
          <w:iCs/>
        </w:rPr>
      </w:pPr>
      <w:r w:rsidRPr="009C5063">
        <w:rPr>
          <w:rFonts w:ascii="Times New Roman" w:hAnsi="Times New Roman" w:cs="Times New Roman"/>
          <w:b/>
        </w:rPr>
        <w:t>Source</w:t>
      </w:r>
      <w:r w:rsidRPr="009C5063">
        <w:rPr>
          <w:rFonts w:ascii="Times New Roman" w:hAnsi="Times New Roman" w:cs="Times New Roman"/>
        </w:rPr>
        <w:t>: Compiled by researcher from UNAIDS (2024; 2025), NACA (2022; 2025), and PSMOH (2025).</w:t>
      </w:r>
    </w:p>
    <w:p w14:paraId="3085735C" w14:textId="77777777" w:rsidR="00706E73" w:rsidRPr="00706E73" w:rsidRDefault="00706E73" w:rsidP="00706E73">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706E73">
        <w:rPr>
          <w:rFonts w:ascii="Times New Roman" w:eastAsia="Times New Roman" w:hAnsi="Times New Roman" w:cs="Times New Roman"/>
          <w:b/>
          <w:bCs/>
          <w:sz w:val="24"/>
          <w:szCs w:val="24"/>
        </w:rPr>
        <w:t>1.2 Background Information</w:t>
      </w:r>
    </w:p>
    <w:p w14:paraId="0AA76EC3" w14:textId="77777777" w:rsidR="00706E73" w:rsidRPr="00706E73" w:rsidRDefault="00706E73" w:rsidP="00706E73">
      <w:pPr>
        <w:spacing w:before="100" w:beforeAutospacing="1" w:after="100" w:afterAutospacing="1" w:line="480" w:lineRule="auto"/>
        <w:jc w:val="both"/>
        <w:rPr>
          <w:rFonts w:ascii="Times New Roman" w:eastAsia="Times New Roman" w:hAnsi="Times New Roman" w:cs="Times New Roman"/>
          <w:sz w:val="24"/>
          <w:szCs w:val="24"/>
        </w:rPr>
      </w:pPr>
      <w:r w:rsidRPr="00706E73">
        <w:rPr>
          <w:rFonts w:ascii="Times New Roman" w:eastAsia="Times New Roman" w:hAnsi="Times New Roman" w:cs="Times New Roman"/>
          <w:sz w:val="24"/>
          <w:szCs w:val="24"/>
        </w:rPr>
        <w:t xml:space="preserve">Why some patients on antiretroviral therapy achieve sustained viral load suppression while others do not is not a question that individual-level data alone can answer. Suppression outcomes are </w:t>
      </w:r>
      <w:r w:rsidRPr="00706E73">
        <w:rPr>
          <w:rFonts w:ascii="Times New Roman" w:eastAsia="Times New Roman" w:hAnsi="Times New Roman" w:cs="Times New Roman"/>
          <w:sz w:val="24"/>
          <w:szCs w:val="24"/>
        </w:rPr>
        <w:lastRenderedPageBreak/>
        <w:t xml:space="preserve">shaped at two distinct levels: the characteristics the patient brings to the treatment encounter, and the institutional environment of the facility where that encounter takes place. In Plateau State, where ART services are decentralized across facilities ranging from rural primary health </w:t>
      </w:r>
      <w:proofErr w:type="spellStart"/>
      <w:r w:rsidRPr="00706E73">
        <w:rPr>
          <w:rFonts w:ascii="Times New Roman" w:eastAsia="Times New Roman" w:hAnsi="Times New Roman" w:cs="Times New Roman"/>
          <w:sz w:val="24"/>
          <w:szCs w:val="24"/>
        </w:rPr>
        <w:t>centres</w:t>
      </w:r>
      <w:proofErr w:type="spellEnd"/>
      <w:r w:rsidRPr="00706E73">
        <w:rPr>
          <w:rFonts w:ascii="Times New Roman" w:eastAsia="Times New Roman" w:hAnsi="Times New Roman" w:cs="Times New Roman"/>
          <w:sz w:val="24"/>
          <w:szCs w:val="24"/>
        </w:rPr>
        <w:t xml:space="preserve"> to urban tertiary hospitals, this two-level dynamic is particularly relevant. Differences in laboratory capacity, drug supply reliability, staffing, and service delivery models across facility tiers and geographic zones mean that institutional context may influence clinical outcomes as much as individual patient characteristics do (</w:t>
      </w:r>
      <w:proofErr w:type="spellStart"/>
      <w:r w:rsidRPr="00706E73">
        <w:rPr>
          <w:rFonts w:ascii="Times New Roman" w:eastAsia="Times New Roman" w:hAnsi="Times New Roman" w:cs="Times New Roman"/>
          <w:sz w:val="24"/>
          <w:szCs w:val="24"/>
        </w:rPr>
        <w:t>Ojeh</w:t>
      </w:r>
      <w:proofErr w:type="spellEnd"/>
      <w:r w:rsidRPr="00706E73">
        <w:rPr>
          <w:rFonts w:ascii="Times New Roman" w:eastAsia="Times New Roman" w:hAnsi="Times New Roman" w:cs="Times New Roman"/>
          <w:sz w:val="24"/>
          <w:szCs w:val="24"/>
        </w:rPr>
        <w:t xml:space="preserve"> et al., 2022; Osayi et al., 2024; Tomescu et al., 2023).</w:t>
      </w:r>
    </w:p>
    <w:p w14:paraId="5450D640" w14:textId="77777777" w:rsidR="00706E73" w:rsidRDefault="00706E73" w:rsidP="00706E73">
      <w:pPr>
        <w:spacing w:before="100" w:beforeAutospacing="1" w:after="100" w:afterAutospacing="1" w:line="480" w:lineRule="auto"/>
        <w:jc w:val="both"/>
        <w:rPr>
          <w:rFonts w:ascii="Times New Roman" w:eastAsia="Times New Roman" w:hAnsi="Times New Roman" w:cs="Times New Roman"/>
          <w:sz w:val="24"/>
          <w:szCs w:val="24"/>
        </w:rPr>
      </w:pPr>
      <w:r w:rsidRPr="00706E73">
        <w:rPr>
          <w:rFonts w:ascii="Times New Roman" w:eastAsia="Times New Roman" w:hAnsi="Times New Roman" w:cs="Times New Roman"/>
          <w:sz w:val="24"/>
          <w:szCs w:val="24"/>
        </w:rPr>
        <w:t>This section reviews the literature that informs and justifies the present investigation. It is organized around three components. The first establishes the theoretical foundation of the study through an adapted Social-Ecological Model, operationalized at the individual</w:t>
      </w:r>
      <w:r>
        <w:rPr>
          <w:rFonts w:ascii="Times New Roman" w:eastAsia="Times New Roman" w:hAnsi="Times New Roman" w:cs="Times New Roman"/>
          <w:sz w:val="24"/>
          <w:szCs w:val="24"/>
        </w:rPr>
        <w:t xml:space="preserve"> level and the facility level </w:t>
      </w:r>
      <w:r w:rsidRPr="00706E73">
        <w:rPr>
          <w:rFonts w:ascii="Times New Roman" w:eastAsia="Times New Roman" w:hAnsi="Times New Roman" w:cs="Times New Roman"/>
          <w:sz w:val="24"/>
          <w:szCs w:val="24"/>
        </w:rPr>
        <w:t>the two levels for which this study has empirical data. The second provides a conceptual analysis of viral load suppression and antiretroviral therapy as the central constructs under investigation. The third critically examines the empirical evidence on suppression trends, socio-demographic determinants, clinical and treatment-related predictors, and facility-level contextual factors, and closes with the specific knowledge gap this study addresses and the conceptual framework that guides its design.</w:t>
      </w:r>
    </w:p>
    <w:p w14:paraId="3C3843EB" w14:textId="77777777" w:rsidR="00C1262D" w:rsidRPr="00C1262D" w:rsidRDefault="00C1262D" w:rsidP="00C1262D">
      <w:pPr>
        <w:spacing w:before="100" w:beforeAutospacing="1" w:after="100" w:afterAutospacing="1" w:line="480" w:lineRule="auto"/>
        <w:jc w:val="both"/>
        <w:rPr>
          <w:rFonts w:ascii="Times New Roman" w:eastAsia="Times New Roman" w:hAnsi="Times New Roman" w:cs="Times New Roman"/>
          <w:b/>
          <w:bCs/>
          <w:sz w:val="24"/>
          <w:szCs w:val="24"/>
        </w:rPr>
      </w:pPr>
      <w:r w:rsidRPr="00C1262D">
        <w:rPr>
          <w:rFonts w:ascii="Times New Roman" w:eastAsia="Times New Roman" w:hAnsi="Times New Roman" w:cs="Times New Roman"/>
          <w:b/>
          <w:bCs/>
          <w:sz w:val="24"/>
          <w:szCs w:val="24"/>
        </w:rPr>
        <w:t>1.2.1 Literature Review</w:t>
      </w:r>
    </w:p>
    <w:p w14:paraId="55927313" w14:textId="77777777" w:rsidR="00C1262D" w:rsidRPr="00C1262D" w:rsidRDefault="00C1262D" w:rsidP="00C1262D">
      <w:pPr>
        <w:spacing w:before="100" w:beforeAutospacing="1" w:after="100" w:afterAutospacing="1" w:line="480" w:lineRule="auto"/>
        <w:jc w:val="both"/>
        <w:rPr>
          <w:rFonts w:ascii="Times New Roman" w:eastAsia="Times New Roman" w:hAnsi="Times New Roman" w:cs="Times New Roman"/>
          <w:sz w:val="24"/>
          <w:szCs w:val="24"/>
        </w:rPr>
      </w:pPr>
      <w:r w:rsidRPr="00C1262D">
        <w:rPr>
          <w:rFonts w:ascii="Times New Roman" w:eastAsia="Times New Roman" w:hAnsi="Times New Roman" w:cs="Times New Roman"/>
          <w:sz w:val="24"/>
          <w:szCs w:val="24"/>
        </w:rPr>
        <w:t xml:space="preserve">This section builds the theoretical, conceptual, and empirical case for the analytical approach adopted in this study. Rather than chronologically cataloguing prior studies, it is organized to answer three sequential questions. First, what theoretical framework best explains the relationship between individual patients and the health systems where they receive care? Second, what do the core concepts of this investigation actually mean within the Nigerian programmatic context? Third, </w:t>
      </w:r>
      <w:r w:rsidRPr="00C1262D">
        <w:rPr>
          <w:rFonts w:ascii="Times New Roman" w:eastAsia="Times New Roman" w:hAnsi="Times New Roman" w:cs="Times New Roman"/>
          <w:sz w:val="24"/>
          <w:szCs w:val="24"/>
        </w:rPr>
        <w:lastRenderedPageBreak/>
        <w:t>what does the existing evidence establish about the determinants of viral load suppression, and where do critical evidence gaps remain? The review opens with the adapted theoretical framework anchoring the study design, transitions through the conceptual and empirical literature, and concludes by identifying the precise knowledge gap alongside the conceptual framework that maps the analytical logic.</w:t>
      </w:r>
    </w:p>
    <w:p w14:paraId="6E557E89" w14:textId="77777777" w:rsidR="00C1262D" w:rsidRPr="00C1262D" w:rsidRDefault="00C1262D" w:rsidP="00C1262D">
      <w:pPr>
        <w:spacing w:before="100" w:beforeAutospacing="1" w:after="100" w:afterAutospacing="1" w:line="480" w:lineRule="auto"/>
        <w:jc w:val="both"/>
        <w:rPr>
          <w:rFonts w:ascii="Times New Roman" w:eastAsia="Times New Roman" w:hAnsi="Times New Roman" w:cs="Times New Roman"/>
          <w:sz w:val="24"/>
          <w:szCs w:val="24"/>
        </w:rPr>
      </w:pPr>
      <w:r w:rsidRPr="00C1262D">
        <w:rPr>
          <w:rFonts w:ascii="Times New Roman" w:eastAsia="Times New Roman" w:hAnsi="Times New Roman" w:cs="Times New Roman"/>
          <w:b/>
          <w:bCs/>
          <w:sz w:val="24"/>
          <w:szCs w:val="24"/>
        </w:rPr>
        <w:t>1.2.1.1 Theoretical Framework</w:t>
      </w:r>
    </w:p>
    <w:p w14:paraId="60E4376B" w14:textId="77777777" w:rsidR="00C1262D" w:rsidRPr="00C1262D" w:rsidRDefault="00C1262D" w:rsidP="00C1262D">
      <w:pPr>
        <w:spacing w:before="100" w:beforeAutospacing="1" w:after="100" w:afterAutospacing="1" w:line="480" w:lineRule="auto"/>
        <w:jc w:val="both"/>
        <w:rPr>
          <w:rFonts w:ascii="Times New Roman" w:eastAsia="Times New Roman" w:hAnsi="Times New Roman" w:cs="Times New Roman"/>
          <w:sz w:val="24"/>
          <w:szCs w:val="24"/>
        </w:rPr>
      </w:pPr>
      <w:r w:rsidRPr="00C1262D">
        <w:rPr>
          <w:rFonts w:ascii="Times New Roman" w:eastAsia="Times New Roman" w:hAnsi="Times New Roman" w:cs="Times New Roman"/>
          <w:sz w:val="24"/>
          <w:szCs w:val="24"/>
        </w:rPr>
        <w:t>This study is grounded in an adapted Social Ecological Model, operationalized strictly at two levels: the individual patient and the health facility. This dual focus corresponds precisely to the data available for this investigation.</w:t>
      </w:r>
    </w:p>
    <w:p w14:paraId="2E2EE235" w14:textId="77777777" w:rsidR="00371B94" w:rsidRPr="00371B94" w:rsidRDefault="00371B94" w:rsidP="00371B94">
      <w:pPr>
        <w:spacing w:before="100" w:beforeAutospacing="1" w:after="100" w:afterAutospacing="1" w:line="480" w:lineRule="auto"/>
        <w:jc w:val="both"/>
        <w:rPr>
          <w:rFonts w:ascii="Times New Roman" w:eastAsia="Times New Roman" w:hAnsi="Times New Roman" w:cs="Times New Roman"/>
          <w:b/>
          <w:bCs/>
          <w:sz w:val="24"/>
          <w:szCs w:val="24"/>
        </w:rPr>
      </w:pPr>
      <w:r w:rsidRPr="00371B94">
        <w:rPr>
          <w:rFonts w:ascii="Times New Roman" w:eastAsia="Times New Roman" w:hAnsi="Times New Roman" w:cs="Times New Roman"/>
          <w:b/>
          <w:bCs/>
          <w:sz w:val="24"/>
          <w:szCs w:val="24"/>
        </w:rPr>
        <w:t>1.2.1.1.1 The Social Ecological Model</w:t>
      </w:r>
    </w:p>
    <w:p w14:paraId="57A8D907" w14:textId="77777777" w:rsidR="00371B94" w:rsidRPr="00371B94" w:rsidRDefault="00371B94" w:rsidP="00371B94">
      <w:pPr>
        <w:spacing w:before="100" w:beforeAutospacing="1" w:after="100" w:afterAutospacing="1" w:line="480" w:lineRule="auto"/>
        <w:jc w:val="both"/>
        <w:rPr>
          <w:rFonts w:ascii="Times New Roman" w:eastAsia="Times New Roman" w:hAnsi="Times New Roman" w:cs="Times New Roman"/>
          <w:sz w:val="24"/>
          <w:szCs w:val="24"/>
        </w:rPr>
      </w:pPr>
      <w:r w:rsidRPr="00371B94">
        <w:rPr>
          <w:rFonts w:ascii="Times New Roman" w:eastAsia="Times New Roman" w:hAnsi="Times New Roman" w:cs="Times New Roman"/>
          <w:sz w:val="24"/>
          <w:szCs w:val="24"/>
        </w:rPr>
        <w:t>The Social Ecological Model was originally developed by Bronfenbrenner (1979) to explain human development across nested environmental systems. McLeroy, Bibeau, Steckler, and Glanz (1988) subsequently adapted it for public health. They argued that health behaviors are shaped not merely by individual choice but by interpersonal, institutional, community, and policy forces acting simultaneously. Stokols (1992) extended this argument by introducing the concept of reciprocal determinism, demonstrating that individuals and their environments exist in a dynamic relationship where each systematically shapes the other over time.</w:t>
      </w:r>
    </w:p>
    <w:p w14:paraId="039AD037" w14:textId="77777777" w:rsidR="00371B94" w:rsidRPr="00371B94" w:rsidRDefault="00371B94" w:rsidP="00371B94">
      <w:pPr>
        <w:spacing w:before="100" w:beforeAutospacing="1" w:after="100" w:afterAutospacing="1" w:line="480" w:lineRule="auto"/>
        <w:jc w:val="both"/>
        <w:rPr>
          <w:rFonts w:ascii="Times New Roman" w:eastAsia="Times New Roman" w:hAnsi="Times New Roman" w:cs="Times New Roman"/>
          <w:sz w:val="24"/>
          <w:szCs w:val="24"/>
        </w:rPr>
      </w:pPr>
      <w:r w:rsidRPr="00371B94">
        <w:rPr>
          <w:rFonts w:ascii="Times New Roman" w:eastAsia="Times New Roman" w:hAnsi="Times New Roman" w:cs="Times New Roman"/>
          <w:sz w:val="24"/>
          <w:szCs w:val="24"/>
        </w:rPr>
        <w:t xml:space="preserve">A central tenet of the framework is that health outcomes are the product of interdependent factors operating within concentric layers of influence. In the context of HIV management, the model assumes that virological status is inextricably linked to the environment where care is delivered. It posits that sustainable clinical success is most likely achieved when interventions address </w:t>
      </w:r>
      <w:r w:rsidRPr="00371B94">
        <w:rPr>
          <w:rFonts w:ascii="Times New Roman" w:eastAsia="Times New Roman" w:hAnsi="Times New Roman" w:cs="Times New Roman"/>
          <w:sz w:val="24"/>
          <w:szCs w:val="24"/>
        </w:rPr>
        <w:lastRenderedPageBreak/>
        <w:t>structural and institutional conditions alongside individual behavioral determinants. An underlying assumption of this approach is that individuals are essentially rational actors whose capacity to maintain lifelong medication adherence is heavily constrained or facilitated by the resources, proximity, and efficiency of their specific healthcare facility.</w:t>
      </w:r>
    </w:p>
    <w:p w14:paraId="65328C52" w14:textId="77777777" w:rsidR="00371B94" w:rsidRPr="00371B94" w:rsidRDefault="00371B94" w:rsidP="00371B94">
      <w:pPr>
        <w:spacing w:before="100" w:beforeAutospacing="1" w:after="100" w:afterAutospacing="1" w:line="480" w:lineRule="auto"/>
        <w:jc w:val="both"/>
        <w:rPr>
          <w:rFonts w:ascii="Times New Roman" w:eastAsia="Times New Roman" w:hAnsi="Times New Roman" w:cs="Times New Roman"/>
          <w:sz w:val="24"/>
          <w:szCs w:val="24"/>
        </w:rPr>
      </w:pPr>
      <w:r w:rsidRPr="00371B94">
        <w:rPr>
          <w:rFonts w:ascii="Times New Roman" w:eastAsia="Times New Roman" w:hAnsi="Times New Roman" w:cs="Times New Roman"/>
          <w:sz w:val="24"/>
          <w:szCs w:val="24"/>
        </w:rPr>
        <w:t>Despite its widespread adoption in public health research, the classical Social Ecological Model has faced significant scholarly critique. Richard, Gauvin, and Raine (2011) observed that the framework is frequently utilized merely as a conceptual map rather than a testable predictive theory. Critics argue that its comprehensive nature, covering everything from genetics to national policy, results in a lack of predictive specificity. Because it encompasses an almost infinite number of variables, it can become methodologically burdensome to operationalize fully. Golden and Earp (2012) further noted that many researchers claim to use an ecological approach but fail to measure multilevel interactions statistically, ultimately reverting to single level behavioral analyses.</w:t>
      </w:r>
    </w:p>
    <w:p w14:paraId="5F3E046C" w14:textId="77777777" w:rsidR="00371B94" w:rsidRPr="00371B94" w:rsidRDefault="00371B94" w:rsidP="00371B94">
      <w:pPr>
        <w:spacing w:before="100" w:beforeAutospacing="1" w:after="100" w:afterAutospacing="1" w:line="480" w:lineRule="auto"/>
        <w:jc w:val="both"/>
        <w:rPr>
          <w:rFonts w:ascii="Times New Roman" w:eastAsia="Times New Roman" w:hAnsi="Times New Roman" w:cs="Times New Roman"/>
          <w:sz w:val="24"/>
          <w:szCs w:val="24"/>
        </w:rPr>
      </w:pPr>
      <w:r w:rsidRPr="00371B94">
        <w:rPr>
          <w:rFonts w:ascii="Times New Roman" w:eastAsia="Times New Roman" w:hAnsi="Times New Roman" w:cs="Times New Roman"/>
          <w:sz w:val="24"/>
          <w:szCs w:val="24"/>
        </w:rPr>
        <w:t xml:space="preserve">However, these critiques do not invalidate the framework for the purposes of this investigation. Instead, they demand rigorous methodological precision. The present study directly addresses the critique of methodological overreach by deliberately restricting the model to two analytically measurable tiers. By refusing to invoke unmeasured variables such as community stigma or national policy implementation, this study avoids theoretical inflation. The adaptation provides the exact theoretical scaffolding required to justify a mixed effects logistic regression. This statistical technique answers the call of Golden and Earp (2012) by explicitly quantifying the </w:t>
      </w:r>
      <w:proofErr w:type="gramStart"/>
      <w:r w:rsidRPr="00371B94">
        <w:rPr>
          <w:rFonts w:ascii="Times New Roman" w:eastAsia="Times New Roman" w:hAnsi="Times New Roman" w:cs="Times New Roman"/>
          <w:sz w:val="24"/>
          <w:szCs w:val="24"/>
        </w:rPr>
        <w:t>cross level</w:t>
      </w:r>
      <w:proofErr w:type="gramEnd"/>
      <w:r w:rsidRPr="00371B94">
        <w:rPr>
          <w:rFonts w:ascii="Times New Roman" w:eastAsia="Times New Roman" w:hAnsi="Times New Roman" w:cs="Times New Roman"/>
          <w:sz w:val="24"/>
          <w:szCs w:val="24"/>
        </w:rPr>
        <w:t xml:space="preserve"> interactions between the facility environment and the individual patient, thereby transforming the ecological model from a descriptive metaphor into a mathematically testable hypothesis.</w:t>
      </w:r>
    </w:p>
    <w:p w14:paraId="693C8CE2" w14:textId="77777777" w:rsidR="00371B94" w:rsidRPr="00460B84" w:rsidRDefault="00460B84" w:rsidP="00460B84">
      <w:pPr>
        <w:spacing w:line="480" w:lineRule="auto"/>
        <w:jc w:val="both"/>
        <w:rPr>
          <w:rFonts w:ascii="Times New Roman" w:hAnsi="Times New Roman" w:cs="Times New Roman"/>
          <w:sz w:val="24"/>
          <w:szCs w:val="24"/>
        </w:rPr>
      </w:pPr>
      <w:r w:rsidRPr="00460B84">
        <w:rPr>
          <w:rFonts w:ascii="Times New Roman" w:hAnsi="Times New Roman" w:cs="Times New Roman"/>
          <w:sz w:val="24"/>
          <w:szCs w:val="24"/>
        </w:rPr>
        <w:lastRenderedPageBreak/>
        <w:t xml:space="preserve">In </w:t>
      </w:r>
      <w:r w:rsidR="00371B94" w:rsidRPr="00460B84">
        <w:rPr>
          <w:rFonts w:ascii="Times New Roman" w:hAnsi="Times New Roman" w:cs="Times New Roman"/>
          <w:sz w:val="24"/>
          <w:szCs w:val="24"/>
        </w:rPr>
        <w:t>its classical form, the framework operates across five levels: intrapersonal, interpersonal, institutional, community, and policy. All five are theoretically relevant to HIV treatment outcomes. However, this study utilizes retrospective electronic medical record data alongside a structured facility audit. These specific data sources exclusively measure individual patient characteristics and facility level structural attributes. Attempting to invoke all five levels while measuring only two would fundamentally misrepresent the scope of the study. Therefore, the framework adopted here is a deliberate, data driven adaptation concentrated strictly at the two levels that govern clinical outcomes in Plateau State.</w:t>
      </w:r>
    </w:p>
    <w:p w14:paraId="52F59849" w14:textId="77777777" w:rsidR="00182BB3" w:rsidRPr="00460B84" w:rsidRDefault="00460B84" w:rsidP="00460B84">
      <w:pPr>
        <w:rPr>
          <w:highlight w:val="yellow"/>
        </w:rPr>
      </w:pPr>
      <w:r w:rsidRPr="00460B84">
        <w:rPr>
          <w:noProof/>
          <w:highlight w:val="yellow"/>
        </w:rPr>
        <w:drawing>
          <wp:inline distT="0" distB="0" distL="0" distR="0" wp14:anchorId="2074E941" wp14:editId="40252F0A">
            <wp:extent cx="5666271" cy="2786310"/>
            <wp:effectExtent l="0" t="0" r="0" b="0"/>
            <wp:docPr id="1" name="Picture 1" descr="C:\Users\HP\Downloads\Gemini_Generated_Image_veb89yveb89yve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Gemini_Generated_Image_veb89yveb89yveb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5750" cy="2790971"/>
                    </a:xfrm>
                    <a:prstGeom prst="rect">
                      <a:avLst/>
                    </a:prstGeom>
                    <a:noFill/>
                    <a:ln>
                      <a:noFill/>
                    </a:ln>
                  </pic:spPr>
                </pic:pic>
              </a:graphicData>
            </a:graphic>
          </wp:inline>
        </w:drawing>
      </w:r>
    </w:p>
    <w:p w14:paraId="32E00EB9" w14:textId="77777777" w:rsidR="00182BB3" w:rsidRPr="00460B84" w:rsidRDefault="00371B94" w:rsidP="00460B84">
      <w:pPr>
        <w:rPr>
          <w:rFonts w:ascii="Times New Roman" w:hAnsi="Times New Roman" w:cs="Times New Roman"/>
        </w:rPr>
      </w:pPr>
      <w:r w:rsidRPr="00460B84">
        <w:rPr>
          <w:rFonts w:ascii="Times New Roman" w:hAnsi="Times New Roman" w:cs="Times New Roman"/>
          <w:b/>
        </w:rPr>
        <w:t>Figure</w:t>
      </w:r>
      <w:r w:rsidRPr="00460B84">
        <w:rPr>
          <w:rFonts w:ascii="Times New Roman" w:hAnsi="Times New Roman" w:cs="Times New Roman"/>
        </w:rPr>
        <w:t xml:space="preserve"> 1.1: Adapted Two Level Social Ecological Framework for Viral Load Suppression in Plateau State, Nigeria </w:t>
      </w:r>
    </w:p>
    <w:p w14:paraId="58A19FC1" w14:textId="77777777" w:rsidR="00371B94" w:rsidRPr="00460B84" w:rsidRDefault="00371B94" w:rsidP="00460B84">
      <w:pPr>
        <w:rPr>
          <w:rFonts w:ascii="Times New Roman" w:hAnsi="Times New Roman" w:cs="Times New Roman"/>
        </w:rPr>
      </w:pPr>
      <w:r w:rsidRPr="00460B84">
        <w:rPr>
          <w:rFonts w:ascii="Times New Roman" w:hAnsi="Times New Roman" w:cs="Times New Roman"/>
          <w:b/>
        </w:rPr>
        <w:t>Source</w:t>
      </w:r>
      <w:r w:rsidRPr="00460B84">
        <w:rPr>
          <w:rFonts w:ascii="Times New Roman" w:hAnsi="Times New Roman" w:cs="Times New Roman"/>
        </w:rPr>
        <w:t>: Researcher's conceptualization (2026), adapted from the Social Ecological Model (McLeroy et al., 1988) and WHO Consolidated HIV Guidelines (2022).</w:t>
      </w:r>
    </w:p>
    <w:p w14:paraId="4B7A9311" w14:textId="77777777" w:rsidR="00371B94" w:rsidRPr="00371B94" w:rsidRDefault="00371B94" w:rsidP="00371B94">
      <w:pPr>
        <w:spacing w:before="100" w:beforeAutospacing="1" w:after="100" w:afterAutospacing="1" w:line="480" w:lineRule="auto"/>
        <w:jc w:val="both"/>
        <w:rPr>
          <w:rFonts w:ascii="Times New Roman" w:eastAsia="Times New Roman" w:hAnsi="Times New Roman" w:cs="Times New Roman"/>
          <w:sz w:val="24"/>
          <w:szCs w:val="24"/>
        </w:rPr>
      </w:pPr>
      <w:r w:rsidRPr="00371B94">
        <w:rPr>
          <w:rFonts w:ascii="Times New Roman" w:eastAsia="Times New Roman" w:hAnsi="Times New Roman" w:cs="Times New Roman"/>
          <w:sz w:val="24"/>
          <w:szCs w:val="24"/>
        </w:rPr>
        <w:t xml:space="preserve">As visually articulated in Figure 1.1, the analytical logic of this research flows sequentially from the macro institutional level down to the micro individual level. The top tier of the diagram represents Level 2, which is the Facility Context. This level captures the structural and operational characteristics of the </w:t>
      </w:r>
      <w:proofErr w:type="gramStart"/>
      <w:r w:rsidRPr="00371B94">
        <w:rPr>
          <w:rFonts w:ascii="Times New Roman" w:eastAsia="Times New Roman" w:hAnsi="Times New Roman" w:cs="Times New Roman"/>
          <w:sz w:val="24"/>
          <w:szCs w:val="24"/>
        </w:rPr>
        <w:t>thirty five</w:t>
      </w:r>
      <w:proofErr w:type="gramEnd"/>
      <w:r w:rsidRPr="00371B94">
        <w:rPr>
          <w:rFonts w:ascii="Times New Roman" w:eastAsia="Times New Roman" w:hAnsi="Times New Roman" w:cs="Times New Roman"/>
          <w:sz w:val="24"/>
          <w:szCs w:val="24"/>
        </w:rPr>
        <w:t xml:space="preserve"> treatment sites included in the study. The specific variables </w:t>
      </w:r>
      <w:r w:rsidRPr="00371B94">
        <w:rPr>
          <w:rFonts w:ascii="Times New Roman" w:eastAsia="Times New Roman" w:hAnsi="Times New Roman" w:cs="Times New Roman"/>
          <w:sz w:val="24"/>
          <w:szCs w:val="24"/>
        </w:rPr>
        <w:lastRenderedPageBreak/>
        <w:t xml:space="preserve">delineated here include facility tier (primary, secondary, or tertiary), ownership (public, faith based, or private), </w:t>
      </w:r>
      <w:r w:rsidRPr="00460B84">
        <w:rPr>
          <w:rFonts w:ascii="Times New Roman" w:eastAsia="Times New Roman" w:hAnsi="Times New Roman" w:cs="Times New Roman"/>
          <w:sz w:val="24"/>
          <w:szCs w:val="24"/>
        </w:rPr>
        <w:t>viral load capacity, and the operationalized differentiated service delivery models.</w:t>
      </w:r>
      <w:r w:rsidRPr="00371B94">
        <w:rPr>
          <w:rFonts w:ascii="Times New Roman" w:eastAsia="Times New Roman" w:hAnsi="Times New Roman" w:cs="Times New Roman"/>
          <w:sz w:val="24"/>
          <w:szCs w:val="24"/>
        </w:rPr>
        <w:t xml:space="preserve"> The downward pointing arrows emerging from these variables illustrate a core theoretical proposition: these facility attributes collectively generate contextual influences that cascade downward to dictate the quality of care.</w:t>
      </w:r>
    </w:p>
    <w:p w14:paraId="3868D8DB" w14:textId="77777777" w:rsidR="00371B94" w:rsidRPr="00371B94" w:rsidRDefault="00371B94" w:rsidP="00371B94">
      <w:pPr>
        <w:spacing w:before="100" w:beforeAutospacing="1" w:after="100" w:afterAutospacing="1" w:line="480" w:lineRule="auto"/>
        <w:jc w:val="both"/>
        <w:rPr>
          <w:rFonts w:ascii="Times New Roman" w:eastAsia="Times New Roman" w:hAnsi="Times New Roman" w:cs="Times New Roman"/>
          <w:sz w:val="24"/>
          <w:szCs w:val="24"/>
        </w:rPr>
      </w:pPr>
      <w:r w:rsidRPr="00371B94">
        <w:rPr>
          <w:rFonts w:ascii="Times New Roman" w:eastAsia="Times New Roman" w:hAnsi="Times New Roman" w:cs="Times New Roman"/>
          <w:sz w:val="24"/>
          <w:szCs w:val="24"/>
        </w:rPr>
        <w:t>The middle tier represents Level 1, detailing Individual and Clinical Factors. This level captures the specific sociodemographic and biological profile of each patient nested within those facilities. The variables identified in the diagram include age, sex, education, baseline CD4 count, WHO clinical stage, and antiretroviral therapy duration. These variables define the biological starting point and the measurable pattern of treatment engagement for the patient.</w:t>
      </w:r>
    </w:p>
    <w:p w14:paraId="29540FB1" w14:textId="77777777" w:rsidR="00371B94" w:rsidRPr="00371B94" w:rsidRDefault="00371B94" w:rsidP="00371B94">
      <w:pPr>
        <w:spacing w:before="100" w:beforeAutospacing="1" w:after="100" w:afterAutospacing="1" w:line="480" w:lineRule="auto"/>
        <w:jc w:val="both"/>
        <w:rPr>
          <w:rFonts w:ascii="Times New Roman" w:eastAsia="Times New Roman" w:hAnsi="Times New Roman" w:cs="Times New Roman"/>
          <w:sz w:val="24"/>
          <w:szCs w:val="24"/>
        </w:rPr>
      </w:pPr>
      <w:r w:rsidRPr="00371B94">
        <w:rPr>
          <w:rFonts w:ascii="Times New Roman" w:eastAsia="Times New Roman" w:hAnsi="Times New Roman" w:cs="Times New Roman"/>
          <w:sz w:val="24"/>
          <w:szCs w:val="24"/>
        </w:rPr>
        <w:t xml:space="preserve">The central analytical argument of the study is represented by the downward arrow connecting Level 2 to Level 1. The facility context does not merely coexist with individual factors; it actively conditions them. For example, the clinical vulnerability associated with a low baseline CD4 count or younger age may be effectively mitigated in an urban tertiary hospital equipped with robust </w:t>
      </w:r>
      <w:r w:rsidR="004725B8" w:rsidRPr="004725B8">
        <w:rPr>
          <w:rFonts w:ascii="Times New Roman" w:eastAsia="Times New Roman" w:hAnsi="Times New Roman" w:cs="Times New Roman"/>
          <w:sz w:val="24"/>
          <w:szCs w:val="24"/>
        </w:rPr>
        <w:t xml:space="preserve">Laboratory services </w:t>
      </w:r>
      <w:r w:rsidR="004725B8">
        <w:rPr>
          <w:rFonts w:ascii="Times New Roman" w:eastAsia="Times New Roman" w:hAnsi="Times New Roman" w:cs="Times New Roman"/>
          <w:sz w:val="24"/>
          <w:szCs w:val="24"/>
        </w:rPr>
        <w:t xml:space="preserve">capacity </w:t>
      </w:r>
      <w:r w:rsidRPr="00371B94">
        <w:rPr>
          <w:rFonts w:ascii="Times New Roman" w:eastAsia="Times New Roman" w:hAnsi="Times New Roman" w:cs="Times New Roman"/>
          <w:sz w:val="24"/>
          <w:szCs w:val="24"/>
        </w:rPr>
        <w:t>and specialized service delivery models. Conversely, that same individual vulnerability may lead to virologic failure if the patient is managed in a rural primary facility experiencing stockouts or limited laboratory access.</w:t>
      </w:r>
    </w:p>
    <w:p w14:paraId="18EAD3BE" w14:textId="77777777" w:rsidR="00371B94" w:rsidRPr="00371B94" w:rsidRDefault="00371B94" w:rsidP="00371B94">
      <w:pPr>
        <w:spacing w:before="100" w:beforeAutospacing="1" w:after="100" w:afterAutospacing="1" w:line="480" w:lineRule="auto"/>
        <w:jc w:val="both"/>
        <w:rPr>
          <w:rFonts w:ascii="Times New Roman" w:eastAsia="Times New Roman" w:hAnsi="Times New Roman" w:cs="Times New Roman"/>
          <w:sz w:val="24"/>
          <w:szCs w:val="24"/>
        </w:rPr>
      </w:pPr>
      <w:r w:rsidRPr="00371B94">
        <w:rPr>
          <w:rFonts w:ascii="Times New Roman" w:eastAsia="Times New Roman" w:hAnsi="Times New Roman" w:cs="Times New Roman"/>
          <w:sz w:val="24"/>
          <w:szCs w:val="24"/>
        </w:rPr>
        <w:t xml:space="preserve">The ultimate endpoint of this convergence is depicted at the bottom of the figure as Viral Load Suppression, defined operationally as fewer than 1000 copies per milliliter. This explicitly illustrates that achieving the UNAIDS third 95 target is not solely a product of individual adherence but is the culminating biological result of an individual interacting with a specific institutional environment. By partitioning the variance between Level 1 and Level 2, this </w:t>
      </w:r>
      <w:r w:rsidRPr="00371B94">
        <w:rPr>
          <w:rFonts w:ascii="Times New Roman" w:eastAsia="Times New Roman" w:hAnsi="Times New Roman" w:cs="Times New Roman"/>
          <w:sz w:val="24"/>
          <w:szCs w:val="24"/>
        </w:rPr>
        <w:lastRenderedPageBreak/>
        <w:t>investigation will determine precisely how much of a patient's success is driven by their own characteristics versus the quality of the facility they attend.</w:t>
      </w:r>
    </w:p>
    <w:p w14:paraId="03C9DCB8" w14:textId="77777777" w:rsidR="00182BB3" w:rsidRPr="00182BB3" w:rsidRDefault="00182BB3" w:rsidP="00182BB3">
      <w:pPr>
        <w:spacing w:before="100" w:beforeAutospacing="1" w:after="100" w:afterAutospacing="1" w:line="480" w:lineRule="auto"/>
        <w:jc w:val="both"/>
        <w:rPr>
          <w:rFonts w:ascii="Times New Roman" w:eastAsia="Times New Roman" w:hAnsi="Times New Roman" w:cs="Times New Roman"/>
          <w:b/>
          <w:bCs/>
          <w:sz w:val="24"/>
          <w:szCs w:val="24"/>
        </w:rPr>
      </w:pPr>
      <w:r w:rsidRPr="00182BB3">
        <w:rPr>
          <w:rFonts w:ascii="Times New Roman" w:eastAsia="Times New Roman" w:hAnsi="Times New Roman" w:cs="Times New Roman"/>
          <w:b/>
          <w:bCs/>
          <w:sz w:val="24"/>
          <w:szCs w:val="24"/>
        </w:rPr>
        <w:t>1.2.1.2 Conceptual Review</w:t>
      </w:r>
    </w:p>
    <w:p w14:paraId="72253743" w14:textId="77777777" w:rsidR="00182BB3" w:rsidRPr="00182BB3" w:rsidRDefault="00182BB3" w:rsidP="00182BB3">
      <w:pPr>
        <w:spacing w:before="100" w:beforeAutospacing="1" w:after="100" w:afterAutospacing="1" w:line="480" w:lineRule="auto"/>
        <w:jc w:val="both"/>
        <w:rPr>
          <w:rFonts w:ascii="Times New Roman" w:eastAsia="Times New Roman" w:hAnsi="Times New Roman" w:cs="Times New Roman"/>
          <w:sz w:val="24"/>
          <w:szCs w:val="24"/>
        </w:rPr>
      </w:pPr>
      <w:r w:rsidRPr="00182BB3">
        <w:rPr>
          <w:rFonts w:ascii="Times New Roman" w:eastAsia="Times New Roman" w:hAnsi="Times New Roman" w:cs="Times New Roman"/>
          <w:sz w:val="24"/>
          <w:szCs w:val="24"/>
        </w:rPr>
        <w:t>This section systematically defines and critically evaluates the core constructs of the study. Moving beyond simple definitions, it explores the scientific evolution of these concepts and establishes their specific operational relevance within the Nigerian programmatic context.</w:t>
      </w:r>
    </w:p>
    <w:p w14:paraId="18C5FCEE" w14:textId="77777777" w:rsidR="00182BB3" w:rsidRPr="00182BB3" w:rsidRDefault="00182BB3" w:rsidP="00182BB3">
      <w:pPr>
        <w:spacing w:before="100" w:beforeAutospacing="1" w:after="100" w:afterAutospacing="1" w:line="480" w:lineRule="auto"/>
        <w:jc w:val="both"/>
        <w:rPr>
          <w:rFonts w:ascii="Times New Roman" w:eastAsia="Times New Roman" w:hAnsi="Times New Roman" w:cs="Times New Roman"/>
          <w:sz w:val="24"/>
          <w:szCs w:val="24"/>
        </w:rPr>
      </w:pPr>
      <w:r w:rsidRPr="00182BB3">
        <w:rPr>
          <w:rFonts w:ascii="Times New Roman" w:eastAsia="Times New Roman" w:hAnsi="Times New Roman" w:cs="Times New Roman"/>
          <w:b/>
          <w:bCs/>
          <w:sz w:val="24"/>
          <w:szCs w:val="24"/>
        </w:rPr>
        <w:t>1.2.1.2.1 Viral Load Suppression</w:t>
      </w:r>
    </w:p>
    <w:p w14:paraId="7E84E609" w14:textId="77777777" w:rsidR="00182BB3" w:rsidRPr="00182BB3" w:rsidRDefault="00182BB3" w:rsidP="00182BB3">
      <w:pPr>
        <w:spacing w:before="100" w:beforeAutospacing="1" w:after="100" w:afterAutospacing="1" w:line="480" w:lineRule="auto"/>
        <w:jc w:val="both"/>
        <w:rPr>
          <w:rFonts w:ascii="Times New Roman" w:eastAsia="Times New Roman" w:hAnsi="Times New Roman" w:cs="Times New Roman"/>
          <w:sz w:val="24"/>
          <w:szCs w:val="24"/>
        </w:rPr>
      </w:pPr>
      <w:r w:rsidRPr="00182BB3">
        <w:rPr>
          <w:rFonts w:ascii="Times New Roman" w:eastAsia="Times New Roman" w:hAnsi="Times New Roman" w:cs="Times New Roman"/>
          <w:sz w:val="24"/>
          <w:szCs w:val="24"/>
        </w:rPr>
        <w:t>The concept of viral load suppression serves as the ultimate biological indicator of success for any individual initiated on antiretroviral therapy and acts as the primary metric for evaluating the effectiveness of HIV programs globally (UNAIDS, 2024). At its core, viral load suppression refers to the reduction of HIV RNA concentrations in a patient’s plasma to levels low enough to arrest immune system deterioration and halt the onward transmission of the virus (World Health Organization, 2022). This state is far more than a clinical milestone; it represents a profound ontological shift for a person living with HIV, marking the transition from an era of active disease progression to a manageable chronic health condition. Within the framework of the UNAIDS 95, 95, 95 targets, achieving suppression is the final and most critical step in the cascade of care, making it the central focal point of public health interventions in Plateau State.</w:t>
      </w:r>
    </w:p>
    <w:p w14:paraId="4B79F495" w14:textId="77777777" w:rsidR="00182BB3" w:rsidRPr="00182BB3" w:rsidRDefault="00182BB3" w:rsidP="00182BB3">
      <w:pPr>
        <w:spacing w:before="100" w:beforeAutospacing="1" w:after="100" w:afterAutospacing="1" w:line="480" w:lineRule="auto"/>
        <w:jc w:val="both"/>
        <w:rPr>
          <w:rFonts w:ascii="Times New Roman" w:eastAsia="Times New Roman" w:hAnsi="Times New Roman" w:cs="Times New Roman"/>
          <w:sz w:val="24"/>
          <w:szCs w:val="24"/>
        </w:rPr>
      </w:pPr>
      <w:r w:rsidRPr="00182BB3">
        <w:rPr>
          <w:rFonts w:ascii="Times New Roman" w:eastAsia="Times New Roman" w:hAnsi="Times New Roman" w:cs="Times New Roman"/>
          <w:sz w:val="24"/>
          <w:szCs w:val="24"/>
        </w:rPr>
        <w:t xml:space="preserve">The clinical definition of viral load suppression has evolved significantly as diagnostic technology and longitudinal understanding of the virus have matured. Over the past few years, various scholars and institutions have offered perspectives reflecting this complexity. Rodger et al. (2019) characterized viral suppression primarily through the lens of transmission risk, defining it as </w:t>
      </w:r>
      <w:r w:rsidRPr="00182BB3">
        <w:rPr>
          <w:rFonts w:ascii="Times New Roman" w:eastAsia="Times New Roman" w:hAnsi="Times New Roman" w:cs="Times New Roman"/>
          <w:sz w:val="24"/>
          <w:szCs w:val="24"/>
        </w:rPr>
        <w:lastRenderedPageBreak/>
        <w:t xml:space="preserve">maintaining a viral load of fewer than </w:t>
      </w:r>
      <w:r w:rsidR="004725B8" w:rsidRPr="004725B8">
        <w:rPr>
          <w:rFonts w:ascii="Times New Roman" w:eastAsia="Times New Roman" w:hAnsi="Times New Roman" w:cs="Times New Roman"/>
          <w:sz w:val="24"/>
          <w:szCs w:val="24"/>
        </w:rPr>
        <w:t>50</w:t>
      </w:r>
      <w:r w:rsidRPr="004725B8">
        <w:rPr>
          <w:rFonts w:ascii="Times New Roman" w:eastAsia="Times New Roman" w:hAnsi="Times New Roman" w:cs="Times New Roman"/>
          <w:sz w:val="24"/>
          <w:szCs w:val="24"/>
        </w:rPr>
        <w:t xml:space="preserve"> </w:t>
      </w:r>
      <w:r w:rsidRPr="00182BB3">
        <w:rPr>
          <w:rFonts w:ascii="Times New Roman" w:eastAsia="Times New Roman" w:hAnsi="Times New Roman" w:cs="Times New Roman"/>
          <w:sz w:val="24"/>
          <w:szCs w:val="24"/>
        </w:rPr>
        <w:t xml:space="preserve">copies per milliliter. This specific threshold provides the clinical basis for the Undetectable equals </w:t>
      </w:r>
      <w:proofErr w:type="spellStart"/>
      <w:r w:rsidRPr="00182BB3">
        <w:rPr>
          <w:rFonts w:ascii="Times New Roman" w:eastAsia="Times New Roman" w:hAnsi="Times New Roman" w:cs="Times New Roman"/>
          <w:sz w:val="24"/>
          <w:szCs w:val="24"/>
        </w:rPr>
        <w:t>Untransmittable</w:t>
      </w:r>
      <w:proofErr w:type="spellEnd"/>
      <w:r w:rsidRPr="00182BB3">
        <w:rPr>
          <w:rFonts w:ascii="Times New Roman" w:eastAsia="Times New Roman" w:hAnsi="Times New Roman" w:cs="Times New Roman"/>
          <w:sz w:val="24"/>
          <w:szCs w:val="24"/>
        </w:rPr>
        <w:t xml:space="preserve"> initiative. In contrast, </w:t>
      </w:r>
      <w:proofErr w:type="spellStart"/>
      <w:r w:rsidRPr="00182BB3">
        <w:rPr>
          <w:rFonts w:ascii="Times New Roman" w:eastAsia="Times New Roman" w:hAnsi="Times New Roman" w:cs="Times New Roman"/>
          <w:sz w:val="24"/>
          <w:szCs w:val="24"/>
        </w:rPr>
        <w:t>Inzaule</w:t>
      </w:r>
      <w:proofErr w:type="spellEnd"/>
      <w:r w:rsidRPr="00182BB3">
        <w:rPr>
          <w:rFonts w:ascii="Times New Roman" w:eastAsia="Times New Roman" w:hAnsi="Times New Roman" w:cs="Times New Roman"/>
          <w:sz w:val="24"/>
          <w:szCs w:val="24"/>
        </w:rPr>
        <w:t xml:space="preserve"> et al. (2021) described suppression within the context of programmatic scaling in sub Saharan Africa as the achievement of a viral count below 1,000 copies per milliliter, noting that this is often the most reliable benchmark for treatment success in settings with limited laboratory sensitivity.</w:t>
      </w:r>
    </w:p>
    <w:p w14:paraId="20A8E826" w14:textId="77777777" w:rsidR="00182BB3" w:rsidRPr="00182BB3" w:rsidRDefault="00182BB3" w:rsidP="00182BB3">
      <w:pPr>
        <w:spacing w:before="100" w:beforeAutospacing="1" w:after="100" w:afterAutospacing="1" w:line="480" w:lineRule="auto"/>
        <w:jc w:val="both"/>
        <w:rPr>
          <w:rFonts w:ascii="Times New Roman" w:eastAsia="Times New Roman" w:hAnsi="Times New Roman" w:cs="Times New Roman"/>
          <w:sz w:val="24"/>
          <w:szCs w:val="24"/>
        </w:rPr>
      </w:pPr>
      <w:r w:rsidRPr="00182BB3">
        <w:rPr>
          <w:rFonts w:ascii="Times New Roman" w:eastAsia="Times New Roman" w:hAnsi="Times New Roman" w:cs="Times New Roman"/>
          <w:sz w:val="24"/>
          <w:szCs w:val="24"/>
        </w:rPr>
        <w:t>The World Health Organization (2022) offers a standardized global definition, viewing suppression as a viral load below 1,000 copies per milliliter, signifying that the risk of clinical failure and transmission is significantly minimized. Domestically, Tomescu et al. (2023) defined the concept within the Nigerian setting as a cumulative indicator of both patient adherence and facility level quality of care. Furthermore, the National Agency for the Control of AIDS (2025) defines suppression as the biological fulfillment of the third 95, where a patient on antiretroviral therapy reaches a viral count low enough to ensure long term survival and zero community transmission.</w:t>
      </w:r>
    </w:p>
    <w:p w14:paraId="0ADEC27D" w14:textId="77777777" w:rsidR="00182BB3" w:rsidRPr="00182BB3" w:rsidRDefault="00182BB3" w:rsidP="00182BB3">
      <w:pPr>
        <w:spacing w:before="100" w:beforeAutospacing="1" w:after="100" w:afterAutospacing="1" w:line="480" w:lineRule="auto"/>
        <w:jc w:val="both"/>
        <w:rPr>
          <w:rFonts w:ascii="Times New Roman" w:eastAsia="Times New Roman" w:hAnsi="Times New Roman" w:cs="Times New Roman"/>
          <w:sz w:val="24"/>
          <w:szCs w:val="24"/>
        </w:rPr>
      </w:pPr>
      <w:r w:rsidRPr="00182BB3">
        <w:rPr>
          <w:rFonts w:ascii="Times New Roman" w:eastAsia="Times New Roman" w:hAnsi="Times New Roman" w:cs="Times New Roman"/>
          <w:sz w:val="24"/>
          <w:szCs w:val="24"/>
        </w:rPr>
        <w:t>A significant conceptual shift in the literature involves the transition from the term undetectable to suppressed. In the earlier decades of the HIV response, undetectable was the gold standard nomenclature, largely because it referred to viral levels falling below the lower limit of detection of early laboratory assays, which was typically 50 or 400 copies per milliliter (</w:t>
      </w:r>
      <w:proofErr w:type="spellStart"/>
      <w:r w:rsidRPr="00182BB3">
        <w:rPr>
          <w:rFonts w:ascii="Times New Roman" w:eastAsia="Times New Roman" w:hAnsi="Times New Roman" w:cs="Times New Roman"/>
          <w:sz w:val="24"/>
          <w:szCs w:val="24"/>
        </w:rPr>
        <w:t>Ojeh</w:t>
      </w:r>
      <w:proofErr w:type="spellEnd"/>
      <w:r w:rsidRPr="00182BB3">
        <w:rPr>
          <w:rFonts w:ascii="Times New Roman" w:eastAsia="Times New Roman" w:hAnsi="Times New Roman" w:cs="Times New Roman"/>
          <w:sz w:val="24"/>
          <w:szCs w:val="24"/>
        </w:rPr>
        <w:t xml:space="preserve"> et al., 2022). However, as the global response decentralized into resource limited settings, researchers and policymakers began to prefer the term suppressed. This change in terminology reflects a critical understanding that while a patient might have very low levels of circulating virus technically detectable by </w:t>
      </w:r>
      <w:proofErr w:type="spellStart"/>
      <w:r w:rsidRPr="00182BB3">
        <w:rPr>
          <w:rFonts w:ascii="Times New Roman" w:eastAsia="Times New Roman" w:hAnsi="Times New Roman" w:cs="Times New Roman"/>
          <w:sz w:val="24"/>
          <w:szCs w:val="24"/>
        </w:rPr>
        <w:t>ultra sensitive</w:t>
      </w:r>
      <w:proofErr w:type="spellEnd"/>
      <w:r w:rsidRPr="00182BB3">
        <w:rPr>
          <w:rFonts w:ascii="Times New Roman" w:eastAsia="Times New Roman" w:hAnsi="Times New Roman" w:cs="Times New Roman"/>
          <w:sz w:val="24"/>
          <w:szCs w:val="24"/>
        </w:rPr>
        <w:t xml:space="preserve"> modern assays, they remain clinically suppressed to a degree that protects their health (World Health Organization, 2022). This pragmatic shift allows for a more </w:t>
      </w:r>
      <w:r w:rsidRPr="00182BB3">
        <w:rPr>
          <w:rFonts w:ascii="Times New Roman" w:eastAsia="Times New Roman" w:hAnsi="Times New Roman" w:cs="Times New Roman"/>
          <w:sz w:val="24"/>
          <w:szCs w:val="24"/>
        </w:rPr>
        <w:lastRenderedPageBreak/>
        <w:t>inclusive assessment of treatment success in regions where high sensitivity testing for every patient may not be technically or economically feasible.</w:t>
      </w:r>
    </w:p>
    <w:p w14:paraId="1ED7F03B" w14:textId="77777777" w:rsidR="00182BB3" w:rsidRPr="00182BB3" w:rsidRDefault="00182BB3" w:rsidP="00182BB3">
      <w:pPr>
        <w:spacing w:before="100" w:beforeAutospacing="1" w:after="100" w:afterAutospacing="1" w:line="480" w:lineRule="auto"/>
        <w:jc w:val="both"/>
        <w:rPr>
          <w:rFonts w:ascii="Times New Roman" w:eastAsia="Times New Roman" w:hAnsi="Times New Roman" w:cs="Times New Roman"/>
          <w:sz w:val="24"/>
          <w:szCs w:val="24"/>
        </w:rPr>
      </w:pPr>
      <w:r w:rsidRPr="00182BB3">
        <w:rPr>
          <w:rFonts w:ascii="Times New Roman" w:eastAsia="Times New Roman" w:hAnsi="Times New Roman" w:cs="Times New Roman"/>
          <w:sz w:val="24"/>
          <w:szCs w:val="24"/>
        </w:rPr>
        <w:t xml:space="preserve">The clinical significance of utilizing the 1,000 copies per milliliter threshold in resource limited settings like Nigeria is a subject of extensive scholarly discussion. While many </w:t>
      </w:r>
      <w:proofErr w:type="gramStart"/>
      <w:r w:rsidRPr="00182BB3">
        <w:rPr>
          <w:rFonts w:ascii="Times New Roman" w:eastAsia="Times New Roman" w:hAnsi="Times New Roman" w:cs="Times New Roman"/>
          <w:sz w:val="24"/>
          <w:szCs w:val="24"/>
        </w:rPr>
        <w:t>high income</w:t>
      </w:r>
      <w:proofErr w:type="gramEnd"/>
      <w:r w:rsidRPr="00182BB3">
        <w:rPr>
          <w:rFonts w:ascii="Times New Roman" w:eastAsia="Times New Roman" w:hAnsi="Times New Roman" w:cs="Times New Roman"/>
          <w:sz w:val="24"/>
          <w:szCs w:val="24"/>
        </w:rPr>
        <w:t xml:space="preserve"> countries aim for a target of fewer than 50 copies per milliliter, the adoption of the 1,000 copies threshold by the World Health Organization and the Nigerian National Program is rooted in programmatic reality. This threshold is scientifically robust because clinical evidence confirms that the risk of opportunistic infections and mortality is drastically reduced once a patient remains below this level (</w:t>
      </w:r>
      <w:proofErr w:type="spellStart"/>
      <w:r w:rsidRPr="00182BB3">
        <w:rPr>
          <w:rFonts w:ascii="Times New Roman" w:eastAsia="Times New Roman" w:hAnsi="Times New Roman" w:cs="Times New Roman"/>
          <w:sz w:val="24"/>
          <w:szCs w:val="24"/>
        </w:rPr>
        <w:t>Inzaule</w:t>
      </w:r>
      <w:proofErr w:type="spellEnd"/>
      <w:r w:rsidRPr="00182BB3">
        <w:rPr>
          <w:rFonts w:ascii="Times New Roman" w:eastAsia="Times New Roman" w:hAnsi="Times New Roman" w:cs="Times New Roman"/>
          <w:sz w:val="24"/>
          <w:szCs w:val="24"/>
        </w:rPr>
        <w:t xml:space="preserve"> et al., 2021; World Health Organization, 2022). Furthermore, this higher threshold accounts for the technical variability and viral blips often encountered in large scale decentralized programs, ensuring that patients are not incorrectly diagnosed with treatment failure and prematurely switched to more expensive second line regimens. It serves as a pragmatic bridge between clinical idealism and the operational realities of the Nigerian healthcare delivery system.</w:t>
      </w:r>
    </w:p>
    <w:p w14:paraId="5D27D176" w14:textId="77777777" w:rsidR="00182BB3" w:rsidRPr="00182BB3" w:rsidRDefault="00182BB3" w:rsidP="00182BB3">
      <w:pPr>
        <w:spacing w:before="100" w:beforeAutospacing="1" w:after="100" w:afterAutospacing="1" w:line="480" w:lineRule="auto"/>
        <w:jc w:val="both"/>
        <w:rPr>
          <w:rFonts w:ascii="Times New Roman" w:eastAsia="Times New Roman" w:hAnsi="Times New Roman" w:cs="Times New Roman"/>
          <w:sz w:val="24"/>
          <w:szCs w:val="24"/>
        </w:rPr>
      </w:pPr>
      <w:r w:rsidRPr="00182BB3">
        <w:rPr>
          <w:rFonts w:ascii="Times New Roman" w:eastAsia="Times New Roman" w:hAnsi="Times New Roman" w:cs="Times New Roman"/>
          <w:sz w:val="24"/>
          <w:szCs w:val="24"/>
        </w:rPr>
        <w:t>For the purpose of this study, the definition provided by the World Health Organization (2022) and adopted by the National Agency for the Control of AIDS (2025) is selected as the operational standard. Consequently, viral load suppression is defined as having an HIV RNA concentration of fewer than 1,000 copies per milliliter of blood. This choice is deliberate, as it aligns with the standard reporting protocols found in the electronic medical records of the selected treatment sites in Plateau State. By utilizing this definition, the study ensures that its findings are contextually relevant to the Nigerian HIV response and directly comparable to the national benchmarks used to track progress toward epidemic control.</w:t>
      </w:r>
    </w:p>
    <w:p w14:paraId="5B9B8763" w14:textId="77777777" w:rsidR="007C0B7C" w:rsidRDefault="007C0B7C" w:rsidP="00182BB3">
      <w:pPr>
        <w:spacing w:before="100" w:beforeAutospacing="1" w:after="100" w:afterAutospacing="1" w:line="480" w:lineRule="auto"/>
        <w:jc w:val="both"/>
        <w:rPr>
          <w:rFonts w:ascii="Times New Roman" w:eastAsia="Times New Roman" w:hAnsi="Times New Roman" w:cs="Times New Roman"/>
          <w:b/>
          <w:bCs/>
          <w:sz w:val="24"/>
          <w:szCs w:val="24"/>
        </w:rPr>
      </w:pPr>
    </w:p>
    <w:p w14:paraId="78A5D3E7" w14:textId="77777777" w:rsidR="00182BB3" w:rsidRPr="00182BB3" w:rsidRDefault="00182BB3" w:rsidP="00182BB3">
      <w:pPr>
        <w:spacing w:before="100" w:beforeAutospacing="1" w:after="100" w:afterAutospacing="1" w:line="480" w:lineRule="auto"/>
        <w:jc w:val="both"/>
        <w:rPr>
          <w:rFonts w:ascii="Times New Roman" w:eastAsia="Times New Roman" w:hAnsi="Times New Roman" w:cs="Times New Roman"/>
          <w:sz w:val="24"/>
          <w:szCs w:val="24"/>
        </w:rPr>
      </w:pPr>
      <w:r w:rsidRPr="00182BB3">
        <w:rPr>
          <w:rFonts w:ascii="Times New Roman" w:eastAsia="Times New Roman" w:hAnsi="Times New Roman" w:cs="Times New Roman"/>
          <w:b/>
          <w:bCs/>
          <w:sz w:val="24"/>
          <w:szCs w:val="24"/>
        </w:rPr>
        <w:lastRenderedPageBreak/>
        <w:t>1.2.1.2.2 Antiretroviral Therapy</w:t>
      </w:r>
    </w:p>
    <w:p w14:paraId="0CBF3730" w14:textId="77777777" w:rsidR="00182BB3" w:rsidRPr="00182BB3" w:rsidRDefault="00182BB3" w:rsidP="00182BB3">
      <w:pPr>
        <w:spacing w:before="100" w:beforeAutospacing="1" w:after="100" w:afterAutospacing="1" w:line="480" w:lineRule="auto"/>
        <w:jc w:val="both"/>
        <w:rPr>
          <w:rFonts w:ascii="Times New Roman" w:eastAsia="Times New Roman" w:hAnsi="Times New Roman" w:cs="Times New Roman"/>
          <w:sz w:val="24"/>
          <w:szCs w:val="24"/>
        </w:rPr>
      </w:pPr>
      <w:r w:rsidRPr="00182BB3">
        <w:rPr>
          <w:rFonts w:ascii="Times New Roman" w:eastAsia="Times New Roman" w:hAnsi="Times New Roman" w:cs="Times New Roman"/>
          <w:sz w:val="24"/>
          <w:szCs w:val="24"/>
        </w:rPr>
        <w:t>Antiretroviral therapy is the defining biomedical intervention in the modern response to HIV. Conceptually, it denotes the systematic use of combinations of antiretroviral drugs to durably suppress HIV replication, restore and preserve immune function, prevent AIDS related morbidity and mortality, and reduce the risk of onward transmission (</w:t>
      </w:r>
      <w:proofErr w:type="spellStart"/>
      <w:r w:rsidRPr="00182BB3">
        <w:rPr>
          <w:rFonts w:ascii="Times New Roman" w:eastAsia="Times New Roman" w:hAnsi="Times New Roman" w:cs="Times New Roman"/>
          <w:sz w:val="24"/>
          <w:szCs w:val="24"/>
        </w:rPr>
        <w:t>Inzaule</w:t>
      </w:r>
      <w:proofErr w:type="spellEnd"/>
      <w:r w:rsidRPr="00182BB3">
        <w:rPr>
          <w:rFonts w:ascii="Times New Roman" w:eastAsia="Times New Roman" w:hAnsi="Times New Roman" w:cs="Times New Roman"/>
          <w:sz w:val="24"/>
          <w:szCs w:val="24"/>
        </w:rPr>
        <w:t xml:space="preserve"> et al., 2021). Contemporary programmatic and clinical guidance treat antiretroviral therapy not as a single drug but as a sustained therapeutic strategy that requires appropriate regimen selection, adherence support, and rigorous monitoring to achieve durable viral load suppression (World Health Organization, 2022). In programmatic terms, it is the primary vehicle through which public health goals are operationalized; only consistent, effective treatment can translate enrollment in care into the biological endpoint of population level viral suppression (UNAIDS, 2024).</w:t>
      </w:r>
    </w:p>
    <w:p w14:paraId="1EB4E011" w14:textId="77777777" w:rsidR="00182BB3" w:rsidRPr="00182BB3" w:rsidRDefault="00182BB3" w:rsidP="00182BB3">
      <w:pPr>
        <w:spacing w:before="100" w:beforeAutospacing="1" w:after="100" w:afterAutospacing="1" w:line="480" w:lineRule="auto"/>
        <w:jc w:val="both"/>
        <w:rPr>
          <w:rFonts w:ascii="Times New Roman" w:eastAsia="Times New Roman" w:hAnsi="Times New Roman" w:cs="Times New Roman"/>
          <w:sz w:val="24"/>
          <w:szCs w:val="24"/>
        </w:rPr>
      </w:pPr>
      <w:r w:rsidRPr="00182BB3">
        <w:rPr>
          <w:rFonts w:ascii="Times New Roman" w:eastAsia="Times New Roman" w:hAnsi="Times New Roman" w:cs="Times New Roman"/>
          <w:sz w:val="24"/>
          <w:szCs w:val="24"/>
        </w:rPr>
        <w:t xml:space="preserve">The conceptualization of antiretroviral therapy has been refined by various global authorities and researchers to reflect its evolving role in public health. The World Health Organization (2022) defines it as the lifelong use of a combination of antiretroviral medicines to suppress HIV replication, restore immune function, and reduce HIV related mortality, emphasizing durability as its defining feature. UNAIDS (2024) frames it as the therapeutic backbone of epidemic control, focusing on its capacity as a population level prevention strategy. More technically, </w:t>
      </w:r>
      <w:proofErr w:type="spellStart"/>
      <w:r w:rsidRPr="00182BB3">
        <w:rPr>
          <w:rFonts w:ascii="Times New Roman" w:eastAsia="Times New Roman" w:hAnsi="Times New Roman" w:cs="Times New Roman"/>
          <w:sz w:val="24"/>
          <w:szCs w:val="24"/>
        </w:rPr>
        <w:t>Kanters</w:t>
      </w:r>
      <w:proofErr w:type="spellEnd"/>
      <w:r w:rsidRPr="00182BB3">
        <w:rPr>
          <w:rFonts w:ascii="Times New Roman" w:eastAsia="Times New Roman" w:hAnsi="Times New Roman" w:cs="Times New Roman"/>
          <w:sz w:val="24"/>
          <w:szCs w:val="24"/>
        </w:rPr>
        <w:t xml:space="preserve"> et al. (2020) define antiretroviral therapy as a structured combination of drug classes selected to optimize virologic efficacy while limiting the emergence of resistance. Venter et al. (2020) describe it in practical clinical terms as a standardized regimen, typically pairing two nucleoside reverse transcriptase inhibitors with an integrase strand transfer inhibitor, designed for rapid suppression.</w:t>
      </w:r>
    </w:p>
    <w:p w14:paraId="1C04A56C" w14:textId="77777777" w:rsidR="00182BB3" w:rsidRPr="00182BB3" w:rsidRDefault="00182BB3" w:rsidP="00182BB3">
      <w:pPr>
        <w:spacing w:before="100" w:beforeAutospacing="1" w:after="100" w:afterAutospacing="1" w:line="480" w:lineRule="auto"/>
        <w:jc w:val="both"/>
        <w:rPr>
          <w:rFonts w:ascii="Times New Roman" w:eastAsia="Times New Roman" w:hAnsi="Times New Roman" w:cs="Times New Roman"/>
          <w:sz w:val="24"/>
          <w:szCs w:val="24"/>
        </w:rPr>
      </w:pPr>
      <w:r w:rsidRPr="00182BB3">
        <w:rPr>
          <w:rFonts w:ascii="Times New Roman" w:eastAsia="Times New Roman" w:hAnsi="Times New Roman" w:cs="Times New Roman"/>
          <w:sz w:val="24"/>
          <w:szCs w:val="24"/>
        </w:rPr>
        <w:lastRenderedPageBreak/>
        <w:t xml:space="preserve">Furthermore, Paton et al. (2021) extend these boundaries into second line therapy, defining the intervention as an adaptive therapeutic strategy capable of maintaining suppression even after initial failure, provided it is anchored by drugs with a high genetic barrier to resistance. Finally, Chun et al. (2023) conceptualize antiretroviral therapy as a scalable intervention whose </w:t>
      </w:r>
      <w:proofErr w:type="gramStart"/>
      <w:r w:rsidRPr="00182BB3">
        <w:rPr>
          <w:rFonts w:ascii="Times New Roman" w:eastAsia="Times New Roman" w:hAnsi="Times New Roman" w:cs="Times New Roman"/>
          <w:sz w:val="24"/>
          <w:szCs w:val="24"/>
        </w:rPr>
        <w:t>real world</w:t>
      </w:r>
      <w:proofErr w:type="gramEnd"/>
      <w:r w:rsidRPr="00182BB3">
        <w:rPr>
          <w:rFonts w:ascii="Times New Roman" w:eastAsia="Times New Roman" w:hAnsi="Times New Roman" w:cs="Times New Roman"/>
          <w:sz w:val="24"/>
          <w:szCs w:val="24"/>
        </w:rPr>
        <w:t xml:space="preserve"> effectiveness is measured by retention in care and monitoring coverage.</w:t>
      </w:r>
    </w:p>
    <w:p w14:paraId="794AF161" w14:textId="77777777" w:rsidR="00182BB3" w:rsidRPr="00182BB3" w:rsidRDefault="00182BB3" w:rsidP="00182BB3">
      <w:pPr>
        <w:spacing w:before="100" w:beforeAutospacing="1" w:after="100" w:afterAutospacing="1" w:line="480" w:lineRule="auto"/>
        <w:jc w:val="both"/>
        <w:rPr>
          <w:rFonts w:ascii="Times New Roman" w:eastAsia="Times New Roman" w:hAnsi="Times New Roman" w:cs="Times New Roman"/>
          <w:sz w:val="24"/>
          <w:szCs w:val="24"/>
        </w:rPr>
      </w:pPr>
      <w:r w:rsidRPr="00182BB3">
        <w:rPr>
          <w:rFonts w:ascii="Times New Roman" w:eastAsia="Times New Roman" w:hAnsi="Times New Roman" w:cs="Times New Roman"/>
          <w:sz w:val="24"/>
          <w:szCs w:val="24"/>
        </w:rPr>
        <w:t>Recently, there has been a consequential modification of treatment protocols driven by the broad adoption of Dolutegravir. Dolutegravir is an integrase strand transfer inhibitor whose pharmacologic properties include potent antiviral activity, once daily dosing, and a high genetic barrier to resistance (World Health Organization, 2022). Significant clinical trials, such as the ADVANCE and NAMSAL studies, have provided definitive evidence that Dolutegravir based first line regimens produce superior rates of viral suppression compared to older Efavirenz based regimens (Calmy et al., 2020; Venter et al., 2020). Programmatic analyses in the Nigerian context, specifically recent cohort evaluations by Tomescu et al. (2023), confirm that the widescale transition to the Tenofovir Lamivudine Dolutegravir fixed dose combination has been associated with rapid improvements in cohort suppression. This high genetic barrier reduces the probability that single mutations will lead to treatment failure, thereby prolonging the clinical durability of first line regimens in settings like Plateau State where access to routine resistance testing is often limited.</w:t>
      </w:r>
    </w:p>
    <w:p w14:paraId="4B1B0B93" w14:textId="77777777" w:rsidR="00182BB3" w:rsidRPr="00182BB3" w:rsidRDefault="00182BB3" w:rsidP="00182BB3">
      <w:pPr>
        <w:spacing w:before="100" w:beforeAutospacing="1" w:after="100" w:afterAutospacing="1" w:line="480" w:lineRule="auto"/>
        <w:jc w:val="both"/>
        <w:rPr>
          <w:rFonts w:ascii="Times New Roman" w:eastAsia="Times New Roman" w:hAnsi="Times New Roman" w:cs="Times New Roman"/>
          <w:sz w:val="24"/>
          <w:szCs w:val="24"/>
        </w:rPr>
      </w:pPr>
      <w:r w:rsidRPr="00182BB3">
        <w:rPr>
          <w:rFonts w:ascii="Times New Roman" w:eastAsia="Times New Roman" w:hAnsi="Times New Roman" w:cs="Times New Roman"/>
          <w:sz w:val="24"/>
          <w:szCs w:val="24"/>
        </w:rPr>
        <w:t xml:space="preserve">Despite these pharmacological advantages, the Dolutegravir transition carries important caveats relevant to any multilevel analysis of viral load suppression. Observational data from the ADVANCE trial and subsequent programmatic reports have signaled significant weight gain and metabolic concerns associated with Dolutegravir, which may impact long term adherence and </w:t>
      </w:r>
      <w:r w:rsidRPr="00182BB3">
        <w:rPr>
          <w:rFonts w:ascii="Times New Roman" w:eastAsia="Times New Roman" w:hAnsi="Times New Roman" w:cs="Times New Roman"/>
          <w:sz w:val="24"/>
          <w:szCs w:val="24"/>
        </w:rPr>
        <w:lastRenderedPageBreak/>
        <w:t xml:space="preserve">cardiovascular health (Venter et al., 2020). Furthermore, while resistance is rare, instances of integrase resistance have been documented under conditions of extreme treatment interruption or suboptimal drug supply (Paton et al., 2021). Crucially, the improved suppression probabilities offered by Dolutegravir do not eliminate the influence of </w:t>
      </w:r>
      <w:proofErr w:type="spellStart"/>
      <w:r w:rsidRPr="00182BB3">
        <w:rPr>
          <w:rFonts w:ascii="Times New Roman" w:eastAsia="Times New Roman" w:hAnsi="Times New Roman" w:cs="Times New Roman"/>
          <w:sz w:val="24"/>
          <w:szCs w:val="24"/>
        </w:rPr>
        <w:t>non pharmacologic</w:t>
      </w:r>
      <w:proofErr w:type="spellEnd"/>
      <w:r w:rsidRPr="00182BB3">
        <w:rPr>
          <w:rFonts w:ascii="Times New Roman" w:eastAsia="Times New Roman" w:hAnsi="Times New Roman" w:cs="Times New Roman"/>
          <w:sz w:val="24"/>
          <w:szCs w:val="24"/>
        </w:rPr>
        <w:t xml:space="preserve"> determinants. Adherence behavior, facility level systems, and social determinants continue to dictate who actually achieves and sustains suppression. In essence, while Dolutegravir materially increases the biological likelihood of success, the realization of that potential remains strictly dependent on the multilevel institutional supports aligned with the Adapted Social Ecological Model guiding this thesis.</w:t>
      </w:r>
    </w:p>
    <w:p w14:paraId="6797F19F" w14:textId="77777777" w:rsidR="00182BB3" w:rsidRDefault="00182BB3" w:rsidP="00182BB3">
      <w:pPr>
        <w:spacing w:before="100" w:beforeAutospacing="1" w:after="100" w:afterAutospacing="1" w:line="480" w:lineRule="auto"/>
        <w:jc w:val="both"/>
        <w:rPr>
          <w:rFonts w:ascii="Times New Roman" w:eastAsia="Times New Roman" w:hAnsi="Times New Roman" w:cs="Times New Roman"/>
          <w:sz w:val="24"/>
          <w:szCs w:val="24"/>
        </w:rPr>
      </w:pPr>
      <w:r w:rsidRPr="00182BB3">
        <w:rPr>
          <w:rFonts w:ascii="Times New Roman" w:eastAsia="Times New Roman" w:hAnsi="Times New Roman" w:cs="Times New Roman"/>
          <w:sz w:val="24"/>
          <w:szCs w:val="24"/>
        </w:rPr>
        <w:t>For the purposes of this study, and consistent with contemporary programmatic guidance, this research treats antiretroviral therapy as a combined drug strategy intended to achieve and maintain viral load suppression through appropriate regimen selection and monitoring. Practically, the therapy in this analysis is operationalized both as a binary exposure comparing Dolutegravir based regimens versus older regimens, and as specific regimen categories. By recognizing the distinct pharmacologic advantages of Dolutegravir, the study includes regimen type as a key clinical covariate to examine whether the shift to this optimized medication modifies the associations between individual level behaviors, facility level characteristics, and the ultimate attainment of v</w:t>
      </w:r>
      <w:r w:rsidR="00B23B86">
        <w:rPr>
          <w:rFonts w:ascii="Times New Roman" w:eastAsia="Times New Roman" w:hAnsi="Times New Roman" w:cs="Times New Roman"/>
          <w:sz w:val="24"/>
          <w:szCs w:val="24"/>
        </w:rPr>
        <w:t>iral load suppression.</w:t>
      </w:r>
    </w:p>
    <w:p w14:paraId="4B1D5E31" w14:textId="77777777" w:rsidR="00B23B86" w:rsidRPr="00B23B86" w:rsidRDefault="00B23B86" w:rsidP="00B23B86">
      <w:pPr>
        <w:spacing w:before="100" w:beforeAutospacing="1" w:after="100" w:afterAutospacing="1" w:line="480" w:lineRule="auto"/>
        <w:jc w:val="both"/>
        <w:rPr>
          <w:rFonts w:ascii="Times New Roman" w:eastAsia="Times New Roman" w:hAnsi="Times New Roman" w:cs="Times New Roman"/>
          <w:b/>
          <w:bCs/>
          <w:sz w:val="24"/>
          <w:szCs w:val="24"/>
        </w:rPr>
      </w:pPr>
      <w:r w:rsidRPr="00B23B86">
        <w:rPr>
          <w:rFonts w:ascii="Times New Roman" w:eastAsia="Times New Roman" w:hAnsi="Times New Roman" w:cs="Times New Roman"/>
          <w:b/>
          <w:bCs/>
          <w:sz w:val="24"/>
          <w:szCs w:val="24"/>
        </w:rPr>
        <w:t>1.2.1.3 Empirical Review</w:t>
      </w:r>
    </w:p>
    <w:p w14:paraId="40B35A30" w14:textId="77777777" w:rsidR="00B23B86" w:rsidRPr="00B23B86" w:rsidRDefault="00B23B86" w:rsidP="00B23B86">
      <w:pPr>
        <w:spacing w:before="100" w:beforeAutospacing="1" w:after="100" w:afterAutospacing="1" w:line="480" w:lineRule="auto"/>
        <w:jc w:val="both"/>
        <w:rPr>
          <w:rFonts w:ascii="Times New Roman" w:eastAsia="Times New Roman" w:hAnsi="Times New Roman" w:cs="Times New Roman"/>
          <w:sz w:val="24"/>
          <w:szCs w:val="24"/>
        </w:rPr>
      </w:pPr>
      <w:r w:rsidRPr="00B23B86">
        <w:rPr>
          <w:rFonts w:ascii="Times New Roman" w:eastAsia="Times New Roman" w:hAnsi="Times New Roman" w:cs="Times New Roman"/>
          <w:sz w:val="24"/>
          <w:szCs w:val="24"/>
        </w:rPr>
        <w:t xml:space="preserve">This section provides a critical synthesis of the empirical literature regarding viral load suppression. Moving beyond a mere chronological catalogue of past studies, this review is structured to evaluate the existing evidence base, highlight consistent predictors of treatment </w:t>
      </w:r>
      <w:r w:rsidRPr="00B23B86">
        <w:rPr>
          <w:rFonts w:ascii="Times New Roman" w:eastAsia="Times New Roman" w:hAnsi="Times New Roman" w:cs="Times New Roman"/>
          <w:sz w:val="24"/>
          <w:szCs w:val="24"/>
        </w:rPr>
        <w:lastRenderedPageBreak/>
        <w:t>success, and pinpoint the precise methodological and contextual gaps that the present investigation addresses.</w:t>
      </w:r>
    </w:p>
    <w:p w14:paraId="3B97BBDA" w14:textId="77777777" w:rsidR="00B23B86" w:rsidRPr="00B23B86" w:rsidRDefault="00B23B86" w:rsidP="00B23B86">
      <w:pPr>
        <w:spacing w:before="100" w:beforeAutospacing="1" w:after="100" w:afterAutospacing="1" w:line="480" w:lineRule="auto"/>
        <w:jc w:val="both"/>
        <w:rPr>
          <w:rFonts w:ascii="Times New Roman" w:eastAsia="Times New Roman" w:hAnsi="Times New Roman" w:cs="Times New Roman"/>
          <w:sz w:val="24"/>
          <w:szCs w:val="24"/>
        </w:rPr>
      </w:pPr>
      <w:r w:rsidRPr="00B23B86">
        <w:rPr>
          <w:rFonts w:ascii="Times New Roman" w:eastAsia="Times New Roman" w:hAnsi="Times New Roman" w:cs="Times New Roman"/>
          <w:b/>
          <w:bCs/>
          <w:sz w:val="24"/>
          <w:szCs w:val="24"/>
        </w:rPr>
        <w:t>1.2.1.3.1 Global and National Trends in Viral Load Suppression</w:t>
      </w:r>
    </w:p>
    <w:p w14:paraId="470E80EC" w14:textId="77777777" w:rsidR="00B23B86" w:rsidRPr="00B23B86" w:rsidRDefault="00B23B86" w:rsidP="00B23B86">
      <w:pPr>
        <w:spacing w:before="100" w:beforeAutospacing="1" w:after="100" w:afterAutospacing="1" w:line="480" w:lineRule="auto"/>
        <w:jc w:val="both"/>
        <w:rPr>
          <w:rFonts w:ascii="Times New Roman" w:eastAsia="Times New Roman" w:hAnsi="Times New Roman" w:cs="Times New Roman"/>
          <w:sz w:val="24"/>
          <w:szCs w:val="24"/>
        </w:rPr>
      </w:pPr>
      <w:r w:rsidRPr="00B23B86">
        <w:rPr>
          <w:rFonts w:ascii="Times New Roman" w:eastAsia="Times New Roman" w:hAnsi="Times New Roman" w:cs="Times New Roman"/>
          <w:sz w:val="24"/>
          <w:szCs w:val="24"/>
        </w:rPr>
        <w:t>The global movement toward the UNAIDS 95, 95, 95 targets has generated a substantial body of empirical scholarship seeking to answer a fundamental question: why do some regions move steadily toward epidemic control while others continue to struggle at the final stage of the care cascade? Viral load suppression represents the clearest biological confirmation that treatment systems are functioning as intended. It signals not only that antiretroviral therapy has been prescribed, but that it has been accessed consistently, adhered to adequately, monitored effectively, and supported within a health system capable of sustaining long term care. For this reason, reviewing global and national trends is essential to situating the present study within the broader scientific and policy discourse.</w:t>
      </w:r>
    </w:p>
    <w:p w14:paraId="1274B8B3" w14:textId="77777777" w:rsidR="00B23B86" w:rsidRPr="00B23B86" w:rsidRDefault="00B23B86" w:rsidP="00B23B86">
      <w:pPr>
        <w:spacing w:before="100" w:beforeAutospacing="1" w:after="100" w:afterAutospacing="1" w:line="480" w:lineRule="auto"/>
        <w:jc w:val="both"/>
        <w:rPr>
          <w:rFonts w:ascii="Times New Roman" w:eastAsia="Times New Roman" w:hAnsi="Times New Roman" w:cs="Times New Roman"/>
          <w:sz w:val="24"/>
          <w:szCs w:val="24"/>
        </w:rPr>
      </w:pPr>
      <w:r w:rsidRPr="00B23B86">
        <w:rPr>
          <w:rFonts w:ascii="Times New Roman" w:eastAsia="Times New Roman" w:hAnsi="Times New Roman" w:cs="Times New Roman"/>
          <w:sz w:val="24"/>
          <w:szCs w:val="24"/>
        </w:rPr>
        <w:t>The most recent global synthesis, presented in the UNAIDS Global AIDS Update (2024), describes the current moment as decisive for the trajectory of the epidemic. While overall progress toward the final target has improved substantially over the past decade, the report reveals profound geographic inequalities. Countries in Eastern and Southern Africa, including Botswana, Eswatini, and Rwanda, have either achieved or surpassed the benchmark. In these settings, viral suppression among individuals on treatment has reached levels consistent with epidemic control.</w:t>
      </w:r>
    </w:p>
    <w:p w14:paraId="22DE7223" w14:textId="77777777" w:rsidR="00B23B86" w:rsidRPr="00B23B86" w:rsidRDefault="00B23B86" w:rsidP="00B23B86">
      <w:pPr>
        <w:spacing w:before="100" w:beforeAutospacing="1" w:after="100" w:afterAutospacing="1" w:line="480" w:lineRule="auto"/>
        <w:jc w:val="both"/>
        <w:rPr>
          <w:rFonts w:ascii="Times New Roman" w:eastAsia="Times New Roman" w:hAnsi="Times New Roman" w:cs="Times New Roman"/>
          <w:sz w:val="24"/>
          <w:szCs w:val="24"/>
        </w:rPr>
      </w:pPr>
      <w:r w:rsidRPr="00B23B86">
        <w:rPr>
          <w:rFonts w:ascii="Times New Roman" w:eastAsia="Times New Roman" w:hAnsi="Times New Roman" w:cs="Times New Roman"/>
          <w:sz w:val="24"/>
          <w:szCs w:val="24"/>
        </w:rPr>
        <w:t xml:space="preserve">By contrast, West and Central Africa continue to lag behind, with only about 70 percent of all people living with HIV in this region virally suppressed by 2023. Nigeria, which carries one of the largest HIV burdens globally, remains central to this regional disparity. The report emphasizes that </w:t>
      </w:r>
      <w:r w:rsidRPr="00B23B86">
        <w:rPr>
          <w:rFonts w:ascii="Times New Roman" w:eastAsia="Times New Roman" w:hAnsi="Times New Roman" w:cs="Times New Roman"/>
          <w:sz w:val="24"/>
          <w:szCs w:val="24"/>
        </w:rPr>
        <w:lastRenderedPageBreak/>
        <w:t>the principal constraint is no longer the efficacy of antiretroviral regimens but the capacity of health systems to deliver and sustain them. It further notes Nigeria’s continued reliance on external donor funding, raising concerns about long term sustainability as global suppression among those actively on treatment approached 94 percent by late 2024 (UNAIDS, 2024).</w:t>
      </w:r>
    </w:p>
    <w:p w14:paraId="4ACD6AA7" w14:textId="77777777" w:rsidR="00B23B86" w:rsidRPr="00B23B86" w:rsidRDefault="00B23B86" w:rsidP="00B23B86">
      <w:pPr>
        <w:spacing w:before="100" w:beforeAutospacing="1" w:after="100" w:afterAutospacing="1" w:line="480" w:lineRule="auto"/>
        <w:jc w:val="both"/>
        <w:rPr>
          <w:rFonts w:ascii="Times New Roman" w:eastAsia="Times New Roman" w:hAnsi="Times New Roman" w:cs="Times New Roman"/>
          <w:sz w:val="24"/>
          <w:szCs w:val="24"/>
        </w:rPr>
      </w:pPr>
      <w:r w:rsidRPr="00B23B86">
        <w:rPr>
          <w:rFonts w:ascii="Times New Roman" w:eastAsia="Times New Roman" w:hAnsi="Times New Roman" w:cs="Times New Roman"/>
          <w:sz w:val="24"/>
          <w:szCs w:val="24"/>
        </w:rPr>
        <w:t>This strategic landscape is analytically expanded by Gunaratne et al. (2025) in their synthesis of global HIV care cascade data. Modeling the impact of donor funding disruptions on viral suppression using South African cohorts, the researchers demonstrated that Dolutegravir based therapy improved suppression from 86.4 percent in 2011 to 95 percent by 2022. However, their evaluation highlights that current care retention metrics frequently overestimate patient engagement. By utilizing predictive modeling to identify disengagement, they demonstrated that low barrier clinics can boost suppression among high risk groups significantly. This establishes that sustaining suppression during a donor transition requires advancing beyond traditional clinical models.</w:t>
      </w:r>
    </w:p>
    <w:p w14:paraId="45815C83" w14:textId="77777777" w:rsidR="00B23B86" w:rsidRPr="00B23B86" w:rsidRDefault="00B23B86" w:rsidP="00B23B86">
      <w:pPr>
        <w:spacing w:before="100" w:beforeAutospacing="1" w:after="100" w:afterAutospacing="1" w:line="480" w:lineRule="auto"/>
        <w:jc w:val="both"/>
        <w:rPr>
          <w:rFonts w:ascii="Times New Roman" w:eastAsia="Times New Roman" w:hAnsi="Times New Roman" w:cs="Times New Roman"/>
          <w:sz w:val="24"/>
          <w:szCs w:val="24"/>
        </w:rPr>
      </w:pPr>
      <w:r w:rsidRPr="00B23B86">
        <w:rPr>
          <w:rFonts w:ascii="Times New Roman" w:eastAsia="Times New Roman" w:hAnsi="Times New Roman" w:cs="Times New Roman"/>
          <w:sz w:val="24"/>
          <w:szCs w:val="24"/>
        </w:rPr>
        <w:t xml:space="preserve">The biological potential of modern regimens is further confirmed by Girón Callejas et al. (2025), who evaluated the performance of first line Dolutegravir based therapy across 22 programmatic settings in 13 </w:t>
      </w:r>
      <w:proofErr w:type="gramStart"/>
      <w:r w:rsidRPr="00B23B86">
        <w:rPr>
          <w:rFonts w:ascii="Times New Roman" w:eastAsia="Times New Roman" w:hAnsi="Times New Roman" w:cs="Times New Roman"/>
          <w:sz w:val="24"/>
          <w:szCs w:val="24"/>
        </w:rPr>
        <w:t>low and middle income</w:t>
      </w:r>
      <w:proofErr w:type="gramEnd"/>
      <w:r w:rsidRPr="00B23B86">
        <w:rPr>
          <w:rFonts w:ascii="Times New Roman" w:eastAsia="Times New Roman" w:hAnsi="Times New Roman" w:cs="Times New Roman"/>
          <w:sz w:val="24"/>
          <w:szCs w:val="24"/>
        </w:rPr>
        <w:t xml:space="preserve"> countries. Their </w:t>
      </w:r>
      <w:proofErr w:type="spellStart"/>
      <w:r w:rsidRPr="00B23B86">
        <w:rPr>
          <w:rFonts w:ascii="Times New Roman" w:eastAsia="Times New Roman" w:hAnsi="Times New Roman" w:cs="Times New Roman"/>
          <w:sz w:val="24"/>
          <w:szCs w:val="24"/>
        </w:rPr>
        <w:t>meta analysis</w:t>
      </w:r>
      <w:proofErr w:type="spellEnd"/>
      <w:r w:rsidRPr="00B23B86">
        <w:rPr>
          <w:rFonts w:ascii="Times New Roman" w:eastAsia="Times New Roman" w:hAnsi="Times New Roman" w:cs="Times New Roman"/>
          <w:sz w:val="24"/>
          <w:szCs w:val="24"/>
        </w:rPr>
        <w:t xml:space="preserve"> reported exceptional on treatment suppression rates of 98 percent at 24 months. Notably, patients transitioning from older regimens achieved higher early suppression than treatment naive initiators. Despite this high biological efficacy, the intention to treat suppression rate was notably lower at 89 percent. This finding confirms that while the regimen is highly potent, the </w:t>
      </w:r>
      <w:proofErr w:type="gramStart"/>
      <w:r w:rsidRPr="00B23B86">
        <w:rPr>
          <w:rFonts w:ascii="Times New Roman" w:eastAsia="Times New Roman" w:hAnsi="Times New Roman" w:cs="Times New Roman"/>
          <w:sz w:val="24"/>
          <w:szCs w:val="24"/>
        </w:rPr>
        <w:t>real world</w:t>
      </w:r>
      <w:proofErr w:type="gramEnd"/>
      <w:r w:rsidRPr="00B23B86">
        <w:rPr>
          <w:rFonts w:ascii="Times New Roman" w:eastAsia="Times New Roman" w:hAnsi="Times New Roman" w:cs="Times New Roman"/>
          <w:sz w:val="24"/>
          <w:szCs w:val="24"/>
        </w:rPr>
        <w:t xml:space="preserve"> public health impact remains heavily constrained by patient retention.</w:t>
      </w:r>
    </w:p>
    <w:p w14:paraId="0EC6F13F" w14:textId="77777777" w:rsidR="00B23B86" w:rsidRPr="00B23B86" w:rsidRDefault="00B23B86" w:rsidP="00B23B86">
      <w:pPr>
        <w:spacing w:before="100" w:beforeAutospacing="1" w:after="100" w:afterAutospacing="1" w:line="480" w:lineRule="auto"/>
        <w:jc w:val="both"/>
        <w:rPr>
          <w:rFonts w:ascii="Times New Roman" w:eastAsia="Times New Roman" w:hAnsi="Times New Roman" w:cs="Times New Roman"/>
          <w:sz w:val="24"/>
          <w:szCs w:val="24"/>
        </w:rPr>
      </w:pPr>
      <w:r w:rsidRPr="00B23B86">
        <w:rPr>
          <w:rFonts w:ascii="Times New Roman" w:eastAsia="Times New Roman" w:hAnsi="Times New Roman" w:cs="Times New Roman"/>
          <w:sz w:val="24"/>
          <w:szCs w:val="24"/>
        </w:rPr>
        <w:lastRenderedPageBreak/>
        <w:t>Beyond global reporting, empirical studies have rigorously examined the stability and durability of viral suppression within national programs. Haeri Mazanderani et al. (2023a), in their evaluation of the South African national program, investigated the persistence of viral suppression over time among large routine cohorts. Using national laboratory data, the study demonstrated that while modern regimens make initial suppression highly attainable, approximately 18 percent of patients experienced viral rebound within 12 months due to service disruptions, mobility, and gaps in clinical follow up. They concluded that biological potency alone does not guarantee durable epidemic control; system resilience and continuity of care are equally decisive. Similarly, Blandford et al. (2022) assessed suppression trends across 11 sub Saharan African countries, revealing that outcomes varied considerably based on health system fragmentation, internal migration, and laboratory coverage. In settings characterized by high mobility and weaker monitoring infrastructure, suppression rates stagnated despite increased treatment enrollment.</w:t>
      </w:r>
    </w:p>
    <w:p w14:paraId="0121C7B2" w14:textId="77777777" w:rsidR="00B23B86" w:rsidRPr="00B23B86" w:rsidRDefault="00B23B86" w:rsidP="00B23B86">
      <w:pPr>
        <w:spacing w:before="100" w:beforeAutospacing="1" w:after="100" w:afterAutospacing="1" w:line="480" w:lineRule="auto"/>
        <w:jc w:val="both"/>
        <w:rPr>
          <w:rFonts w:ascii="Times New Roman" w:eastAsia="Times New Roman" w:hAnsi="Times New Roman" w:cs="Times New Roman"/>
          <w:sz w:val="24"/>
          <w:szCs w:val="24"/>
        </w:rPr>
      </w:pPr>
      <w:r w:rsidRPr="00B23B86">
        <w:rPr>
          <w:rFonts w:ascii="Times New Roman" w:eastAsia="Times New Roman" w:hAnsi="Times New Roman" w:cs="Times New Roman"/>
          <w:sz w:val="24"/>
          <w:szCs w:val="24"/>
        </w:rPr>
        <w:t xml:space="preserve">The technical dimension of viral load monitoring is a critical pillar of this discourse. </w:t>
      </w:r>
      <w:proofErr w:type="spellStart"/>
      <w:r w:rsidRPr="00B23B86">
        <w:rPr>
          <w:rFonts w:ascii="Times New Roman" w:eastAsia="Times New Roman" w:hAnsi="Times New Roman" w:cs="Times New Roman"/>
          <w:sz w:val="24"/>
          <w:szCs w:val="24"/>
        </w:rPr>
        <w:t>Inzaule</w:t>
      </w:r>
      <w:proofErr w:type="spellEnd"/>
      <w:r w:rsidRPr="00B23B86">
        <w:rPr>
          <w:rFonts w:ascii="Times New Roman" w:eastAsia="Times New Roman" w:hAnsi="Times New Roman" w:cs="Times New Roman"/>
          <w:sz w:val="24"/>
          <w:szCs w:val="24"/>
        </w:rPr>
        <w:t xml:space="preserve"> et al. (2021) conducted an extensive review of viral load testing capacity in sub Saharan Africa, highlighting improvements in test availability but identifying persistent weaknesses in turnaround times and rural coverage gaps. They argued that without robust and timely viral load monitoring systems, suppression rates may be inaccurately estimated and treatment failure may go undetected. Consequently, laboratory infrastructure forms the structural backbone of credible epidemic control measurement.</w:t>
      </w:r>
    </w:p>
    <w:p w14:paraId="07F6A7EC" w14:textId="77777777" w:rsidR="00B23B86" w:rsidRPr="00B23B86" w:rsidRDefault="00B23B86" w:rsidP="00B23B86">
      <w:pPr>
        <w:spacing w:before="100" w:beforeAutospacing="1" w:after="100" w:afterAutospacing="1" w:line="480" w:lineRule="auto"/>
        <w:jc w:val="both"/>
        <w:rPr>
          <w:rFonts w:ascii="Times New Roman" w:eastAsia="Times New Roman" w:hAnsi="Times New Roman" w:cs="Times New Roman"/>
          <w:sz w:val="24"/>
          <w:szCs w:val="24"/>
        </w:rPr>
      </w:pPr>
      <w:r w:rsidRPr="00B23B86">
        <w:rPr>
          <w:rFonts w:ascii="Times New Roman" w:eastAsia="Times New Roman" w:hAnsi="Times New Roman" w:cs="Times New Roman"/>
          <w:sz w:val="24"/>
          <w:szCs w:val="24"/>
        </w:rPr>
        <w:t xml:space="preserve">Instructional benchmarks for coordinated policy are provided by the Eastern African experience. </w:t>
      </w:r>
      <w:proofErr w:type="spellStart"/>
      <w:r w:rsidRPr="00B23B86">
        <w:rPr>
          <w:rFonts w:ascii="Times New Roman" w:eastAsia="Times New Roman" w:hAnsi="Times New Roman" w:cs="Times New Roman"/>
          <w:sz w:val="24"/>
          <w:szCs w:val="24"/>
        </w:rPr>
        <w:t>Kwarisiima</w:t>
      </w:r>
      <w:proofErr w:type="spellEnd"/>
      <w:r w:rsidRPr="00B23B86">
        <w:rPr>
          <w:rFonts w:ascii="Times New Roman" w:eastAsia="Times New Roman" w:hAnsi="Times New Roman" w:cs="Times New Roman"/>
          <w:sz w:val="24"/>
          <w:szCs w:val="24"/>
        </w:rPr>
        <w:t xml:space="preserve"> et al. (2021), reporting on the SEARCH trial in Kenya and Uganda, evaluated a community based, multi disease approach to universal HIV testing and treatment. Using a cluster </w:t>
      </w:r>
      <w:r w:rsidRPr="00B23B86">
        <w:rPr>
          <w:rFonts w:ascii="Times New Roman" w:eastAsia="Times New Roman" w:hAnsi="Times New Roman" w:cs="Times New Roman"/>
          <w:sz w:val="24"/>
          <w:szCs w:val="24"/>
        </w:rPr>
        <w:lastRenderedPageBreak/>
        <w:t>randomized design, the study demonstrated substantial improvements in population level viral suppression within two years. The integration of HIV services into broader health interventions reduced stigma and enhanced retention, suggesting that patient centered, community anchored models can produce significant suppression gains even in rural and resource constrained settings.</w:t>
      </w:r>
    </w:p>
    <w:p w14:paraId="1C94BB51" w14:textId="77777777" w:rsidR="00B23B86" w:rsidRPr="00B23B86" w:rsidRDefault="00B23B86" w:rsidP="00B23B86">
      <w:pPr>
        <w:spacing w:before="100" w:beforeAutospacing="1" w:after="100" w:afterAutospacing="1" w:line="480" w:lineRule="auto"/>
        <w:jc w:val="both"/>
        <w:rPr>
          <w:rFonts w:ascii="Times New Roman" w:eastAsia="Times New Roman" w:hAnsi="Times New Roman" w:cs="Times New Roman"/>
          <w:sz w:val="24"/>
          <w:szCs w:val="24"/>
        </w:rPr>
      </w:pPr>
      <w:r w:rsidRPr="00B23B86">
        <w:rPr>
          <w:rFonts w:ascii="Times New Roman" w:eastAsia="Times New Roman" w:hAnsi="Times New Roman" w:cs="Times New Roman"/>
          <w:sz w:val="24"/>
          <w:szCs w:val="24"/>
        </w:rPr>
        <w:t xml:space="preserve">In contrast, the trajectory of Nigeria reflects a more complex and uneven pattern, shaped significantly by local health system realities. </w:t>
      </w:r>
      <w:proofErr w:type="spellStart"/>
      <w:r w:rsidRPr="00B23B86">
        <w:rPr>
          <w:rFonts w:ascii="Times New Roman" w:eastAsia="Times New Roman" w:hAnsi="Times New Roman" w:cs="Times New Roman"/>
          <w:sz w:val="24"/>
          <w:szCs w:val="24"/>
        </w:rPr>
        <w:t>Ogunyinka</w:t>
      </w:r>
      <w:proofErr w:type="spellEnd"/>
      <w:r w:rsidRPr="00B23B86">
        <w:rPr>
          <w:rFonts w:ascii="Times New Roman" w:eastAsia="Times New Roman" w:hAnsi="Times New Roman" w:cs="Times New Roman"/>
          <w:sz w:val="24"/>
          <w:szCs w:val="24"/>
        </w:rPr>
        <w:t xml:space="preserve"> et al. (2026), in a comprehensive evaluation of predictors of viral suppression among Nigerian adults, demonstrated that despite the availability of potent regimens, achieving the global suppression targets is hindered by delayed diagnosis and inconsistent clinic attendance. Similarly, </w:t>
      </w:r>
      <w:proofErr w:type="spellStart"/>
      <w:r w:rsidRPr="00B23B86">
        <w:rPr>
          <w:rFonts w:ascii="Times New Roman" w:eastAsia="Times New Roman" w:hAnsi="Times New Roman" w:cs="Times New Roman"/>
          <w:sz w:val="24"/>
          <w:szCs w:val="24"/>
        </w:rPr>
        <w:t>Abudiore</w:t>
      </w:r>
      <w:proofErr w:type="spellEnd"/>
      <w:r w:rsidRPr="00B23B86">
        <w:rPr>
          <w:rFonts w:ascii="Times New Roman" w:eastAsia="Times New Roman" w:hAnsi="Times New Roman" w:cs="Times New Roman"/>
          <w:sz w:val="24"/>
          <w:szCs w:val="24"/>
        </w:rPr>
        <w:t xml:space="preserve"> et al. (2023) assessed the rollout of Dolutegravir based regimens across Nigerian facilities, confirming high biological efficacy but noting that programmatic success relies heavily on resolving facility level constraints such as drug stockouts and patient monitoring gaps.</w:t>
      </w:r>
    </w:p>
    <w:p w14:paraId="10E2C258" w14:textId="77777777" w:rsidR="00B23B86" w:rsidRPr="00B23B86" w:rsidRDefault="00B23B86" w:rsidP="00B23B86">
      <w:pPr>
        <w:spacing w:before="100" w:beforeAutospacing="1" w:after="100" w:afterAutospacing="1" w:line="480" w:lineRule="auto"/>
        <w:jc w:val="both"/>
        <w:rPr>
          <w:rFonts w:ascii="Times New Roman" w:eastAsia="Times New Roman" w:hAnsi="Times New Roman" w:cs="Times New Roman"/>
          <w:sz w:val="24"/>
          <w:szCs w:val="24"/>
        </w:rPr>
      </w:pPr>
      <w:r w:rsidRPr="00B23B86">
        <w:rPr>
          <w:rFonts w:ascii="Times New Roman" w:eastAsia="Times New Roman" w:hAnsi="Times New Roman" w:cs="Times New Roman"/>
          <w:sz w:val="24"/>
          <w:szCs w:val="24"/>
        </w:rPr>
        <w:t xml:space="preserve">National programmatic analyses strongly reinforce these concerns. According to the National Agency for the Control of AIDS (2025), Nigeria has recorded improvements in viral suppression, yet the transition from enrollment to confirmed suppression remains the most fragile segment of the clinical cascade. Tomescu et al. (2023), analyzing large scale routine data from Nigerian cohorts, reported significant attrition between the second and third UNAIDS targets. Their study highlighted substantial inter facility variability, formally suggesting that suppression outcomes are shaped heavily by institutional context. </w:t>
      </w:r>
      <w:proofErr w:type="spellStart"/>
      <w:r w:rsidRPr="00B23B86">
        <w:rPr>
          <w:rFonts w:ascii="Times New Roman" w:eastAsia="Times New Roman" w:hAnsi="Times New Roman" w:cs="Times New Roman"/>
          <w:sz w:val="24"/>
          <w:szCs w:val="24"/>
        </w:rPr>
        <w:t>Obasa</w:t>
      </w:r>
      <w:proofErr w:type="spellEnd"/>
      <w:r w:rsidRPr="00B23B86">
        <w:rPr>
          <w:rFonts w:ascii="Times New Roman" w:eastAsia="Times New Roman" w:hAnsi="Times New Roman" w:cs="Times New Roman"/>
          <w:sz w:val="24"/>
          <w:szCs w:val="24"/>
        </w:rPr>
        <w:t xml:space="preserve"> et al. (2024) further demonstrated that even when unsuppressed patients are placed on enhanced adherence counseling, virologic </w:t>
      </w:r>
      <w:proofErr w:type="spellStart"/>
      <w:r w:rsidRPr="00B23B86">
        <w:rPr>
          <w:rFonts w:ascii="Times New Roman" w:eastAsia="Times New Roman" w:hAnsi="Times New Roman" w:cs="Times New Roman"/>
          <w:sz w:val="24"/>
          <w:szCs w:val="24"/>
        </w:rPr>
        <w:t>resuppression</w:t>
      </w:r>
      <w:proofErr w:type="spellEnd"/>
      <w:r w:rsidRPr="00B23B86">
        <w:rPr>
          <w:rFonts w:ascii="Times New Roman" w:eastAsia="Times New Roman" w:hAnsi="Times New Roman" w:cs="Times New Roman"/>
          <w:sz w:val="24"/>
          <w:szCs w:val="24"/>
        </w:rPr>
        <w:t xml:space="preserve"> remains highly dependent on age dynamics and the specific tier of the healthcare facility providing the intervention.</w:t>
      </w:r>
    </w:p>
    <w:p w14:paraId="664676BB" w14:textId="77777777" w:rsidR="00B23B86" w:rsidRPr="00B23B86" w:rsidRDefault="00B23B86" w:rsidP="00B23B86">
      <w:pPr>
        <w:spacing w:before="100" w:beforeAutospacing="1" w:after="100" w:afterAutospacing="1" w:line="480" w:lineRule="auto"/>
        <w:jc w:val="both"/>
        <w:rPr>
          <w:rFonts w:ascii="Times New Roman" w:eastAsia="Times New Roman" w:hAnsi="Times New Roman" w:cs="Times New Roman"/>
          <w:sz w:val="24"/>
          <w:szCs w:val="24"/>
        </w:rPr>
      </w:pPr>
      <w:r w:rsidRPr="00B23B86">
        <w:rPr>
          <w:rFonts w:ascii="Times New Roman" w:eastAsia="Times New Roman" w:hAnsi="Times New Roman" w:cs="Times New Roman"/>
          <w:sz w:val="24"/>
          <w:szCs w:val="24"/>
        </w:rPr>
        <w:lastRenderedPageBreak/>
        <w:t xml:space="preserve">Localized predictors within Northern Nigeria further clarify these systemic challenges. Within Plateau State specifically, subnational analyses reveal that aggregate state statistics obscure meaningful facility level variation. Osayi et al. (2024) investigated internalized stigma among adolescents and young adults receiving care at the Faith Alive Foundation in Jos, Plateau State. Their findings emphasized that while biological regimens are standard, localized psychosocial burdens heavily influence treatment engagement. Additionally, </w:t>
      </w:r>
      <w:proofErr w:type="spellStart"/>
      <w:r w:rsidRPr="00B23B86">
        <w:rPr>
          <w:rFonts w:ascii="Times New Roman" w:eastAsia="Times New Roman" w:hAnsi="Times New Roman" w:cs="Times New Roman"/>
          <w:sz w:val="24"/>
          <w:szCs w:val="24"/>
        </w:rPr>
        <w:t>Ojeh</w:t>
      </w:r>
      <w:proofErr w:type="spellEnd"/>
      <w:r w:rsidRPr="00B23B86">
        <w:rPr>
          <w:rFonts w:ascii="Times New Roman" w:eastAsia="Times New Roman" w:hAnsi="Times New Roman" w:cs="Times New Roman"/>
          <w:sz w:val="24"/>
          <w:szCs w:val="24"/>
        </w:rPr>
        <w:t xml:space="preserve"> et al. (2022) found that facility type and service organization directly influenced clinical outcomes, indicating that the tier of care and the quality of patient provider interaction are fundamental determinants of success.</w:t>
      </w:r>
    </w:p>
    <w:p w14:paraId="3845D470" w14:textId="77777777" w:rsidR="00B23B86" w:rsidRPr="00B23B86" w:rsidRDefault="00B23B86" w:rsidP="00B23B86">
      <w:pPr>
        <w:spacing w:before="100" w:beforeAutospacing="1" w:after="100" w:afterAutospacing="1" w:line="480" w:lineRule="auto"/>
        <w:jc w:val="both"/>
        <w:rPr>
          <w:rFonts w:ascii="Times New Roman" w:eastAsia="Times New Roman" w:hAnsi="Times New Roman" w:cs="Times New Roman"/>
          <w:sz w:val="24"/>
          <w:szCs w:val="24"/>
        </w:rPr>
      </w:pPr>
      <w:r w:rsidRPr="00B23B86">
        <w:rPr>
          <w:rFonts w:ascii="Times New Roman" w:eastAsia="Times New Roman" w:hAnsi="Times New Roman" w:cs="Times New Roman"/>
          <w:sz w:val="24"/>
          <w:szCs w:val="24"/>
        </w:rPr>
        <w:t>Taken together, the empirical evidence presents a definitive pattern. High levels of viral load suppression are biologically attainable, but sustaining them requires health systems that are equitable, responsive, and capable of consistent monitoring. In Nigeria, the primary challenge lies not in the availability of potent regimens but in ensuring that every individual who initiates treatment is supported through to durable suppression. National aggregate data conceal substantial subnational and facility level disparities.</w:t>
      </w:r>
    </w:p>
    <w:p w14:paraId="69F3AF71" w14:textId="77777777" w:rsidR="00B23B86" w:rsidRPr="00B23B86" w:rsidRDefault="00B23B86" w:rsidP="00B23B86">
      <w:pPr>
        <w:spacing w:before="100" w:beforeAutospacing="1" w:after="100" w:afterAutospacing="1" w:line="480" w:lineRule="auto"/>
        <w:jc w:val="both"/>
        <w:rPr>
          <w:rFonts w:ascii="Times New Roman" w:eastAsia="Times New Roman" w:hAnsi="Times New Roman" w:cs="Times New Roman"/>
          <w:sz w:val="24"/>
          <w:szCs w:val="24"/>
        </w:rPr>
      </w:pPr>
      <w:r w:rsidRPr="00B23B86">
        <w:rPr>
          <w:rFonts w:ascii="Times New Roman" w:eastAsia="Times New Roman" w:hAnsi="Times New Roman" w:cs="Times New Roman"/>
          <w:sz w:val="24"/>
          <w:szCs w:val="24"/>
        </w:rPr>
        <w:t>This study is therefore situated within a critical empirical and policy gap. While global reports and national evaluations describe macro level trends, few studies rigorously interrogate how multilevel determinants interact within specific state contexts to influence the final stage of the cascade. By examining the interplay of individual, clinical, and facility level factors in Plateau State, this research is explicitly designed to generate contextually grounded evidence to strengthen the final step of the HIV care continuum.</w:t>
      </w:r>
    </w:p>
    <w:p w14:paraId="449E6B53" w14:textId="77777777" w:rsidR="00B23B86" w:rsidRDefault="00B23B86" w:rsidP="00B23B86">
      <w:pPr>
        <w:spacing w:before="100" w:beforeAutospacing="1" w:after="100" w:afterAutospacing="1" w:line="480" w:lineRule="auto"/>
        <w:jc w:val="both"/>
        <w:rPr>
          <w:rFonts w:ascii="Times New Roman" w:eastAsia="Times New Roman" w:hAnsi="Times New Roman" w:cs="Times New Roman"/>
          <w:sz w:val="24"/>
          <w:szCs w:val="24"/>
        </w:rPr>
      </w:pPr>
    </w:p>
    <w:p w14:paraId="0C8830DD" w14:textId="77777777" w:rsidR="00B23B86" w:rsidRPr="00B23B86" w:rsidRDefault="00B23B86" w:rsidP="00B23B86">
      <w:pPr>
        <w:spacing w:before="100" w:beforeAutospacing="1" w:after="100" w:afterAutospacing="1" w:line="480" w:lineRule="auto"/>
        <w:jc w:val="both"/>
        <w:rPr>
          <w:rFonts w:ascii="Times New Roman" w:eastAsia="Times New Roman" w:hAnsi="Times New Roman" w:cs="Times New Roman"/>
          <w:b/>
          <w:bCs/>
          <w:sz w:val="24"/>
          <w:szCs w:val="24"/>
        </w:rPr>
      </w:pPr>
      <w:r w:rsidRPr="00B23B86">
        <w:rPr>
          <w:rFonts w:ascii="Times New Roman" w:eastAsia="Times New Roman" w:hAnsi="Times New Roman" w:cs="Times New Roman"/>
          <w:b/>
          <w:bCs/>
          <w:sz w:val="24"/>
          <w:szCs w:val="24"/>
        </w:rPr>
        <w:lastRenderedPageBreak/>
        <w:t>1.2.1.3.2 Sociodemographic Determinants of Viral Load Suppression</w:t>
      </w:r>
    </w:p>
    <w:p w14:paraId="5FC73C5D" w14:textId="77777777" w:rsidR="00B23B86" w:rsidRPr="00B23B86" w:rsidRDefault="00B23B86" w:rsidP="00B23B86">
      <w:pPr>
        <w:spacing w:before="100" w:beforeAutospacing="1" w:after="100" w:afterAutospacing="1" w:line="480" w:lineRule="auto"/>
        <w:jc w:val="both"/>
        <w:rPr>
          <w:rFonts w:ascii="Times New Roman" w:eastAsia="Times New Roman" w:hAnsi="Times New Roman" w:cs="Times New Roman"/>
          <w:sz w:val="24"/>
          <w:szCs w:val="24"/>
        </w:rPr>
      </w:pPr>
      <w:r w:rsidRPr="00B23B86">
        <w:rPr>
          <w:rFonts w:ascii="Times New Roman" w:eastAsia="Times New Roman" w:hAnsi="Times New Roman" w:cs="Times New Roman"/>
          <w:sz w:val="24"/>
          <w:szCs w:val="24"/>
        </w:rPr>
        <w:t>Empirical literature consistently demonstrates that viral load suppression is not distributed uniformly across demographic strata. Instead, it is deeply mediated by the social and developmental context of the individual. This necessitates a critical review of the relationship between sociodemographic characteristics and virologic success, an exercise essential for moving beyond a narrow biological understanding of HIV toward a more detailed socioecological perspective of epidemic control.</w:t>
      </w:r>
    </w:p>
    <w:p w14:paraId="7963B0D2" w14:textId="77777777" w:rsidR="00B23B86" w:rsidRPr="00B23B86" w:rsidRDefault="00B23B86" w:rsidP="00B23B86">
      <w:pPr>
        <w:spacing w:before="100" w:beforeAutospacing="1" w:after="100" w:afterAutospacing="1" w:line="480" w:lineRule="auto"/>
        <w:jc w:val="both"/>
        <w:rPr>
          <w:rFonts w:ascii="Times New Roman" w:eastAsia="Times New Roman" w:hAnsi="Times New Roman" w:cs="Times New Roman"/>
          <w:sz w:val="24"/>
          <w:szCs w:val="24"/>
        </w:rPr>
      </w:pPr>
      <w:r w:rsidRPr="00B23B86">
        <w:rPr>
          <w:rFonts w:ascii="Times New Roman" w:eastAsia="Times New Roman" w:hAnsi="Times New Roman" w:cs="Times New Roman"/>
          <w:sz w:val="24"/>
          <w:szCs w:val="24"/>
        </w:rPr>
        <w:t xml:space="preserve">One of the most persistent findings in Nigerian HIV research is the significant disparity in suppression rates between pediatric or adolescent cohorts and older adults. </w:t>
      </w:r>
      <w:proofErr w:type="spellStart"/>
      <w:r w:rsidRPr="00B23B86">
        <w:rPr>
          <w:rFonts w:ascii="Times New Roman" w:eastAsia="Times New Roman" w:hAnsi="Times New Roman" w:cs="Times New Roman"/>
          <w:sz w:val="24"/>
          <w:szCs w:val="24"/>
        </w:rPr>
        <w:t>Ochie</w:t>
      </w:r>
      <w:proofErr w:type="spellEnd"/>
      <w:r w:rsidRPr="00B23B86">
        <w:rPr>
          <w:rFonts w:ascii="Times New Roman" w:eastAsia="Times New Roman" w:hAnsi="Times New Roman" w:cs="Times New Roman"/>
          <w:sz w:val="24"/>
          <w:szCs w:val="24"/>
        </w:rPr>
        <w:t xml:space="preserve"> and Eze (2023), in a comprehensive review of the last decade of HIV viral suppression in Nigeria, documented that younger demographic groups consistently fall short of global suppression targets. Their analysis revealed that even after completing enhanced adherence counseling, adolescents demonstrated suboptimal virologic improvement, establishing that standard adult clinical models are fundamentally inadequate for younger populations. This clinical fragility was further quantified by Akpan et al. (2023) in a massive retrospective cohort study of 15,050 patients across southern Nigeria. They found that being between the ages of 0 and 14 years was one of the strongest independent predictors of detectable viremia, even among patients who had initially achieved viral suppression upon starting therapy.</w:t>
      </w:r>
    </w:p>
    <w:p w14:paraId="00835DDB" w14:textId="77777777" w:rsidR="00B23B86" w:rsidRPr="00B23B86" w:rsidRDefault="00B23B86" w:rsidP="00B23B86">
      <w:pPr>
        <w:spacing w:before="100" w:beforeAutospacing="1" w:after="100" w:afterAutospacing="1" w:line="480" w:lineRule="auto"/>
        <w:jc w:val="both"/>
        <w:rPr>
          <w:rFonts w:ascii="Times New Roman" w:eastAsia="Times New Roman" w:hAnsi="Times New Roman" w:cs="Times New Roman"/>
          <w:sz w:val="24"/>
          <w:szCs w:val="24"/>
        </w:rPr>
      </w:pPr>
      <w:r w:rsidRPr="00B23B86">
        <w:rPr>
          <w:rFonts w:ascii="Times New Roman" w:eastAsia="Times New Roman" w:hAnsi="Times New Roman" w:cs="Times New Roman"/>
          <w:sz w:val="24"/>
          <w:szCs w:val="24"/>
        </w:rPr>
        <w:t xml:space="preserve">The structural reasons for this adolescent failure are illuminated by Badejo et al. (2023) through a realist evaluation of youth friendly health services across Nigerian facilities. Utilizing qualitative comparative analysis, they found that older adolescents and young adults experience profound vulnerability when transitioning from pediatric to adult care environments. Crucially, their </w:t>
      </w:r>
      <w:r w:rsidRPr="00B23B86">
        <w:rPr>
          <w:rFonts w:ascii="Times New Roman" w:eastAsia="Times New Roman" w:hAnsi="Times New Roman" w:cs="Times New Roman"/>
          <w:sz w:val="24"/>
          <w:szCs w:val="24"/>
        </w:rPr>
        <w:lastRenderedPageBreak/>
        <w:t>findings demonstrated that facility characteristics accounted for a significant proportion of the variance in suppression. Young patients attending traditional, high barrier clinics experienced elevated rates of treatment interruption, whereas those in facilities with integrated peer support networks achieved substantially better virologic outcomes.</w:t>
      </w:r>
    </w:p>
    <w:p w14:paraId="4AB44DE2" w14:textId="77777777" w:rsidR="00B23B86" w:rsidRPr="00B23B86" w:rsidRDefault="00B23B86" w:rsidP="00B23B86">
      <w:pPr>
        <w:spacing w:before="100" w:beforeAutospacing="1" w:after="100" w:afterAutospacing="1" w:line="480" w:lineRule="auto"/>
        <w:jc w:val="both"/>
        <w:rPr>
          <w:rFonts w:ascii="Times New Roman" w:eastAsia="Times New Roman" w:hAnsi="Times New Roman" w:cs="Times New Roman"/>
          <w:sz w:val="24"/>
          <w:szCs w:val="24"/>
        </w:rPr>
      </w:pPr>
      <w:r w:rsidRPr="00B23B86">
        <w:rPr>
          <w:rFonts w:ascii="Times New Roman" w:eastAsia="Times New Roman" w:hAnsi="Times New Roman" w:cs="Times New Roman"/>
          <w:sz w:val="24"/>
          <w:szCs w:val="24"/>
        </w:rPr>
        <w:t>A compelling body of evidence has also highlighted what is now termed the male gap in the HIV care cascade. The National Agency for the Control of AIDS (2019), detailing the foundational findings of the Nigeria HIV and AIDS Indicator and Impact Survey, reported a definitive gender disparity in population level viral suppression. The survey documented that 46.2 percent of females living with HIV had achieved suppression compared to only 40.9 percent of males. This disparity was most pronounced among younger adults, establishing that men frequently present late to care and struggle to maintain longitudinal adherence.</w:t>
      </w:r>
    </w:p>
    <w:p w14:paraId="021CC135" w14:textId="77777777" w:rsidR="00B23B86" w:rsidRPr="00B23B86" w:rsidRDefault="00B23B86" w:rsidP="00B23B86">
      <w:p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B23B86">
        <w:rPr>
          <w:rFonts w:ascii="Times New Roman" w:eastAsia="Times New Roman" w:hAnsi="Times New Roman" w:cs="Times New Roman"/>
          <w:sz w:val="24"/>
          <w:szCs w:val="24"/>
        </w:rPr>
        <w:t>Nna</w:t>
      </w:r>
      <w:proofErr w:type="spellEnd"/>
      <w:r w:rsidRPr="00B23B86">
        <w:rPr>
          <w:rFonts w:ascii="Times New Roman" w:eastAsia="Times New Roman" w:hAnsi="Times New Roman" w:cs="Times New Roman"/>
          <w:sz w:val="24"/>
          <w:szCs w:val="24"/>
        </w:rPr>
        <w:t xml:space="preserve">, </w:t>
      </w:r>
      <w:proofErr w:type="spellStart"/>
      <w:r w:rsidRPr="00B23B86">
        <w:rPr>
          <w:rFonts w:ascii="Times New Roman" w:eastAsia="Times New Roman" w:hAnsi="Times New Roman" w:cs="Times New Roman"/>
          <w:sz w:val="24"/>
          <w:szCs w:val="24"/>
        </w:rPr>
        <w:t>Owhonda</w:t>
      </w:r>
      <w:proofErr w:type="spellEnd"/>
      <w:r w:rsidRPr="00B23B86">
        <w:rPr>
          <w:rFonts w:ascii="Times New Roman" w:eastAsia="Times New Roman" w:hAnsi="Times New Roman" w:cs="Times New Roman"/>
          <w:sz w:val="24"/>
          <w:szCs w:val="24"/>
        </w:rPr>
        <w:t>, and Maduka (2022) qualitatively explored this gender gap within a Nigerian tertiary setting, providing critical insight into the behavioral mechanisms driving male virologic failure. Their investigation revealed that masculinity norms, financial constraints, and the fear of workplace stigma uniquely deterred men from consistent clinic attendance. Conversely, while females achieved better overall suppression rates, they faced distinct domestic vulnerabilities. Women frequently cited shame, the poor attitude of healthcare workers, and a lack of support from discordant spouses as the primary drivers of their own non adherence. This aligns directly with the findings of Isika et al. (2022), who surveyed adult patients in Cross River State and identified that a lack of family support and negative personal attitudes toward the infection were significant predictors of poor adherence and subsequent virologic failure.</w:t>
      </w:r>
    </w:p>
    <w:p w14:paraId="242CAEA0" w14:textId="77777777" w:rsidR="00B23B86" w:rsidRPr="00B23B86" w:rsidRDefault="00B23B86" w:rsidP="00B23B86">
      <w:pPr>
        <w:spacing w:before="100" w:beforeAutospacing="1" w:after="100" w:afterAutospacing="1" w:line="480" w:lineRule="auto"/>
        <w:jc w:val="both"/>
        <w:rPr>
          <w:rFonts w:ascii="Times New Roman" w:eastAsia="Times New Roman" w:hAnsi="Times New Roman" w:cs="Times New Roman"/>
          <w:sz w:val="24"/>
          <w:szCs w:val="24"/>
        </w:rPr>
      </w:pPr>
      <w:r w:rsidRPr="00B23B86">
        <w:rPr>
          <w:rFonts w:ascii="Times New Roman" w:eastAsia="Times New Roman" w:hAnsi="Times New Roman" w:cs="Times New Roman"/>
          <w:sz w:val="24"/>
          <w:szCs w:val="24"/>
        </w:rPr>
        <w:lastRenderedPageBreak/>
        <w:t xml:space="preserve">Education and employment status represent another critical sociodemographic intersection influencing clinical outcomes. Lin et al. (2024) analyzed programmatic data from 34,976 female sex workers receiving antiretroviral therapy in Nigeria. Their multivariable analysis demonstrated that having a formal education was a significant positive predictor of both early viral load testing and ultimate viral suppression, suggesting that treatment literacy heavily mitigates the structural barriers faced by marginalized populations. Similarly, Ibiloye et al. (2018) evaluated comprehensive </w:t>
      </w:r>
      <w:proofErr w:type="gramStart"/>
      <w:r w:rsidRPr="00B23B86">
        <w:rPr>
          <w:rFonts w:ascii="Times New Roman" w:eastAsia="Times New Roman" w:hAnsi="Times New Roman" w:cs="Times New Roman"/>
          <w:sz w:val="24"/>
          <w:szCs w:val="24"/>
        </w:rPr>
        <w:t>community based</w:t>
      </w:r>
      <w:proofErr w:type="gramEnd"/>
      <w:r w:rsidRPr="00B23B86">
        <w:rPr>
          <w:rFonts w:ascii="Times New Roman" w:eastAsia="Times New Roman" w:hAnsi="Times New Roman" w:cs="Times New Roman"/>
          <w:sz w:val="24"/>
          <w:szCs w:val="24"/>
        </w:rPr>
        <w:t xml:space="preserve"> HIV care among key populations in Nasarawa State. They found that a lack of formal education and unemployment significantly increased the hazard ratio for clinical attrition, leading to treatment failure.</w:t>
      </w:r>
    </w:p>
    <w:p w14:paraId="6133F596" w14:textId="77777777" w:rsidR="00B23B86" w:rsidRPr="00B23B86" w:rsidRDefault="00B23B86" w:rsidP="00B23B86">
      <w:pPr>
        <w:spacing w:before="100" w:beforeAutospacing="1" w:after="100" w:afterAutospacing="1" w:line="480" w:lineRule="auto"/>
        <w:jc w:val="both"/>
        <w:rPr>
          <w:rFonts w:ascii="Times New Roman" w:eastAsia="Times New Roman" w:hAnsi="Times New Roman" w:cs="Times New Roman"/>
          <w:sz w:val="24"/>
          <w:szCs w:val="24"/>
        </w:rPr>
      </w:pPr>
      <w:r w:rsidRPr="00B23B86">
        <w:rPr>
          <w:rFonts w:ascii="Times New Roman" w:eastAsia="Times New Roman" w:hAnsi="Times New Roman" w:cs="Times New Roman"/>
          <w:sz w:val="24"/>
          <w:szCs w:val="24"/>
        </w:rPr>
        <w:t xml:space="preserve">However, formal employment does not universally guarantee clinical success. Abdullahi et al. (2021) conducted an </w:t>
      </w:r>
      <w:proofErr w:type="gramStart"/>
      <w:r w:rsidRPr="00B23B86">
        <w:rPr>
          <w:rFonts w:ascii="Times New Roman" w:eastAsia="Times New Roman" w:hAnsi="Times New Roman" w:cs="Times New Roman"/>
          <w:sz w:val="24"/>
          <w:szCs w:val="24"/>
        </w:rPr>
        <w:t>eleven year</w:t>
      </w:r>
      <w:proofErr w:type="gramEnd"/>
      <w:r w:rsidRPr="00B23B86">
        <w:rPr>
          <w:rFonts w:ascii="Times New Roman" w:eastAsia="Times New Roman" w:hAnsi="Times New Roman" w:cs="Times New Roman"/>
          <w:sz w:val="24"/>
          <w:szCs w:val="24"/>
        </w:rPr>
        <w:t xml:space="preserve"> retrospective review of a tertiary care center in Northwestern Nigeria, analyzing the clinical records of over eight hundred patients. Their multivariable analysis revealed surprising dynamics regarding socioeconomic stability. While formal education was confirmed as a strong predictor of virologic success, being formally employed actually increased the risk of </w:t>
      </w:r>
      <w:r w:rsidR="0052020C" w:rsidRPr="00B23B86">
        <w:rPr>
          <w:rFonts w:ascii="Times New Roman" w:eastAsia="Times New Roman" w:hAnsi="Times New Roman" w:cs="Times New Roman"/>
          <w:sz w:val="24"/>
          <w:szCs w:val="24"/>
        </w:rPr>
        <w:t>non-suppression</w:t>
      </w:r>
      <w:r w:rsidRPr="00B23B86">
        <w:rPr>
          <w:rFonts w:ascii="Times New Roman" w:eastAsia="Times New Roman" w:hAnsi="Times New Roman" w:cs="Times New Roman"/>
          <w:sz w:val="24"/>
          <w:szCs w:val="24"/>
        </w:rPr>
        <w:t>. The researchers attributed this to the rigid schedules of formally employed individuals, which frequently conflict with routine clinic operational hours, thereby hindering consistent medication refills.</w:t>
      </w:r>
    </w:p>
    <w:p w14:paraId="21615496" w14:textId="77777777" w:rsidR="00B23B86" w:rsidRDefault="00B23B86" w:rsidP="00B23B86">
      <w:pPr>
        <w:spacing w:before="100" w:beforeAutospacing="1" w:after="100" w:afterAutospacing="1" w:line="480" w:lineRule="auto"/>
        <w:jc w:val="both"/>
        <w:rPr>
          <w:rFonts w:ascii="Times New Roman" w:eastAsia="Times New Roman" w:hAnsi="Times New Roman" w:cs="Times New Roman"/>
          <w:sz w:val="24"/>
          <w:szCs w:val="24"/>
        </w:rPr>
      </w:pPr>
      <w:r w:rsidRPr="00B23B86">
        <w:rPr>
          <w:rFonts w:ascii="Times New Roman" w:eastAsia="Times New Roman" w:hAnsi="Times New Roman" w:cs="Times New Roman"/>
          <w:sz w:val="24"/>
          <w:szCs w:val="24"/>
        </w:rPr>
        <w:t xml:space="preserve">While the empirical studies reviewed here provide a clear foundation for understanding the demographic strata most at risk of virologic failure, a distinct methodological limitation persists in the broader literature. Many studies treat age, sex, and employment status as isolated individual variables, failing to account for how these traits interact dynamically with the facility environment. For instance, it remains unclear if the male gap persists equally across private and public facilities, </w:t>
      </w:r>
      <w:r w:rsidRPr="00B23B86">
        <w:rPr>
          <w:rFonts w:ascii="Times New Roman" w:eastAsia="Times New Roman" w:hAnsi="Times New Roman" w:cs="Times New Roman"/>
          <w:sz w:val="24"/>
          <w:szCs w:val="24"/>
        </w:rPr>
        <w:lastRenderedPageBreak/>
        <w:t>or if the adolescent crisis is more pronounced in rural primary centers compared to urban tertiary hospitals. By employing an adapted Social Ecological Model, this investigation bridges this empirical gap. It moves beyond merely describing individual vulnerabilities to explicitly examining how these sociodemographic determinants are either mitigated or exacerbated by the specific institutional context of health facilities in Plateau State.</w:t>
      </w:r>
    </w:p>
    <w:p w14:paraId="2DF6B0D8" w14:textId="77777777" w:rsidR="0052020C" w:rsidRPr="0052020C" w:rsidRDefault="0052020C" w:rsidP="0052020C">
      <w:pPr>
        <w:spacing w:before="100" w:beforeAutospacing="1" w:after="100" w:afterAutospacing="1" w:line="480" w:lineRule="auto"/>
        <w:jc w:val="both"/>
        <w:rPr>
          <w:rFonts w:ascii="Times New Roman" w:eastAsia="Times New Roman" w:hAnsi="Times New Roman" w:cs="Times New Roman"/>
          <w:b/>
          <w:bCs/>
          <w:sz w:val="24"/>
          <w:szCs w:val="24"/>
        </w:rPr>
      </w:pPr>
      <w:r w:rsidRPr="0052020C">
        <w:rPr>
          <w:rFonts w:ascii="Times New Roman" w:eastAsia="Times New Roman" w:hAnsi="Times New Roman" w:cs="Times New Roman"/>
          <w:b/>
          <w:bCs/>
          <w:sz w:val="24"/>
          <w:szCs w:val="24"/>
        </w:rPr>
        <w:t>1.2.1.3.3 Clinical and Treatment Related Predictors of Viral Load Suppression</w:t>
      </w:r>
    </w:p>
    <w:p w14:paraId="6BEB2AB4" w14:textId="77777777" w:rsidR="0052020C" w:rsidRPr="0052020C" w:rsidRDefault="0052020C" w:rsidP="0052020C">
      <w:pPr>
        <w:spacing w:before="100" w:beforeAutospacing="1" w:after="100" w:afterAutospacing="1" w:line="480" w:lineRule="auto"/>
        <w:jc w:val="both"/>
        <w:rPr>
          <w:rFonts w:ascii="Times New Roman" w:eastAsia="Times New Roman" w:hAnsi="Times New Roman" w:cs="Times New Roman"/>
          <w:sz w:val="24"/>
          <w:szCs w:val="24"/>
        </w:rPr>
      </w:pPr>
      <w:r w:rsidRPr="0052020C">
        <w:rPr>
          <w:rFonts w:ascii="Times New Roman" w:eastAsia="Times New Roman" w:hAnsi="Times New Roman" w:cs="Times New Roman"/>
          <w:sz w:val="24"/>
          <w:szCs w:val="24"/>
        </w:rPr>
        <w:t>Beyond sociodemographic vulnerabilities, the empirical literature consistently demonstrates that clinical and treatment related characteristics fundamentally dictate the likelihood of achieving and maintaining viral load suppression. Researchers have focused extensively on the biological starting point of the patient, the pharmacological structure of the prescribed regimen, and the specific service delivery models employed to maintain longitudinal adherence. Collectively, these clinical variables help explain why patients with identical social backgrounds may experience completely divergent virologic outcomes.</w:t>
      </w:r>
    </w:p>
    <w:p w14:paraId="37D22C3C" w14:textId="77777777" w:rsidR="0052020C" w:rsidRPr="0052020C" w:rsidRDefault="0052020C" w:rsidP="0052020C">
      <w:pPr>
        <w:spacing w:before="100" w:beforeAutospacing="1" w:after="100" w:afterAutospacing="1" w:line="480" w:lineRule="auto"/>
        <w:jc w:val="both"/>
        <w:rPr>
          <w:rFonts w:ascii="Times New Roman" w:eastAsia="Times New Roman" w:hAnsi="Times New Roman" w:cs="Times New Roman"/>
          <w:sz w:val="24"/>
          <w:szCs w:val="24"/>
        </w:rPr>
      </w:pPr>
      <w:r w:rsidRPr="0052020C">
        <w:rPr>
          <w:rFonts w:ascii="Times New Roman" w:eastAsia="Times New Roman" w:hAnsi="Times New Roman" w:cs="Times New Roman"/>
          <w:sz w:val="24"/>
          <w:szCs w:val="24"/>
        </w:rPr>
        <w:t xml:space="preserve">Although global guidelines mandate the immediate initiation of antiretroviral therapy regardless of disease stage, the baseline clinical status of the patient remains a formidable predictor of </w:t>
      </w:r>
      <w:proofErr w:type="gramStart"/>
      <w:r w:rsidRPr="0052020C">
        <w:rPr>
          <w:rFonts w:ascii="Times New Roman" w:eastAsia="Times New Roman" w:hAnsi="Times New Roman" w:cs="Times New Roman"/>
          <w:sz w:val="24"/>
          <w:szCs w:val="24"/>
        </w:rPr>
        <w:t>long term</w:t>
      </w:r>
      <w:proofErr w:type="gramEnd"/>
      <w:r w:rsidRPr="0052020C">
        <w:rPr>
          <w:rFonts w:ascii="Times New Roman" w:eastAsia="Times New Roman" w:hAnsi="Times New Roman" w:cs="Times New Roman"/>
          <w:sz w:val="24"/>
          <w:szCs w:val="24"/>
        </w:rPr>
        <w:t xml:space="preserve"> treatment success. Patients entering care at advanced World Health Organization clinical stages typically present with profound immune compromise, which severely complicates the early treatment response. Ikpe et al. (2025) utilized the comprehensive Nigeria National Data Repository to conduct a massive retrospective cohort analysis of antiretroviral therapy interruptions. Their multivariable models identified that advanced baseline clinical staging and low CD4 cell counts were primary independent predictors of treatment interruption. Because treatment continuity is an </w:t>
      </w:r>
      <w:r w:rsidRPr="0052020C">
        <w:rPr>
          <w:rFonts w:ascii="Times New Roman" w:eastAsia="Times New Roman" w:hAnsi="Times New Roman" w:cs="Times New Roman"/>
          <w:sz w:val="24"/>
          <w:szCs w:val="24"/>
        </w:rPr>
        <w:lastRenderedPageBreak/>
        <w:t>absolute prerequisite for virologic control, patients presenting late to care face a structurally compounded risk of failure.</w:t>
      </w:r>
    </w:p>
    <w:p w14:paraId="14F7C28E" w14:textId="77777777" w:rsidR="0052020C" w:rsidRPr="0052020C" w:rsidRDefault="0052020C" w:rsidP="0052020C">
      <w:pPr>
        <w:spacing w:before="100" w:beforeAutospacing="1" w:after="100" w:afterAutospacing="1" w:line="480" w:lineRule="auto"/>
        <w:jc w:val="both"/>
        <w:rPr>
          <w:rFonts w:ascii="Times New Roman" w:eastAsia="Times New Roman" w:hAnsi="Times New Roman" w:cs="Times New Roman"/>
          <w:sz w:val="24"/>
          <w:szCs w:val="24"/>
        </w:rPr>
      </w:pPr>
      <w:r w:rsidRPr="0052020C">
        <w:rPr>
          <w:rFonts w:ascii="Times New Roman" w:eastAsia="Times New Roman" w:hAnsi="Times New Roman" w:cs="Times New Roman"/>
          <w:sz w:val="24"/>
          <w:szCs w:val="24"/>
        </w:rPr>
        <w:t xml:space="preserve">This baseline vulnerability is consistently corroborated by localized facility data. </w:t>
      </w:r>
      <w:proofErr w:type="spellStart"/>
      <w:r w:rsidRPr="0052020C">
        <w:rPr>
          <w:rFonts w:ascii="Times New Roman" w:eastAsia="Times New Roman" w:hAnsi="Times New Roman" w:cs="Times New Roman"/>
          <w:sz w:val="24"/>
          <w:szCs w:val="24"/>
        </w:rPr>
        <w:t>Imhonopi</w:t>
      </w:r>
      <w:proofErr w:type="spellEnd"/>
      <w:r w:rsidRPr="0052020C">
        <w:rPr>
          <w:rFonts w:ascii="Times New Roman" w:eastAsia="Times New Roman" w:hAnsi="Times New Roman" w:cs="Times New Roman"/>
          <w:sz w:val="24"/>
          <w:szCs w:val="24"/>
        </w:rPr>
        <w:t xml:space="preserve"> et al. (2024) conducted a retrospective cohort evaluation at the Federal Medical Center in Abeokuta, Nigeria, analyzing the specific correlates of viral suppression. Their findings highlighted that patients initiating treatment with severe immunosuppression had significantly lower odds of achieving early viral clearance. Severe baseline immunosuppression acts as a marker of clinical fragility. While modern pharmacological interventions are highly potent, they cannot instantly resolve the systemic damage caused by late diagnosis. Consequently, these patients require far more intensive institutional monitoring to achieve suppression.</w:t>
      </w:r>
    </w:p>
    <w:p w14:paraId="7FEF835F" w14:textId="77777777" w:rsidR="0052020C" w:rsidRPr="0052020C" w:rsidRDefault="0052020C" w:rsidP="0052020C">
      <w:pPr>
        <w:spacing w:before="100" w:beforeAutospacing="1" w:after="100" w:afterAutospacing="1" w:line="480" w:lineRule="auto"/>
        <w:jc w:val="both"/>
        <w:rPr>
          <w:rFonts w:ascii="Times New Roman" w:eastAsia="Times New Roman" w:hAnsi="Times New Roman" w:cs="Times New Roman"/>
          <w:sz w:val="24"/>
          <w:szCs w:val="24"/>
        </w:rPr>
      </w:pPr>
      <w:r w:rsidRPr="0052020C">
        <w:rPr>
          <w:rFonts w:ascii="Times New Roman" w:eastAsia="Times New Roman" w:hAnsi="Times New Roman" w:cs="Times New Roman"/>
          <w:sz w:val="24"/>
          <w:szCs w:val="24"/>
        </w:rPr>
        <w:t>The widespread programmatic adoption of Dolutegravir based regimens has nonetheless been transformative in redefining suppression expectations across Nigeria. Nwachukwu et al. (2023) conducted a comparative study of treatment outcomes across three distinct antiretroviral regimens in South East Nigeria. Their findings demonstrated that patients maintained on the Tenofovir Lamivudine Dolutegravir fixed dose combination achieved superior clinical recovery, with over 90 percent reaching suppression by twelve months. The researchers concluded that the Dolutegravir cohort exhibited significantly faster clinical staging improvements compared to patients maintained on legacy Protease Inhibitor or Efavirenz based regimens.</w:t>
      </w:r>
    </w:p>
    <w:p w14:paraId="228FBFC9" w14:textId="77777777" w:rsidR="0052020C" w:rsidRPr="0052020C" w:rsidRDefault="0052020C" w:rsidP="0052020C">
      <w:pPr>
        <w:spacing w:before="100" w:beforeAutospacing="1" w:after="100" w:afterAutospacing="1" w:line="480" w:lineRule="auto"/>
        <w:jc w:val="both"/>
        <w:rPr>
          <w:rFonts w:ascii="Times New Roman" w:eastAsia="Times New Roman" w:hAnsi="Times New Roman" w:cs="Times New Roman"/>
          <w:sz w:val="24"/>
          <w:szCs w:val="24"/>
        </w:rPr>
      </w:pPr>
      <w:r w:rsidRPr="0052020C">
        <w:rPr>
          <w:rFonts w:ascii="Times New Roman" w:eastAsia="Times New Roman" w:hAnsi="Times New Roman" w:cs="Times New Roman"/>
          <w:sz w:val="24"/>
          <w:szCs w:val="24"/>
        </w:rPr>
        <w:t xml:space="preserve">The specific virologic advantages of Dolutegravir are particularly pronounced among highly vulnerable groups who often face the steepest behavioral barriers to adherence. </w:t>
      </w:r>
      <w:proofErr w:type="spellStart"/>
      <w:r w:rsidRPr="0052020C">
        <w:rPr>
          <w:rFonts w:ascii="Times New Roman" w:eastAsia="Times New Roman" w:hAnsi="Times New Roman" w:cs="Times New Roman"/>
          <w:sz w:val="24"/>
          <w:szCs w:val="24"/>
        </w:rPr>
        <w:t>Katbi</w:t>
      </w:r>
      <w:proofErr w:type="spellEnd"/>
      <w:r w:rsidRPr="0052020C">
        <w:rPr>
          <w:rFonts w:ascii="Times New Roman" w:eastAsia="Times New Roman" w:hAnsi="Times New Roman" w:cs="Times New Roman"/>
          <w:sz w:val="24"/>
          <w:szCs w:val="24"/>
        </w:rPr>
        <w:t xml:space="preserve"> et al. (2020) evaluated the virologic response of key populations transitioning to Dolutegravir based regimens across five comprehensive treatment facilities in Southern Nigeria. Their binomial logistic </w:t>
      </w:r>
      <w:r w:rsidRPr="0052020C">
        <w:rPr>
          <w:rFonts w:ascii="Times New Roman" w:eastAsia="Times New Roman" w:hAnsi="Times New Roman" w:cs="Times New Roman"/>
          <w:sz w:val="24"/>
          <w:szCs w:val="24"/>
        </w:rPr>
        <w:lastRenderedPageBreak/>
        <w:t>regression demonstrated that patients transitioned to the newer regimen had over three times higher odds of achieving undetectable viral loads within three months compared to those remaining on legacy therapies. Furthermore, Ajetunmobi et al. (2025) published a case series evaluating Dolutegravir combined antiretroviral agents utilized explicitly as second line salvage therapy at a Federal Teaching Hospital in Ido Ekiti. Their findings confirmed that the high genetic barrier to resistance characteristic of Dolutegravir makes it exceptionally effective at rescuing patients who have already failed first line treatment, inducing rapid virologic suppression where older regimens failed.</w:t>
      </w:r>
    </w:p>
    <w:p w14:paraId="7FBD47A0" w14:textId="77777777" w:rsidR="0052020C" w:rsidRPr="0052020C" w:rsidRDefault="0052020C" w:rsidP="0052020C">
      <w:pPr>
        <w:spacing w:before="100" w:beforeAutospacing="1" w:after="100" w:afterAutospacing="1" w:line="480" w:lineRule="auto"/>
        <w:jc w:val="both"/>
        <w:rPr>
          <w:rFonts w:ascii="Times New Roman" w:eastAsia="Times New Roman" w:hAnsi="Times New Roman" w:cs="Times New Roman"/>
          <w:sz w:val="24"/>
          <w:szCs w:val="24"/>
        </w:rPr>
      </w:pPr>
      <w:r w:rsidRPr="0052020C">
        <w:rPr>
          <w:rFonts w:ascii="Times New Roman" w:eastAsia="Times New Roman" w:hAnsi="Times New Roman" w:cs="Times New Roman"/>
          <w:sz w:val="24"/>
          <w:szCs w:val="24"/>
        </w:rPr>
        <w:t>However, the biological efficacy of these potent regimens must be supported by adaptive institutional delivery systems, particularly concerning pharmacy refill spacing and dosage formulations. Casalini et al. (2023) documented the rapid scaling of multi month dispensing among pediatric and adolescent cohorts receiving HIV services in Nigeria. By extracting retrospective program data across 36 high volume facilities, they demonstrated that transitioning young patients to multi month dispensing increased the overall viral suppression rate from 64 percent to 92 percent. This definitively proved that reducing the frequency of mandatory clinic visits minimizes treatment fatigue without compromising clinical monitoring.</w:t>
      </w:r>
    </w:p>
    <w:p w14:paraId="1B71BB84" w14:textId="77777777" w:rsidR="0052020C" w:rsidRPr="0052020C" w:rsidRDefault="0052020C" w:rsidP="0052020C">
      <w:pPr>
        <w:spacing w:before="100" w:beforeAutospacing="1" w:after="100" w:afterAutospacing="1" w:line="480" w:lineRule="auto"/>
        <w:jc w:val="both"/>
        <w:rPr>
          <w:rFonts w:ascii="Times New Roman" w:eastAsia="Times New Roman" w:hAnsi="Times New Roman" w:cs="Times New Roman"/>
          <w:sz w:val="24"/>
          <w:szCs w:val="24"/>
        </w:rPr>
      </w:pPr>
      <w:r w:rsidRPr="0052020C">
        <w:rPr>
          <w:rFonts w:ascii="Times New Roman" w:eastAsia="Times New Roman" w:hAnsi="Times New Roman" w:cs="Times New Roman"/>
          <w:sz w:val="24"/>
          <w:szCs w:val="24"/>
        </w:rPr>
        <w:t xml:space="preserve">This structural advantage is similarly evident in adult cohorts. Semo et al. (2023) analyzed longitudinal electronic medical records from 19,859 patients across eleven northern Nigerian states to determine the effect of multi month dispensing on virologic outcomes. Their analysis dispelled early clinical concerns that reducing provider contact would harm adherence. Instead, they found that patients on extended dispensing </w:t>
      </w:r>
      <w:proofErr w:type="gramStart"/>
      <w:r w:rsidRPr="0052020C">
        <w:rPr>
          <w:rFonts w:ascii="Times New Roman" w:eastAsia="Times New Roman" w:hAnsi="Times New Roman" w:cs="Times New Roman"/>
          <w:sz w:val="24"/>
          <w:szCs w:val="24"/>
        </w:rPr>
        <w:t>schedules maintained</w:t>
      </w:r>
      <w:proofErr w:type="gramEnd"/>
      <w:r w:rsidRPr="0052020C">
        <w:rPr>
          <w:rFonts w:ascii="Times New Roman" w:eastAsia="Times New Roman" w:hAnsi="Times New Roman" w:cs="Times New Roman"/>
          <w:sz w:val="24"/>
          <w:szCs w:val="24"/>
        </w:rPr>
        <w:t xml:space="preserve"> suppression rates equivalent to or slightly better than those on standard monthly refills.</w:t>
      </w:r>
    </w:p>
    <w:p w14:paraId="75336A20" w14:textId="77777777" w:rsidR="0052020C" w:rsidRPr="0052020C" w:rsidRDefault="0052020C" w:rsidP="0052020C">
      <w:pPr>
        <w:spacing w:before="100" w:beforeAutospacing="1" w:after="100" w:afterAutospacing="1" w:line="480" w:lineRule="auto"/>
        <w:jc w:val="both"/>
        <w:rPr>
          <w:rFonts w:ascii="Times New Roman" w:eastAsia="Times New Roman" w:hAnsi="Times New Roman" w:cs="Times New Roman"/>
          <w:sz w:val="24"/>
          <w:szCs w:val="24"/>
        </w:rPr>
      </w:pPr>
      <w:r w:rsidRPr="0052020C">
        <w:rPr>
          <w:rFonts w:ascii="Times New Roman" w:eastAsia="Times New Roman" w:hAnsi="Times New Roman" w:cs="Times New Roman"/>
          <w:sz w:val="24"/>
          <w:szCs w:val="24"/>
        </w:rPr>
        <w:lastRenderedPageBreak/>
        <w:t xml:space="preserve">Conversely, when these structural advantages are withheld, clinical failure rates rise significantly. </w:t>
      </w:r>
      <w:proofErr w:type="spellStart"/>
      <w:r w:rsidRPr="0052020C">
        <w:rPr>
          <w:rFonts w:ascii="Times New Roman" w:eastAsia="Times New Roman" w:hAnsi="Times New Roman" w:cs="Times New Roman"/>
          <w:sz w:val="24"/>
          <w:szCs w:val="24"/>
        </w:rPr>
        <w:t>Nait</w:t>
      </w:r>
      <w:proofErr w:type="spellEnd"/>
      <w:r w:rsidRPr="0052020C">
        <w:rPr>
          <w:rFonts w:ascii="Times New Roman" w:eastAsia="Times New Roman" w:hAnsi="Times New Roman" w:cs="Times New Roman"/>
          <w:sz w:val="24"/>
          <w:szCs w:val="24"/>
        </w:rPr>
        <w:t xml:space="preserve"> et al. (2025) evaluated the predictors of viral non suppression among adolescents on Dolutegravir based therapy across three urban clinics in East Africa. Their multivariable analysis revealed that the use of </w:t>
      </w:r>
      <w:proofErr w:type="spellStart"/>
      <w:r w:rsidRPr="0052020C">
        <w:rPr>
          <w:rFonts w:ascii="Times New Roman" w:eastAsia="Times New Roman" w:hAnsi="Times New Roman" w:cs="Times New Roman"/>
          <w:sz w:val="24"/>
          <w:szCs w:val="24"/>
        </w:rPr>
        <w:t>non fixed</w:t>
      </w:r>
      <w:proofErr w:type="spellEnd"/>
      <w:r w:rsidRPr="0052020C">
        <w:rPr>
          <w:rFonts w:ascii="Times New Roman" w:eastAsia="Times New Roman" w:hAnsi="Times New Roman" w:cs="Times New Roman"/>
          <w:sz w:val="24"/>
          <w:szCs w:val="24"/>
        </w:rPr>
        <w:t xml:space="preserve"> dose regimens (requiring multiple separate pills) and the explicit denial of multi month dispensing were massive independent predictors of virologic failure.</w:t>
      </w:r>
    </w:p>
    <w:p w14:paraId="507B5026" w14:textId="77777777" w:rsidR="0052020C" w:rsidRDefault="0052020C" w:rsidP="0052020C">
      <w:pPr>
        <w:spacing w:before="100" w:beforeAutospacing="1" w:after="100" w:afterAutospacing="1" w:line="480" w:lineRule="auto"/>
        <w:jc w:val="both"/>
        <w:rPr>
          <w:rFonts w:ascii="Times New Roman" w:eastAsia="Times New Roman" w:hAnsi="Times New Roman" w:cs="Times New Roman"/>
          <w:sz w:val="24"/>
          <w:szCs w:val="24"/>
        </w:rPr>
      </w:pPr>
      <w:r w:rsidRPr="0052020C">
        <w:rPr>
          <w:rFonts w:ascii="Times New Roman" w:eastAsia="Times New Roman" w:hAnsi="Times New Roman" w:cs="Times New Roman"/>
          <w:sz w:val="24"/>
          <w:szCs w:val="24"/>
        </w:rPr>
        <w:t>Collectively, the literature demonstrates that baseline World Health Organization stage and CD4 count capture the biological vulnerability of patients at entry, while the transition to Dolutegravir based regimens and multi month dispensing models dictate the trajectory of their recovery. Yet, regimen potency alone cannot overcome systemic weaknesses in service delivery or late presentation to care. This reality perfectly justifies the application of the Adapted Social Ecological Model for the present study. By situating these individual clinical variables within the specific institutional context of health facilities in Plateau State, this research aims to determine exactly how biological advantages interact with facility level characteristics to influence the ultimate attai</w:t>
      </w:r>
      <w:r>
        <w:rPr>
          <w:rFonts w:ascii="Times New Roman" w:eastAsia="Times New Roman" w:hAnsi="Times New Roman" w:cs="Times New Roman"/>
          <w:sz w:val="24"/>
          <w:szCs w:val="24"/>
        </w:rPr>
        <w:t>nment of viral load suppression.</w:t>
      </w:r>
    </w:p>
    <w:p w14:paraId="25BEABD5" w14:textId="77777777" w:rsidR="0052020C" w:rsidRPr="0052020C" w:rsidRDefault="0052020C" w:rsidP="0052020C">
      <w:pPr>
        <w:spacing w:before="100" w:beforeAutospacing="1" w:after="100" w:afterAutospacing="1" w:line="480" w:lineRule="auto"/>
        <w:jc w:val="both"/>
        <w:rPr>
          <w:rFonts w:ascii="Times New Roman" w:eastAsia="Times New Roman" w:hAnsi="Times New Roman" w:cs="Times New Roman"/>
          <w:b/>
          <w:bCs/>
          <w:sz w:val="24"/>
          <w:szCs w:val="24"/>
        </w:rPr>
      </w:pPr>
      <w:r w:rsidRPr="0052020C">
        <w:rPr>
          <w:rFonts w:ascii="Times New Roman" w:eastAsia="Times New Roman" w:hAnsi="Times New Roman" w:cs="Times New Roman"/>
          <w:b/>
          <w:bCs/>
          <w:sz w:val="24"/>
          <w:szCs w:val="24"/>
        </w:rPr>
        <w:t>1.2.1.3.4 Facility Level Contextual Factors and Viral Load Suppression</w:t>
      </w:r>
    </w:p>
    <w:p w14:paraId="1ED2BEAE" w14:textId="77777777" w:rsidR="0052020C" w:rsidRPr="0052020C" w:rsidRDefault="0052020C" w:rsidP="0052020C">
      <w:pPr>
        <w:spacing w:before="100" w:beforeAutospacing="1" w:after="100" w:afterAutospacing="1" w:line="480" w:lineRule="auto"/>
        <w:jc w:val="both"/>
        <w:rPr>
          <w:rFonts w:ascii="Times New Roman" w:eastAsia="Times New Roman" w:hAnsi="Times New Roman" w:cs="Times New Roman"/>
          <w:sz w:val="24"/>
          <w:szCs w:val="24"/>
        </w:rPr>
      </w:pPr>
      <w:r w:rsidRPr="0052020C">
        <w:rPr>
          <w:rFonts w:ascii="Times New Roman" w:eastAsia="Times New Roman" w:hAnsi="Times New Roman" w:cs="Times New Roman"/>
          <w:sz w:val="24"/>
          <w:szCs w:val="24"/>
        </w:rPr>
        <w:t>Facility level and contextual factors address a critical but frequently under examined dimension of the HIV care cascade. While individual sociodemographic and clinical characteristics answer the questions of who fails treatment and what biological markers predict that failure, the institutional setting provides the answer to where it occurs. Treating patients as independent statistical units without accounting for their shared facility environment obscures the clustering effects that can either enable or fundamentally undermine the biological success of modern antiretroviral regimens.</w:t>
      </w:r>
    </w:p>
    <w:p w14:paraId="15E9EAD0" w14:textId="77777777" w:rsidR="0052020C" w:rsidRPr="0052020C" w:rsidRDefault="0052020C" w:rsidP="0052020C">
      <w:pPr>
        <w:spacing w:before="100" w:beforeAutospacing="1" w:after="100" w:afterAutospacing="1" w:line="480" w:lineRule="auto"/>
        <w:jc w:val="both"/>
        <w:rPr>
          <w:rFonts w:ascii="Times New Roman" w:eastAsia="Times New Roman" w:hAnsi="Times New Roman" w:cs="Times New Roman"/>
          <w:sz w:val="24"/>
          <w:szCs w:val="24"/>
        </w:rPr>
      </w:pPr>
      <w:r w:rsidRPr="0052020C">
        <w:rPr>
          <w:rFonts w:ascii="Times New Roman" w:eastAsia="Times New Roman" w:hAnsi="Times New Roman" w:cs="Times New Roman"/>
          <w:sz w:val="24"/>
          <w:szCs w:val="24"/>
        </w:rPr>
        <w:lastRenderedPageBreak/>
        <w:t>The influence of the healthcare hierarchy, specifically the operational differences between tertiary and lower tier care, remains a central theme in facility comparative analyses. Okonkwo et al. (2014) conducted a foundational evaluation of a decentralized antiretroviral therapy program in North Central Nigeria, comparing clinical outcomes between a tertiary prime hospital and thirteen secondary satellite facilities. Their comprehensive analysis revealed that patients managed at the tertiary site achieved significantly better immune reconstitution and higher rates of early viral suppression compared to those at the secondary sites. The researchers attributed this disparity to the superior laboratory monitoring infrastructure and specialized clinical oversight inherent to tertiary teaching hospitals.</w:t>
      </w:r>
    </w:p>
    <w:p w14:paraId="49E1D99F" w14:textId="77777777" w:rsidR="0052020C" w:rsidRPr="0052020C" w:rsidRDefault="0052020C" w:rsidP="0052020C">
      <w:pPr>
        <w:spacing w:before="100" w:beforeAutospacing="1" w:after="100" w:afterAutospacing="1" w:line="480" w:lineRule="auto"/>
        <w:jc w:val="both"/>
        <w:rPr>
          <w:rFonts w:ascii="Times New Roman" w:eastAsia="Times New Roman" w:hAnsi="Times New Roman" w:cs="Times New Roman"/>
          <w:sz w:val="24"/>
          <w:szCs w:val="24"/>
        </w:rPr>
      </w:pPr>
      <w:r w:rsidRPr="0052020C">
        <w:rPr>
          <w:rFonts w:ascii="Times New Roman" w:eastAsia="Times New Roman" w:hAnsi="Times New Roman" w:cs="Times New Roman"/>
          <w:sz w:val="24"/>
          <w:szCs w:val="24"/>
        </w:rPr>
        <w:t xml:space="preserve">However, higher tier care does not universally guarantee programmatic success. </w:t>
      </w:r>
      <w:proofErr w:type="spellStart"/>
      <w:r w:rsidRPr="0052020C">
        <w:rPr>
          <w:rFonts w:ascii="Times New Roman" w:eastAsia="Times New Roman" w:hAnsi="Times New Roman" w:cs="Times New Roman"/>
          <w:sz w:val="24"/>
          <w:szCs w:val="24"/>
        </w:rPr>
        <w:t>Mafolo</w:t>
      </w:r>
      <w:proofErr w:type="spellEnd"/>
      <w:r w:rsidRPr="0052020C">
        <w:rPr>
          <w:rFonts w:ascii="Times New Roman" w:eastAsia="Times New Roman" w:hAnsi="Times New Roman" w:cs="Times New Roman"/>
          <w:sz w:val="24"/>
          <w:szCs w:val="24"/>
        </w:rPr>
        <w:t xml:space="preserve">, Cele, and Mathibe (2025) evaluated viral load suppression among adult patients on first line regimens across health facilities in the City of Ekurhuleni, South Africa. Their multivariable logistic regression models demonstrated that while clinical initiation protocols were standardized, facility level administrative delays in conducting the mandatory </w:t>
      </w:r>
      <w:proofErr w:type="gramStart"/>
      <w:r w:rsidRPr="0052020C">
        <w:rPr>
          <w:rFonts w:ascii="Times New Roman" w:eastAsia="Times New Roman" w:hAnsi="Times New Roman" w:cs="Times New Roman"/>
          <w:sz w:val="24"/>
          <w:szCs w:val="24"/>
        </w:rPr>
        <w:t>six month</w:t>
      </w:r>
      <w:proofErr w:type="gramEnd"/>
      <w:r w:rsidRPr="0052020C">
        <w:rPr>
          <w:rFonts w:ascii="Times New Roman" w:eastAsia="Times New Roman" w:hAnsi="Times New Roman" w:cs="Times New Roman"/>
          <w:sz w:val="24"/>
          <w:szCs w:val="24"/>
        </w:rPr>
        <w:t xml:space="preserve"> viral load assessments independently predicted lower odds of eventual suppression. Similarly, Mabizela and Van Wyk (2022) investigated suppression rates at a high volume urban primary healthcare facility. They found that despite the lack of specialized physicians, primary facilities that successfully implemented robust peer adherence support achieved suppression rates that were highly competitive with larger hospitals, suggesting that the tier of care alone is not determinative. Rather, it is the interaction of facility level systems and staffing stability that dictates performance.</w:t>
      </w:r>
    </w:p>
    <w:p w14:paraId="78667B1B" w14:textId="77777777" w:rsidR="0052020C" w:rsidRPr="0052020C" w:rsidRDefault="0052020C" w:rsidP="0052020C">
      <w:pPr>
        <w:spacing w:before="100" w:beforeAutospacing="1" w:after="100" w:afterAutospacing="1" w:line="480" w:lineRule="auto"/>
        <w:jc w:val="both"/>
        <w:rPr>
          <w:rFonts w:ascii="Times New Roman" w:eastAsia="Times New Roman" w:hAnsi="Times New Roman" w:cs="Times New Roman"/>
          <w:sz w:val="24"/>
          <w:szCs w:val="24"/>
        </w:rPr>
      </w:pPr>
      <w:r w:rsidRPr="0052020C">
        <w:rPr>
          <w:rFonts w:ascii="Times New Roman" w:eastAsia="Times New Roman" w:hAnsi="Times New Roman" w:cs="Times New Roman"/>
          <w:sz w:val="24"/>
          <w:szCs w:val="24"/>
        </w:rPr>
        <w:t xml:space="preserve">Facility ownership, categorized typically as public, private, or faith based, significantly affects organizational flexibility and the overall patient experience. </w:t>
      </w:r>
      <w:proofErr w:type="spellStart"/>
      <w:r w:rsidRPr="0052020C">
        <w:rPr>
          <w:rFonts w:ascii="Times New Roman" w:eastAsia="Times New Roman" w:hAnsi="Times New Roman" w:cs="Times New Roman"/>
          <w:sz w:val="24"/>
          <w:szCs w:val="24"/>
        </w:rPr>
        <w:t>Ambikile</w:t>
      </w:r>
      <w:proofErr w:type="spellEnd"/>
      <w:r w:rsidRPr="0052020C">
        <w:rPr>
          <w:rFonts w:ascii="Times New Roman" w:eastAsia="Times New Roman" w:hAnsi="Times New Roman" w:cs="Times New Roman"/>
          <w:sz w:val="24"/>
          <w:szCs w:val="24"/>
        </w:rPr>
        <w:t xml:space="preserve"> and </w:t>
      </w:r>
      <w:proofErr w:type="spellStart"/>
      <w:r w:rsidRPr="0052020C">
        <w:rPr>
          <w:rFonts w:ascii="Times New Roman" w:eastAsia="Times New Roman" w:hAnsi="Times New Roman" w:cs="Times New Roman"/>
          <w:sz w:val="24"/>
          <w:szCs w:val="24"/>
        </w:rPr>
        <w:t>Iseselo</w:t>
      </w:r>
      <w:proofErr w:type="spellEnd"/>
      <w:r w:rsidRPr="0052020C">
        <w:rPr>
          <w:rFonts w:ascii="Times New Roman" w:eastAsia="Times New Roman" w:hAnsi="Times New Roman" w:cs="Times New Roman"/>
          <w:sz w:val="24"/>
          <w:szCs w:val="24"/>
        </w:rPr>
        <w:t xml:space="preserve"> (2021) </w:t>
      </w:r>
      <w:r w:rsidRPr="0052020C">
        <w:rPr>
          <w:rFonts w:ascii="Times New Roman" w:eastAsia="Times New Roman" w:hAnsi="Times New Roman" w:cs="Times New Roman"/>
          <w:sz w:val="24"/>
          <w:szCs w:val="24"/>
        </w:rPr>
        <w:lastRenderedPageBreak/>
        <w:t xml:space="preserve">conducted a cross sectional assessment of client satisfaction across various HIV care and treatment </w:t>
      </w:r>
      <w:proofErr w:type="spellStart"/>
      <w:r w:rsidRPr="0052020C">
        <w:rPr>
          <w:rFonts w:ascii="Times New Roman" w:eastAsia="Times New Roman" w:hAnsi="Times New Roman" w:cs="Times New Roman"/>
          <w:sz w:val="24"/>
          <w:szCs w:val="24"/>
        </w:rPr>
        <w:t>centres</w:t>
      </w:r>
      <w:proofErr w:type="spellEnd"/>
      <w:r w:rsidRPr="0052020C">
        <w:rPr>
          <w:rFonts w:ascii="Times New Roman" w:eastAsia="Times New Roman" w:hAnsi="Times New Roman" w:cs="Times New Roman"/>
          <w:sz w:val="24"/>
          <w:szCs w:val="24"/>
        </w:rPr>
        <w:t xml:space="preserve"> in Dar es Salaam, Tanzania. Their analysis revealed stark operational disparities based on ownership. Patients attending public facilities reported high satisfaction with drug availability but severe dissatisfaction with waiting times. Conversely, private facilities excelled in time management and patient provider interaction. The researchers concluded that facility ownership directly shapes the administrative capacity to deliver patient centered care, which in turn influences long term treatment retention and subsequent virologic outcomes.</w:t>
      </w:r>
    </w:p>
    <w:p w14:paraId="0E8DAC8E" w14:textId="77777777" w:rsidR="0052020C" w:rsidRPr="0052020C" w:rsidRDefault="0052020C" w:rsidP="0052020C">
      <w:pPr>
        <w:spacing w:before="100" w:beforeAutospacing="1" w:after="100" w:afterAutospacing="1" w:line="480" w:lineRule="auto"/>
        <w:jc w:val="both"/>
        <w:rPr>
          <w:rFonts w:ascii="Times New Roman" w:eastAsia="Times New Roman" w:hAnsi="Times New Roman" w:cs="Times New Roman"/>
          <w:sz w:val="24"/>
          <w:szCs w:val="24"/>
        </w:rPr>
      </w:pPr>
      <w:r w:rsidRPr="0052020C">
        <w:rPr>
          <w:rFonts w:ascii="Times New Roman" w:eastAsia="Times New Roman" w:hAnsi="Times New Roman" w:cs="Times New Roman"/>
          <w:sz w:val="24"/>
          <w:szCs w:val="24"/>
        </w:rPr>
        <w:t xml:space="preserve">Rapid and reliable laboratory turnaround time is an essential institutional requirement for the timely identification of virologic failure. </w:t>
      </w:r>
      <w:proofErr w:type="spellStart"/>
      <w:r w:rsidRPr="0052020C">
        <w:rPr>
          <w:rFonts w:ascii="Times New Roman" w:eastAsia="Times New Roman" w:hAnsi="Times New Roman" w:cs="Times New Roman"/>
          <w:sz w:val="24"/>
          <w:szCs w:val="24"/>
        </w:rPr>
        <w:t>Awungafac</w:t>
      </w:r>
      <w:proofErr w:type="spellEnd"/>
      <w:r w:rsidRPr="0052020C">
        <w:rPr>
          <w:rFonts w:ascii="Times New Roman" w:eastAsia="Times New Roman" w:hAnsi="Times New Roman" w:cs="Times New Roman"/>
          <w:sz w:val="24"/>
          <w:szCs w:val="24"/>
        </w:rPr>
        <w:t xml:space="preserve"> et al. (2018) investigated the clinic to laboratory interface across four regional hospitals in Cameroon. They discovered that while national guidelines mandated routine viral load testing, the actual facility level uptake was critically low. Furthermore, even when tests were conducted, the prolonged median turnaround time severely blunted clinical responsiveness, resulting in delayed switches to second line regimens for failing patients. This proves that laboratory logistics represent a modifiable facility level determinant of biological success.</w:t>
      </w:r>
    </w:p>
    <w:p w14:paraId="6C216CDE" w14:textId="77777777" w:rsidR="0052020C" w:rsidRPr="0052020C" w:rsidRDefault="0052020C" w:rsidP="0052020C">
      <w:pPr>
        <w:spacing w:before="100" w:beforeAutospacing="1" w:after="100" w:afterAutospacing="1" w:line="480" w:lineRule="auto"/>
        <w:jc w:val="both"/>
        <w:rPr>
          <w:rFonts w:ascii="Times New Roman" w:eastAsia="Times New Roman" w:hAnsi="Times New Roman" w:cs="Times New Roman"/>
          <w:sz w:val="24"/>
          <w:szCs w:val="24"/>
        </w:rPr>
      </w:pPr>
      <w:r w:rsidRPr="0052020C">
        <w:rPr>
          <w:rFonts w:ascii="Times New Roman" w:eastAsia="Times New Roman" w:hAnsi="Times New Roman" w:cs="Times New Roman"/>
          <w:sz w:val="24"/>
          <w:szCs w:val="24"/>
        </w:rPr>
        <w:t xml:space="preserve">Furthermore, the reliability of the facility supply chain captures the concept of institutional resilience. </w:t>
      </w:r>
      <w:proofErr w:type="spellStart"/>
      <w:r w:rsidRPr="0052020C">
        <w:rPr>
          <w:rFonts w:ascii="Times New Roman" w:eastAsia="Times New Roman" w:hAnsi="Times New Roman" w:cs="Times New Roman"/>
          <w:sz w:val="24"/>
          <w:szCs w:val="24"/>
        </w:rPr>
        <w:t>Zakumumpa</w:t>
      </w:r>
      <w:proofErr w:type="spellEnd"/>
      <w:r w:rsidRPr="0052020C">
        <w:rPr>
          <w:rFonts w:ascii="Times New Roman" w:eastAsia="Times New Roman" w:hAnsi="Times New Roman" w:cs="Times New Roman"/>
          <w:sz w:val="24"/>
          <w:szCs w:val="24"/>
        </w:rPr>
        <w:t xml:space="preserve"> et al. (2019) conducted a qualitative investigation into the chronic stock outs of antiretroviral medicines across sixteen health facilities in Uganda. The researchers found that facility level bottlenecks, including untimely drug requisitions and inaccurate patient quantification, frequently resulted in localized stock outs. To mitigate these institutional failures, providers were forced to substitute regimens or dispense recently expired drugs, heavily </w:t>
      </w:r>
      <w:r w:rsidRPr="0052020C">
        <w:rPr>
          <w:rFonts w:ascii="Times New Roman" w:eastAsia="Times New Roman" w:hAnsi="Times New Roman" w:cs="Times New Roman"/>
          <w:sz w:val="24"/>
          <w:szCs w:val="24"/>
        </w:rPr>
        <w:lastRenderedPageBreak/>
        <w:t>compromising the clinical integrity of the program and exposing patients to elevated risks of viral rebound.</w:t>
      </w:r>
    </w:p>
    <w:p w14:paraId="595A8412" w14:textId="77777777" w:rsidR="0052020C" w:rsidRPr="0052020C" w:rsidRDefault="0052020C" w:rsidP="0052020C">
      <w:pPr>
        <w:spacing w:before="100" w:beforeAutospacing="1" w:after="100" w:afterAutospacing="1" w:line="480" w:lineRule="auto"/>
        <w:jc w:val="both"/>
        <w:rPr>
          <w:rFonts w:ascii="Times New Roman" w:eastAsia="Times New Roman" w:hAnsi="Times New Roman" w:cs="Times New Roman"/>
          <w:sz w:val="24"/>
          <w:szCs w:val="24"/>
        </w:rPr>
      </w:pPr>
      <w:r w:rsidRPr="0052020C">
        <w:rPr>
          <w:rFonts w:ascii="Times New Roman" w:eastAsia="Times New Roman" w:hAnsi="Times New Roman" w:cs="Times New Roman"/>
          <w:sz w:val="24"/>
          <w:szCs w:val="24"/>
        </w:rPr>
        <w:t xml:space="preserve">Geographic and structural isolation introduces additional contextual barriers. </w:t>
      </w:r>
      <w:proofErr w:type="spellStart"/>
      <w:r w:rsidRPr="0052020C">
        <w:rPr>
          <w:rFonts w:ascii="Times New Roman" w:eastAsia="Times New Roman" w:hAnsi="Times New Roman" w:cs="Times New Roman"/>
          <w:sz w:val="24"/>
          <w:szCs w:val="24"/>
        </w:rPr>
        <w:t>Ssuuna</w:t>
      </w:r>
      <w:proofErr w:type="spellEnd"/>
      <w:r w:rsidRPr="0052020C">
        <w:rPr>
          <w:rFonts w:ascii="Times New Roman" w:eastAsia="Times New Roman" w:hAnsi="Times New Roman" w:cs="Times New Roman"/>
          <w:sz w:val="24"/>
          <w:szCs w:val="24"/>
        </w:rPr>
        <w:t xml:space="preserve"> et al. (2024) assessed the intersection of facility distance, household transport ownership, and viral suppression in rural Uganda. Their population based spatial analysis demonstrated that the physical distance to the clinic profoundly constrained access. However, patients who owned a bicycle or motorcycle had significantly higher adjusted prevalence ratios for viral suppression, proving that a lack of transportation directly exacerbates the vulnerability of patients attending remote rural facilities.</w:t>
      </w:r>
    </w:p>
    <w:p w14:paraId="00899776" w14:textId="77777777" w:rsidR="0052020C" w:rsidRPr="0052020C" w:rsidRDefault="0052020C" w:rsidP="0052020C">
      <w:pPr>
        <w:spacing w:before="100" w:beforeAutospacing="1" w:after="100" w:afterAutospacing="1" w:line="480" w:lineRule="auto"/>
        <w:jc w:val="both"/>
        <w:rPr>
          <w:rFonts w:ascii="Times New Roman" w:eastAsia="Times New Roman" w:hAnsi="Times New Roman" w:cs="Times New Roman"/>
          <w:sz w:val="24"/>
          <w:szCs w:val="24"/>
        </w:rPr>
      </w:pPr>
      <w:r w:rsidRPr="0052020C">
        <w:rPr>
          <w:rFonts w:ascii="Times New Roman" w:eastAsia="Times New Roman" w:hAnsi="Times New Roman" w:cs="Times New Roman"/>
          <w:sz w:val="24"/>
          <w:szCs w:val="24"/>
        </w:rPr>
        <w:t>The empirical evidence decisively demonstrates that a significant share of the variation in viral load suppression is attributable to facility level factors. Conventional single level analyses risk misestimating these effects and artificially shrinking standard errors when they ignore the clustering of patients within specific clinics. Badejo et al. (2020) explicitly proved this by applying multilevel modeling and multiple group analysis across 124 secondary and tertiary healthcare facilities in Plateau and Benue states, Nigeria. Their variance partitioning revealed that facility characteristics explained the vast majority of the observed variance in treatment retention and a highly significant proportion of the variance in viral suppression, far exceeding the impact of individual level traits.</w:t>
      </w:r>
    </w:p>
    <w:p w14:paraId="39843314" w14:textId="77777777" w:rsidR="0052020C" w:rsidRPr="0052020C" w:rsidRDefault="0052020C" w:rsidP="0052020C">
      <w:pPr>
        <w:spacing w:before="100" w:beforeAutospacing="1" w:after="100" w:afterAutospacing="1" w:line="480" w:lineRule="auto"/>
        <w:jc w:val="both"/>
        <w:rPr>
          <w:rFonts w:ascii="Times New Roman" w:eastAsia="Times New Roman" w:hAnsi="Times New Roman" w:cs="Times New Roman"/>
          <w:sz w:val="24"/>
          <w:szCs w:val="24"/>
        </w:rPr>
      </w:pPr>
      <w:r w:rsidRPr="0052020C">
        <w:rPr>
          <w:rFonts w:ascii="Times New Roman" w:eastAsia="Times New Roman" w:hAnsi="Times New Roman" w:cs="Times New Roman"/>
          <w:sz w:val="24"/>
          <w:szCs w:val="24"/>
        </w:rPr>
        <w:t>By employing a similar multilevel methodology, the present study will calculate the intraclass correlation coefficient to estimate the exact proportion of variance in viral suppression explained at the facility level. In doing so, this study moves beyond individual behavioral descriptions to provide a rigorous ecological understanding of exactly where and why suppression succeeds or fails in Plateau State.</w:t>
      </w:r>
    </w:p>
    <w:p w14:paraId="1FA85C5D" w14:textId="77777777" w:rsidR="007C0B7C" w:rsidRPr="007C0B7C" w:rsidRDefault="007C0B7C" w:rsidP="007C0B7C">
      <w:pPr>
        <w:spacing w:before="100" w:beforeAutospacing="1" w:after="100" w:afterAutospacing="1" w:line="480" w:lineRule="auto"/>
        <w:jc w:val="both"/>
        <w:rPr>
          <w:rFonts w:ascii="Times New Roman" w:eastAsia="Times New Roman" w:hAnsi="Times New Roman" w:cs="Times New Roman"/>
          <w:b/>
          <w:bCs/>
          <w:sz w:val="24"/>
          <w:szCs w:val="24"/>
        </w:rPr>
      </w:pPr>
      <w:r w:rsidRPr="007C0B7C">
        <w:rPr>
          <w:rFonts w:ascii="Times New Roman" w:eastAsia="Times New Roman" w:hAnsi="Times New Roman" w:cs="Times New Roman"/>
          <w:b/>
          <w:bCs/>
          <w:sz w:val="24"/>
          <w:szCs w:val="24"/>
        </w:rPr>
        <w:lastRenderedPageBreak/>
        <w:t>1.2.1.4 Summary of Literature and Gaps in Knowledge</w:t>
      </w:r>
    </w:p>
    <w:p w14:paraId="18EC0F6A" w14:textId="77777777" w:rsidR="007C0B7C" w:rsidRPr="007C0B7C" w:rsidRDefault="007C0B7C" w:rsidP="007C0B7C">
      <w:pPr>
        <w:spacing w:before="100" w:beforeAutospacing="1" w:after="100" w:afterAutospacing="1" w:line="480" w:lineRule="auto"/>
        <w:jc w:val="both"/>
        <w:rPr>
          <w:rFonts w:ascii="Times New Roman" w:eastAsia="Times New Roman" w:hAnsi="Times New Roman" w:cs="Times New Roman"/>
          <w:sz w:val="24"/>
          <w:szCs w:val="24"/>
        </w:rPr>
      </w:pPr>
      <w:r w:rsidRPr="007C0B7C">
        <w:rPr>
          <w:rFonts w:ascii="Times New Roman" w:eastAsia="Times New Roman" w:hAnsi="Times New Roman" w:cs="Times New Roman"/>
          <w:sz w:val="24"/>
          <w:szCs w:val="24"/>
        </w:rPr>
        <w:t xml:space="preserve">The body of literature reviewed in this chapter reveals a maturing evidence base regarding viral load suppression, particularly in the era of optimized antiretroviral therapy and intensified global targets (UNAIDS, 2024; Gunaratne et al., 2025). At the individual level, the empirical evidence is remarkably consistent. Younger age, male sex, advanced baseline disease stage, and profound baseline immunosuppression are repeatedly associated with higher odds of virologic failure (Akpan et al., 2023; Ikpe et al., 2025; </w:t>
      </w:r>
      <w:proofErr w:type="spellStart"/>
      <w:r w:rsidRPr="007C0B7C">
        <w:rPr>
          <w:rFonts w:ascii="Times New Roman" w:eastAsia="Times New Roman" w:hAnsi="Times New Roman" w:cs="Times New Roman"/>
          <w:sz w:val="24"/>
          <w:szCs w:val="24"/>
        </w:rPr>
        <w:t>Ochie</w:t>
      </w:r>
      <w:proofErr w:type="spellEnd"/>
      <w:r w:rsidRPr="007C0B7C">
        <w:rPr>
          <w:rFonts w:ascii="Times New Roman" w:eastAsia="Times New Roman" w:hAnsi="Times New Roman" w:cs="Times New Roman"/>
          <w:sz w:val="24"/>
          <w:szCs w:val="24"/>
        </w:rPr>
        <w:t xml:space="preserve"> &amp; Eze, 2023). Furthermore, the transition to the Tenofovir Lamivudine Dolutegravir fixed dose combination and the adoption of multi month dispensing have clarified the biological and structural foundations of improved suppression outcomes, reinforcing the central role of regimen potency and differentiated service delivery (Nwachukwu et al., 2023; Semo et al., 2023).</w:t>
      </w:r>
    </w:p>
    <w:p w14:paraId="33180EC1" w14:textId="77777777" w:rsidR="007C0B7C" w:rsidRPr="007C0B7C" w:rsidRDefault="007C0B7C" w:rsidP="007C0B7C">
      <w:pPr>
        <w:spacing w:before="100" w:beforeAutospacing="1" w:after="100" w:afterAutospacing="1" w:line="480" w:lineRule="auto"/>
        <w:jc w:val="both"/>
        <w:rPr>
          <w:rFonts w:ascii="Times New Roman" w:eastAsia="Times New Roman" w:hAnsi="Times New Roman" w:cs="Times New Roman"/>
          <w:sz w:val="24"/>
          <w:szCs w:val="24"/>
        </w:rPr>
      </w:pPr>
      <w:r w:rsidRPr="007C0B7C">
        <w:rPr>
          <w:rFonts w:ascii="Times New Roman" w:eastAsia="Times New Roman" w:hAnsi="Times New Roman" w:cs="Times New Roman"/>
          <w:sz w:val="24"/>
          <w:szCs w:val="24"/>
        </w:rPr>
        <w:t xml:space="preserve">Yet, despite this growing clarity regarding individual vulnerabilities, the literature presents a notable analytical imbalance. Much of what is known successfully explains who is more likely to experience non suppression, such as the male demographic gap documented by </w:t>
      </w:r>
      <w:proofErr w:type="spellStart"/>
      <w:r w:rsidRPr="007C0B7C">
        <w:rPr>
          <w:rFonts w:ascii="Times New Roman" w:eastAsia="Times New Roman" w:hAnsi="Times New Roman" w:cs="Times New Roman"/>
          <w:sz w:val="24"/>
          <w:szCs w:val="24"/>
        </w:rPr>
        <w:t>Nna</w:t>
      </w:r>
      <w:proofErr w:type="spellEnd"/>
      <w:r w:rsidRPr="007C0B7C">
        <w:rPr>
          <w:rFonts w:ascii="Times New Roman" w:eastAsia="Times New Roman" w:hAnsi="Times New Roman" w:cs="Times New Roman"/>
          <w:sz w:val="24"/>
          <w:szCs w:val="24"/>
        </w:rPr>
        <w:t xml:space="preserve">, </w:t>
      </w:r>
      <w:proofErr w:type="spellStart"/>
      <w:r w:rsidRPr="007C0B7C">
        <w:rPr>
          <w:rFonts w:ascii="Times New Roman" w:eastAsia="Times New Roman" w:hAnsi="Times New Roman" w:cs="Times New Roman"/>
          <w:sz w:val="24"/>
          <w:szCs w:val="24"/>
        </w:rPr>
        <w:t>Owhonda</w:t>
      </w:r>
      <w:proofErr w:type="spellEnd"/>
      <w:r w:rsidRPr="007C0B7C">
        <w:rPr>
          <w:rFonts w:ascii="Times New Roman" w:eastAsia="Times New Roman" w:hAnsi="Times New Roman" w:cs="Times New Roman"/>
          <w:sz w:val="24"/>
          <w:szCs w:val="24"/>
        </w:rPr>
        <w:t>, and Maduka (2022). However, far less is understood about where within the health system these failures are concentrated and how contextual institutional conditions actively shape treatment outcomes. Facility level characteristics such as the tier of care, ownership structure, and laboratory logistics are frequently mentioned but are seldom examined as central explanatory variables. In conventional single level studies, these institutional factors are treated merely as peripheral controls rather than active structural determinants. As a result, the healthcare facility environment within which care is delivered remains insufficiently interrogated.</w:t>
      </w:r>
    </w:p>
    <w:p w14:paraId="3CFAD343" w14:textId="77777777" w:rsidR="007C0B7C" w:rsidRPr="007C0B7C" w:rsidRDefault="007C0B7C" w:rsidP="007C0B7C">
      <w:pPr>
        <w:spacing w:before="100" w:beforeAutospacing="1" w:after="100" w:afterAutospacing="1" w:line="480" w:lineRule="auto"/>
        <w:jc w:val="both"/>
        <w:rPr>
          <w:rFonts w:ascii="Times New Roman" w:eastAsia="Times New Roman" w:hAnsi="Times New Roman" w:cs="Times New Roman"/>
          <w:sz w:val="24"/>
          <w:szCs w:val="24"/>
        </w:rPr>
      </w:pPr>
      <w:r w:rsidRPr="007C0B7C">
        <w:rPr>
          <w:rFonts w:ascii="Times New Roman" w:eastAsia="Times New Roman" w:hAnsi="Times New Roman" w:cs="Times New Roman"/>
          <w:sz w:val="24"/>
          <w:szCs w:val="24"/>
        </w:rPr>
        <w:lastRenderedPageBreak/>
        <w:t>Within Nigeria, and specifically within Plateau State, this empirical gap becomes profoundly pronounced. National cascade data provide aggregate suppression rates, yet such macro summaries obscure critical subnational variation. While foundational facility comparative analyses (Okonkwo et al., 2014) and early multilevel evaluations (Badejo et al., 2020) have demonstrated that institutional environments heavily dictate patient retention, the dynamic interplay between current clinical predictors and the structural characteristics of the health facility has not been comprehensively examined. It remains empirically unclear whether the well documented vulnerability of younger males or patients initiating care with advanced disease is uniformly distributed across all clinical settings, or whether specific institutional contexts either intensify or mitigate those risks.</w:t>
      </w:r>
    </w:p>
    <w:p w14:paraId="7D878050" w14:textId="77777777" w:rsidR="007C0B7C" w:rsidRDefault="007C0B7C" w:rsidP="007C0B7C">
      <w:pPr>
        <w:spacing w:before="100" w:beforeAutospacing="1" w:after="100" w:afterAutospacing="1" w:line="480" w:lineRule="auto"/>
        <w:jc w:val="both"/>
        <w:rPr>
          <w:rFonts w:ascii="Times New Roman" w:eastAsia="Times New Roman" w:hAnsi="Times New Roman" w:cs="Times New Roman"/>
          <w:sz w:val="24"/>
          <w:szCs w:val="24"/>
        </w:rPr>
      </w:pPr>
      <w:r w:rsidRPr="007C0B7C">
        <w:rPr>
          <w:rFonts w:ascii="Times New Roman" w:eastAsia="Times New Roman" w:hAnsi="Times New Roman" w:cs="Times New Roman"/>
          <w:b/>
          <w:bCs/>
          <w:sz w:val="24"/>
          <w:szCs w:val="24"/>
        </w:rPr>
        <w:t>Gap Statement:</w:t>
      </w:r>
      <w:r w:rsidRPr="007C0B7C">
        <w:rPr>
          <w:rFonts w:ascii="Times New Roman" w:eastAsia="Times New Roman" w:hAnsi="Times New Roman" w:cs="Times New Roman"/>
          <w:sz w:val="24"/>
          <w:szCs w:val="24"/>
        </w:rPr>
        <w:t xml:space="preserve"> Although existing empirical evidence clearly identifies adolescents, males, and clinically vulnerable individuals as populations at an elevated risk of viral non suppression, there is a profound lack of understanding regarding how these risks are strictly shaped by the specific facility context in which care is delivered. The current literature does not sufficiently explain where suppression gaps are most concentrated within the health system or how individual patient level traits interact dynamically with facility level structural factors in Plateau State. This unresolved empirical gap provides an ironclad methodological justification for the application of the Adapted Social Ecological Model and the use of multilevel mixed effects regression in this study. This approach enables a rigorous, </w:t>
      </w:r>
      <w:r w:rsidR="00744A72">
        <w:rPr>
          <w:rFonts w:ascii="Times New Roman" w:eastAsia="Times New Roman" w:hAnsi="Times New Roman" w:cs="Times New Roman"/>
          <w:sz w:val="24"/>
          <w:szCs w:val="24"/>
        </w:rPr>
        <w:t>statistical</w:t>
      </w:r>
      <w:r w:rsidRPr="007C0B7C">
        <w:rPr>
          <w:rFonts w:ascii="Times New Roman" w:eastAsia="Times New Roman" w:hAnsi="Times New Roman" w:cs="Times New Roman"/>
          <w:sz w:val="24"/>
          <w:szCs w:val="24"/>
        </w:rPr>
        <w:t xml:space="preserve"> examination of both individual and contextual determinants of viral load suppression within the specific programmatic realities of Plateau State, North Central Nigeria.</w:t>
      </w:r>
    </w:p>
    <w:p w14:paraId="52526822" w14:textId="77777777" w:rsidR="00744A72" w:rsidRDefault="00744A72" w:rsidP="007C0B7C">
      <w:pPr>
        <w:spacing w:before="100" w:beforeAutospacing="1" w:after="100" w:afterAutospacing="1" w:line="480" w:lineRule="auto"/>
        <w:jc w:val="both"/>
        <w:rPr>
          <w:rFonts w:ascii="Times New Roman" w:eastAsia="Times New Roman" w:hAnsi="Times New Roman" w:cs="Times New Roman"/>
          <w:sz w:val="24"/>
          <w:szCs w:val="24"/>
        </w:rPr>
      </w:pPr>
    </w:p>
    <w:p w14:paraId="3E71CFEC" w14:textId="77777777" w:rsidR="008A0B0D" w:rsidRPr="008A0B0D" w:rsidRDefault="008A0B0D" w:rsidP="008A0B0D">
      <w:pPr>
        <w:spacing w:before="100" w:beforeAutospacing="1" w:after="100" w:afterAutospacing="1" w:line="480" w:lineRule="auto"/>
        <w:jc w:val="both"/>
        <w:rPr>
          <w:rFonts w:ascii="Times New Roman" w:eastAsia="Times New Roman" w:hAnsi="Times New Roman" w:cs="Times New Roman"/>
          <w:b/>
          <w:bCs/>
          <w:sz w:val="24"/>
          <w:szCs w:val="24"/>
        </w:rPr>
      </w:pPr>
      <w:r w:rsidRPr="008A0B0D">
        <w:rPr>
          <w:rFonts w:ascii="Times New Roman" w:eastAsia="Times New Roman" w:hAnsi="Times New Roman" w:cs="Times New Roman"/>
          <w:b/>
          <w:bCs/>
          <w:sz w:val="24"/>
          <w:szCs w:val="24"/>
        </w:rPr>
        <w:lastRenderedPageBreak/>
        <w:t>1.2.1.5 Conceptual Framework</w:t>
      </w:r>
    </w:p>
    <w:p w14:paraId="2F4255F8" w14:textId="77777777" w:rsidR="008A0B0D" w:rsidRDefault="008A0B0D" w:rsidP="008A0B0D">
      <w:pPr>
        <w:spacing w:before="100" w:beforeAutospacing="1" w:after="100" w:afterAutospacing="1" w:line="480" w:lineRule="auto"/>
        <w:jc w:val="both"/>
        <w:rPr>
          <w:rFonts w:ascii="Times New Roman" w:eastAsia="Times New Roman" w:hAnsi="Times New Roman" w:cs="Times New Roman"/>
          <w:sz w:val="24"/>
          <w:szCs w:val="24"/>
        </w:rPr>
      </w:pPr>
      <w:r w:rsidRPr="008A0B0D">
        <w:rPr>
          <w:rFonts w:ascii="Times New Roman" w:eastAsia="Times New Roman" w:hAnsi="Times New Roman" w:cs="Times New Roman"/>
          <w:sz w:val="24"/>
          <w:szCs w:val="24"/>
        </w:rPr>
        <w:t>The conceptual framework for this study is constructed upon a hierarchical logic that recognizes the biological outcome of HIV treatment as a product of multilayered influences. Moving beyond traditional linear analyses, this framework operationalizes the adapted Social Ecological Model (McLeroy et al., 1988; Stokols, 1992) into a statistically testable structure. It posits that individual health behaviors and physiological responses are inextricably linked to the institutional environments where care is received. This approach is essential for identifying the specific structural gaps in the clinical cascade within Plateau State.</w:t>
      </w:r>
    </w:p>
    <w:p w14:paraId="1EE8DEA4" w14:textId="77777777" w:rsidR="008A0B0D" w:rsidRPr="008A0B0D" w:rsidRDefault="008A0B0D" w:rsidP="008A0B0D">
      <w:pPr>
        <w:spacing w:before="100" w:beforeAutospacing="1" w:after="100" w:afterAutospacing="1" w:line="480" w:lineRule="auto"/>
        <w:jc w:val="both"/>
        <w:rPr>
          <w:rFonts w:ascii="Times New Roman" w:eastAsia="Times New Roman" w:hAnsi="Times New Roman" w:cs="Times New Roman"/>
          <w:sz w:val="24"/>
          <w:szCs w:val="24"/>
        </w:rPr>
      </w:pPr>
      <w:r>
        <w:rPr>
          <w:noProof/>
        </w:rPr>
        <w:drawing>
          <wp:inline distT="0" distB="0" distL="0" distR="0" wp14:anchorId="30164029" wp14:editId="60A826FB">
            <wp:extent cx="5810889" cy="1571691"/>
            <wp:effectExtent l="0" t="0" r="0" b="9525"/>
            <wp:docPr id="5" name="Picture 5" descr="C:\Users\HP\Downloads\Gemini_Generated_Image_t0urzot0urzot0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Gemini_Generated_Image_t0urzot0urzot0u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9505" cy="1576726"/>
                    </a:xfrm>
                    <a:prstGeom prst="rect">
                      <a:avLst/>
                    </a:prstGeom>
                    <a:noFill/>
                    <a:ln>
                      <a:noFill/>
                    </a:ln>
                  </pic:spPr>
                </pic:pic>
              </a:graphicData>
            </a:graphic>
          </wp:inline>
        </w:drawing>
      </w:r>
    </w:p>
    <w:p w14:paraId="66B2015B" w14:textId="77777777" w:rsidR="008A0B0D" w:rsidRPr="008A0B0D" w:rsidRDefault="008A0B0D" w:rsidP="008A0B0D">
      <w:pPr>
        <w:spacing w:after="0" w:line="240" w:lineRule="auto"/>
        <w:jc w:val="both"/>
        <w:rPr>
          <w:rFonts w:ascii="Times New Roman" w:eastAsia="Times New Roman" w:hAnsi="Times New Roman" w:cs="Times New Roman"/>
        </w:rPr>
      </w:pPr>
      <w:r w:rsidRPr="008A0B0D">
        <w:rPr>
          <w:rFonts w:ascii="Times New Roman" w:eastAsia="Times New Roman" w:hAnsi="Times New Roman" w:cs="Times New Roman"/>
          <w:b/>
          <w:bCs/>
        </w:rPr>
        <w:t>Figure 2.1:</w:t>
      </w:r>
      <w:r w:rsidRPr="008A0B0D">
        <w:rPr>
          <w:rFonts w:ascii="Times New Roman" w:eastAsia="Times New Roman" w:hAnsi="Times New Roman" w:cs="Times New Roman"/>
        </w:rPr>
        <w:t xml:space="preserve"> Conceptual Framework of the Multilevel Determinants of Viral Load Suppression among HIV Patients in Plateau State.</w:t>
      </w:r>
    </w:p>
    <w:p w14:paraId="55EB00B6" w14:textId="77777777" w:rsidR="008A0B0D" w:rsidRPr="008A0B0D" w:rsidRDefault="008A0B0D" w:rsidP="008A0B0D">
      <w:pPr>
        <w:spacing w:after="0" w:line="240" w:lineRule="auto"/>
        <w:jc w:val="both"/>
        <w:rPr>
          <w:rFonts w:ascii="Times New Roman" w:eastAsia="Times New Roman" w:hAnsi="Times New Roman" w:cs="Times New Roman"/>
          <w:sz w:val="24"/>
          <w:szCs w:val="24"/>
        </w:rPr>
      </w:pPr>
      <w:r w:rsidRPr="008A0B0D">
        <w:rPr>
          <w:rFonts w:ascii="Times New Roman" w:eastAsia="Times New Roman" w:hAnsi="Times New Roman" w:cs="Times New Roman"/>
          <w:b/>
        </w:rPr>
        <w:t>Source</w:t>
      </w:r>
      <w:r w:rsidRPr="008A0B0D">
        <w:rPr>
          <w:rFonts w:ascii="Times New Roman" w:eastAsia="Times New Roman" w:hAnsi="Times New Roman" w:cs="Times New Roman"/>
        </w:rPr>
        <w:t>: Adapted from the UNAIDS (2024) Global AIDS Update and the Social Ecological Model for health outcomes, modified by the Researcher (2026) to reflect the specific hierarchical nesting of patients within healthcare facilities.</w:t>
      </w:r>
    </w:p>
    <w:p w14:paraId="33871B3D" w14:textId="77777777" w:rsidR="008A0B0D" w:rsidRPr="008A0B0D" w:rsidRDefault="008A0B0D" w:rsidP="008A0B0D">
      <w:pPr>
        <w:spacing w:before="100" w:beforeAutospacing="1" w:after="100" w:afterAutospacing="1" w:line="480" w:lineRule="auto"/>
        <w:jc w:val="both"/>
        <w:rPr>
          <w:rFonts w:ascii="Times New Roman" w:eastAsia="Times New Roman" w:hAnsi="Times New Roman" w:cs="Times New Roman"/>
          <w:sz w:val="24"/>
          <w:szCs w:val="24"/>
        </w:rPr>
      </w:pPr>
      <w:r w:rsidRPr="008A0B0D">
        <w:rPr>
          <w:rFonts w:ascii="Times New Roman" w:eastAsia="Times New Roman" w:hAnsi="Times New Roman" w:cs="Times New Roman"/>
          <w:sz w:val="24"/>
          <w:szCs w:val="24"/>
        </w:rPr>
        <w:t>As illustrated in Figure 2.1, the analytical logic of this research is divided into two primary levels of influence that converge to determine the final therapeutic outcome.</w:t>
      </w:r>
    </w:p>
    <w:p w14:paraId="612CB3D2" w14:textId="77777777" w:rsidR="008A0B0D" w:rsidRDefault="008A0B0D" w:rsidP="008A0B0D">
      <w:pPr>
        <w:spacing w:before="100" w:beforeAutospacing="1" w:after="100" w:afterAutospacing="1" w:line="480" w:lineRule="auto"/>
        <w:jc w:val="both"/>
        <w:rPr>
          <w:rFonts w:ascii="Times New Roman" w:eastAsia="Times New Roman" w:hAnsi="Times New Roman" w:cs="Times New Roman"/>
          <w:sz w:val="24"/>
          <w:szCs w:val="24"/>
        </w:rPr>
      </w:pPr>
      <w:r w:rsidRPr="008A0B0D">
        <w:rPr>
          <w:rFonts w:ascii="Times New Roman" w:eastAsia="Times New Roman" w:hAnsi="Times New Roman" w:cs="Times New Roman"/>
          <w:b/>
          <w:bCs/>
          <w:sz w:val="24"/>
          <w:szCs w:val="24"/>
        </w:rPr>
        <w:t>Level 1: Individual Factors (The Micro Level)</w:t>
      </w:r>
      <w:r w:rsidRPr="008A0B0D">
        <w:rPr>
          <w:rFonts w:ascii="Times New Roman" w:eastAsia="Times New Roman" w:hAnsi="Times New Roman" w:cs="Times New Roman"/>
          <w:sz w:val="24"/>
          <w:szCs w:val="24"/>
        </w:rPr>
        <w:t xml:space="preserve"> </w:t>
      </w:r>
    </w:p>
    <w:p w14:paraId="0AFB7621" w14:textId="77777777" w:rsidR="008A0B0D" w:rsidRPr="008A0B0D" w:rsidRDefault="008A0B0D" w:rsidP="008A0B0D">
      <w:pPr>
        <w:spacing w:before="100" w:beforeAutospacing="1" w:after="100" w:afterAutospacing="1" w:line="480" w:lineRule="auto"/>
        <w:jc w:val="both"/>
        <w:rPr>
          <w:rFonts w:ascii="Times New Roman" w:eastAsia="Times New Roman" w:hAnsi="Times New Roman" w:cs="Times New Roman"/>
          <w:sz w:val="24"/>
          <w:szCs w:val="24"/>
        </w:rPr>
      </w:pPr>
      <w:r w:rsidRPr="008A0B0D">
        <w:rPr>
          <w:rFonts w:ascii="Times New Roman" w:eastAsia="Times New Roman" w:hAnsi="Times New Roman" w:cs="Times New Roman"/>
          <w:sz w:val="24"/>
          <w:szCs w:val="24"/>
        </w:rPr>
        <w:t xml:space="preserve">At the base tier, the framework accounts for the patient specific variables that directly impact biological success. These encompass the sociodemographic profile, specifically age, sex, marital </w:t>
      </w:r>
      <w:r w:rsidRPr="008A0B0D">
        <w:rPr>
          <w:rFonts w:ascii="Times New Roman" w:eastAsia="Times New Roman" w:hAnsi="Times New Roman" w:cs="Times New Roman"/>
          <w:sz w:val="24"/>
          <w:szCs w:val="24"/>
        </w:rPr>
        <w:lastRenderedPageBreak/>
        <w:t>status, and educational status, which empirical evidence shows strictly drive disparities in treatment engagement (</w:t>
      </w:r>
      <w:proofErr w:type="spellStart"/>
      <w:r w:rsidRPr="008A0B0D">
        <w:rPr>
          <w:rFonts w:ascii="Times New Roman" w:eastAsia="Times New Roman" w:hAnsi="Times New Roman" w:cs="Times New Roman"/>
          <w:sz w:val="24"/>
          <w:szCs w:val="24"/>
        </w:rPr>
        <w:t>Nna</w:t>
      </w:r>
      <w:proofErr w:type="spellEnd"/>
      <w:r w:rsidRPr="008A0B0D">
        <w:rPr>
          <w:rFonts w:ascii="Times New Roman" w:eastAsia="Times New Roman" w:hAnsi="Times New Roman" w:cs="Times New Roman"/>
          <w:sz w:val="24"/>
          <w:szCs w:val="24"/>
        </w:rPr>
        <w:t xml:space="preserve"> et al., 2022; </w:t>
      </w:r>
      <w:proofErr w:type="spellStart"/>
      <w:r w:rsidRPr="008A0B0D">
        <w:rPr>
          <w:rFonts w:ascii="Times New Roman" w:eastAsia="Times New Roman" w:hAnsi="Times New Roman" w:cs="Times New Roman"/>
          <w:sz w:val="24"/>
          <w:szCs w:val="24"/>
        </w:rPr>
        <w:t>Ochie</w:t>
      </w:r>
      <w:proofErr w:type="spellEnd"/>
      <w:r w:rsidRPr="008A0B0D">
        <w:rPr>
          <w:rFonts w:ascii="Times New Roman" w:eastAsia="Times New Roman" w:hAnsi="Times New Roman" w:cs="Times New Roman"/>
          <w:sz w:val="24"/>
          <w:szCs w:val="24"/>
        </w:rPr>
        <w:t xml:space="preserve"> &amp; Eze, 2023). It also incorporates clinical and treatment markers, namely baseline World Health Organization clinical stage, baseline viral load, duration on antiretroviral therapy, regimen type (TLD versus NNRTI based), and the differentiated service delivery model. These factors represent the physiological starting point and the longitudinal stability of the patient's clinical journey (Ikpe et al., 2025; Nwachukwu et al., 2023).</w:t>
      </w:r>
    </w:p>
    <w:p w14:paraId="6BEF869C" w14:textId="77777777" w:rsidR="008A0B0D" w:rsidRDefault="008A0B0D" w:rsidP="008A0B0D">
      <w:pPr>
        <w:spacing w:before="100" w:beforeAutospacing="1" w:after="100" w:afterAutospacing="1" w:line="480" w:lineRule="auto"/>
        <w:jc w:val="both"/>
        <w:rPr>
          <w:rFonts w:ascii="Times New Roman" w:eastAsia="Times New Roman" w:hAnsi="Times New Roman" w:cs="Times New Roman"/>
          <w:sz w:val="24"/>
          <w:szCs w:val="24"/>
        </w:rPr>
      </w:pPr>
      <w:r w:rsidRPr="008A0B0D">
        <w:rPr>
          <w:rFonts w:ascii="Times New Roman" w:eastAsia="Times New Roman" w:hAnsi="Times New Roman" w:cs="Times New Roman"/>
          <w:b/>
          <w:bCs/>
          <w:sz w:val="24"/>
          <w:szCs w:val="24"/>
        </w:rPr>
        <w:t>Level 2: Facility Factors (The Macro Level)</w:t>
      </w:r>
      <w:r w:rsidRPr="008A0B0D">
        <w:rPr>
          <w:rFonts w:ascii="Times New Roman" w:eastAsia="Times New Roman" w:hAnsi="Times New Roman" w:cs="Times New Roman"/>
          <w:sz w:val="24"/>
          <w:szCs w:val="24"/>
        </w:rPr>
        <w:t xml:space="preserve"> </w:t>
      </w:r>
    </w:p>
    <w:p w14:paraId="5F0BF878" w14:textId="77777777" w:rsidR="008A0B0D" w:rsidRPr="008A0B0D" w:rsidRDefault="008A0B0D" w:rsidP="008A0B0D">
      <w:pPr>
        <w:spacing w:before="100" w:beforeAutospacing="1" w:after="100" w:afterAutospacing="1" w:line="480" w:lineRule="auto"/>
        <w:jc w:val="both"/>
        <w:rPr>
          <w:rFonts w:ascii="Times New Roman" w:eastAsia="Times New Roman" w:hAnsi="Times New Roman" w:cs="Times New Roman"/>
          <w:sz w:val="24"/>
          <w:szCs w:val="24"/>
        </w:rPr>
      </w:pPr>
      <w:r w:rsidRPr="008A0B0D">
        <w:rPr>
          <w:rFonts w:ascii="Times New Roman" w:eastAsia="Times New Roman" w:hAnsi="Times New Roman" w:cs="Times New Roman"/>
          <w:sz w:val="24"/>
          <w:szCs w:val="24"/>
        </w:rPr>
        <w:t>This tier represents the institutional niche of the current study, focusing on the specific healthcare environment that traditional single level research often overlooks (Badejo et al., 2020). The variables captured here are strictly structural and geographical characteristics: facility type, ownership, and location (urban versus rural) (Okonkwo et al., 2014). These macro variables dictate the broader institutional context within which individual care is accessed and delivered.</w:t>
      </w:r>
    </w:p>
    <w:p w14:paraId="6947FFB7" w14:textId="77777777" w:rsidR="008A0B0D" w:rsidRDefault="008A0B0D" w:rsidP="008A0B0D">
      <w:pPr>
        <w:spacing w:before="100" w:beforeAutospacing="1" w:after="100" w:afterAutospacing="1" w:line="480" w:lineRule="auto"/>
        <w:jc w:val="both"/>
        <w:rPr>
          <w:rFonts w:ascii="Times New Roman" w:eastAsia="Times New Roman" w:hAnsi="Times New Roman" w:cs="Times New Roman"/>
          <w:sz w:val="24"/>
          <w:szCs w:val="24"/>
        </w:rPr>
      </w:pPr>
      <w:r w:rsidRPr="008A0B0D">
        <w:rPr>
          <w:rFonts w:ascii="Times New Roman" w:eastAsia="Times New Roman" w:hAnsi="Times New Roman" w:cs="Times New Roman"/>
          <w:b/>
          <w:bCs/>
          <w:sz w:val="24"/>
          <w:szCs w:val="24"/>
        </w:rPr>
        <w:t>Cross Level Interaction and Outcome</w:t>
      </w:r>
      <w:r w:rsidRPr="008A0B0D">
        <w:rPr>
          <w:rFonts w:ascii="Times New Roman" w:eastAsia="Times New Roman" w:hAnsi="Times New Roman" w:cs="Times New Roman"/>
          <w:sz w:val="24"/>
          <w:szCs w:val="24"/>
        </w:rPr>
        <w:t xml:space="preserve"> </w:t>
      </w:r>
    </w:p>
    <w:p w14:paraId="0A29ED72" w14:textId="77777777" w:rsidR="008A0B0D" w:rsidRPr="008A0B0D" w:rsidRDefault="008A0B0D" w:rsidP="008A0B0D">
      <w:pPr>
        <w:spacing w:before="100" w:beforeAutospacing="1" w:after="100" w:afterAutospacing="1" w:line="480" w:lineRule="auto"/>
        <w:jc w:val="both"/>
        <w:rPr>
          <w:rFonts w:ascii="Times New Roman" w:eastAsia="Times New Roman" w:hAnsi="Times New Roman" w:cs="Times New Roman"/>
          <w:sz w:val="24"/>
          <w:szCs w:val="24"/>
        </w:rPr>
      </w:pPr>
      <w:r w:rsidRPr="008A0B0D">
        <w:rPr>
          <w:rFonts w:ascii="Times New Roman" w:eastAsia="Times New Roman" w:hAnsi="Times New Roman" w:cs="Times New Roman"/>
          <w:sz w:val="24"/>
          <w:szCs w:val="24"/>
        </w:rPr>
        <w:t xml:space="preserve">The core analytical strength of this conceptual framework lies in the </w:t>
      </w:r>
      <w:proofErr w:type="gramStart"/>
      <w:r w:rsidRPr="008A0B0D">
        <w:rPr>
          <w:rFonts w:ascii="Times New Roman" w:eastAsia="Times New Roman" w:hAnsi="Times New Roman" w:cs="Times New Roman"/>
          <w:sz w:val="24"/>
          <w:szCs w:val="24"/>
        </w:rPr>
        <w:t>cross level</w:t>
      </w:r>
      <w:proofErr w:type="gramEnd"/>
      <w:r w:rsidRPr="008A0B0D">
        <w:rPr>
          <w:rFonts w:ascii="Times New Roman" w:eastAsia="Times New Roman" w:hAnsi="Times New Roman" w:cs="Times New Roman"/>
          <w:sz w:val="24"/>
          <w:szCs w:val="24"/>
        </w:rPr>
        <w:t xml:space="preserve"> interaction pathway. The framework hypothesizes that facility level factors act as active moderators for individual level clinical traits. For instance, the risk of </w:t>
      </w:r>
      <w:proofErr w:type="spellStart"/>
      <w:r w:rsidRPr="008A0B0D">
        <w:rPr>
          <w:rFonts w:ascii="Times New Roman" w:eastAsia="Times New Roman" w:hAnsi="Times New Roman" w:cs="Times New Roman"/>
          <w:sz w:val="24"/>
          <w:szCs w:val="24"/>
        </w:rPr>
        <w:t>non suppression</w:t>
      </w:r>
      <w:proofErr w:type="spellEnd"/>
      <w:r w:rsidRPr="008A0B0D">
        <w:rPr>
          <w:rFonts w:ascii="Times New Roman" w:eastAsia="Times New Roman" w:hAnsi="Times New Roman" w:cs="Times New Roman"/>
          <w:sz w:val="24"/>
          <w:szCs w:val="24"/>
        </w:rPr>
        <w:t xml:space="preserve"> among specific patient demographics may be severely exacerbated in rural facilities compared to urban centers. This represents the realization that viral load suppression is not merely an individual patient failure or success, but a systemic outcome of how well a specific facility supports a specific demographic.</w:t>
      </w:r>
    </w:p>
    <w:p w14:paraId="0586D95A" w14:textId="77777777" w:rsidR="00744A72" w:rsidRPr="00744A72" w:rsidRDefault="008A0B0D" w:rsidP="008A0B0D">
      <w:pPr>
        <w:spacing w:before="100" w:beforeAutospacing="1" w:after="100" w:afterAutospacing="1" w:line="480" w:lineRule="auto"/>
        <w:jc w:val="both"/>
        <w:rPr>
          <w:rFonts w:ascii="Times New Roman" w:eastAsia="Times New Roman" w:hAnsi="Times New Roman" w:cs="Times New Roman"/>
          <w:sz w:val="24"/>
          <w:szCs w:val="24"/>
        </w:rPr>
      </w:pPr>
      <w:r w:rsidRPr="008A0B0D">
        <w:rPr>
          <w:rFonts w:ascii="Times New Roman" w:eastAsia="Times New Roman" w:hAnsi="Times New Roman" w:cs="Times New Roman"/>
          <w:sz w:val="24"/>
          <w:szCs w:val="24"/>
        </w:rPr>
        <w:t xml:space="preserve">The ultimate endpoint of this hierarchical convergence is Viral Load Suppression, defined operationally as achieving a viral load of fewer than 1000 copies per milliliter. This metric serves </w:t>
      </w:r>
      <w:r w:rsidRPr="008A0B0D">
        <w:rPr>
          <w:rFonts w:ascii="Times New Roman" w:eastAsia="Times New Roman" w:hAnsi="Times New Roman" w:cs="Times New Roman"/>
          <w:sz w:val="24"/>
          <w:szCs w:val="24"/>
        </w:rPr>
        <w:lastRenderedPageBreak/>
        <w:t>as the definitive biological indicator of treatment success. By utilizing multilevel mixed effects modeling, this study will statistically partition the variance in suppression to determine exactly how much of a patient's success is attributable to their own characteristics versus the quality and type of the facility they attend. This conceptualization provides an accurate and academically rigorous roadmap for generating actionable public health evidence in Plateau State.</w:t>
      </w:r>
    </w:p>
    <w:p w14:paraId="214D083F" w14:textId="77777777" w:rsidR="009846E9" w:rsidRDefault="009846E9" w:rsidP="00744A72">
      <w:pPr>
        <w:spacing w:before="100" w:beforeAutospacing="1" w:after="100" w:afterAutospacing="1" w:line="480" w:lineRule="auto"/>
        <w:jc w:val="both"/>
        <w:rPr>
          <w:rFonts w:ascii="Times New Roman" w:eastAsia="Times New Roman" w:hAnsi="Times New Roman" w:cs="Times New Roman"/>
          <w:sz w:val="24"/>
          <w:szCs w:val="24"/>
        </w:rPr>
      </w:pPr>
    </w:p>
    <w:p w14:paraId="2342155B" w14:textId="77777777" w:rsidR="009846E9" w:rsidRDefault="009846E9" w:rsidP="00744A72">
      <w:pPr>
        <w:spacing w:before="100" w:beforeAutospacing="1" w:after="100" w:afterAutospacing="1" w:line="480" w:lineRule="auto"/>
        <w:jc w:val="both"/>
        <w:rPr>
          <w:rFonts w:ascii="Times New Roman" w:eastAsia="Times New Roman" w:hAnsi="Times New Roman" w:cs="Times New Roman"/>
          <w:sz w:val="24"/>
          <w:szCs w:val="24"/>
        </w:rPr>
      </w:pPr>
    </w:p>
    <w:p w14:paraId="393A0DF0" w14:textId="77777777" w:rsidR="009846E9" w:rsidRDefault="009846E9" w:rsidP="00744A72">
      <w:pPr>
        <w:spacing w:before="100" w:beforeAutospacing="1" w:after="100" w:afterAutospacing="1" w:line="480" w:lineRule="auto"/>
        <w:jc w:val="both"/>
        <w:rPr>
          <w:rFonts w:ascii="Times New Roman" w:eastAsia="Times New Roman" w:hAnsi="Times New Roman" w:cs="Times New Roman"/>
          <w:sz w:val="24"/>
          <w:szCs w:val="24"/>
        </w:rPr>
      </w:pPr>
    </w:p>
    <w:p w14:paraId="03358DC7" w14:textId="77777777" w:rsidR="009846E9" w:rsidRDefault="009846E9" w:rsidP="00744A72">
      <w:pPr>
        <w:spacing w:before="100" w:beforeAutospacing="1" w:after="100" w:afterAutospacing="1" w:line="480" w:lineRule="auto"/>
        <w:jc w:val="both"/>
        <w:rPr>
          <w:rFonts w:ascii="Times New Roman" w:eastAsia="Times New Roman" w:hAnsi="Times New Roman" w:cs="Times New Roman"/>
          <w:sz w:val="24"/>
          <w:szCs w:val="24"/>
        </w:rPr>
      </w:pPr>
    </w:p>
    <w:p w14:paraId="388CB9C0" w14:textId="77777777" w:rsidR="009846E9" w:rsidRDefault="009846E9" w:rsidP="00744A72">
      <w:pPr>
        <w:spacing w:before="100" w:beforeAutospacing="1" w:after="100" w:afterAutospacing="1" w:line="480" w:lineRule="auto"/>
        <w:jc w:val="both"/>
        <w:rPr>
          <w:rFonts w:ascii="Times New Roman" w:eastAsia="Times New Roman" w:hAnsi="Times New Roman" w:cs="Times New Roman"/>
          <w:sz w:val="24"/>
          <w:szCs w:val="24"/>
        </w:rPr>
      </w:pPr>
    </w:p>
    <w:p w14:paraId="09BEC5E9" w14:textId="77777777" w:rsidR="009846E9" w:rsidRDefault="009846E9" w:rsidP="00744A72">
      <w:pPr>
        <w:spacing w:before="100" w:beforeAutospacing="1" w:after="100" w:afterAutospacing="1" w:line="480" w:lineRule="auto"/>
        <w:jc w:val="both"/>
        <w:rPr>
          <w:rFonts w:ascii="Times New Roman" w:eastAsia="Times New Roman" w:hAnsi="Times New Roman" w:cs="Times New Roman"/>
          <w:sz w:val="24"/>
          <w:szCs w:val="24"/>
        </w:rPr>
      </w:pPr>
    </w:p>
    <w:p w14:paraId="76BB26E0" w14:textId="77777777" w:rsidR="009846E9" w:rsidRDefault="009846E9" w:rsidP="00744A72">
      <w:pPr>
        <w:spacing w:before="100" w:beforeAutospacing="1" w:after="100" w:afterAutospacing="1" w:line="480" w:lineRule="auto"/>
        <w:jc w:val="both"/>
        <w:rPr>
          <w:rFonts w:ascii="Times New Roman" w:eastAsia="Times New Roman" w:hAnsi="Times New Roman" w:cs="Times New Roman"/>
          <w:sz w:val="24"/>
          <w:szCs w:val="24"/>
        </w:rPr>
      </w:pPr>
    </w:p>
    <w:p w14:paraId="04CF582A" w14:textId="77777777" w:rsidR="009846E9" w:rsidRDefault="009846E9" w:rsidP="00744A72">
      <w:pPr>
        <w:spacing w:before="100" w:beforeAutospacing="1" w:after="100" w:afterAutospacing="1" w:line="480" w:lineRule="auto"/>
        <w:jc w:val="both"/>
        <w:rPr>
          <w:rFonts w:ascii="Times New Roman" w:eastAsia="Times New Roman" w:hAnsi="Times New Roman" w:cs="Times New Roman"/>
          <w:sz w:val="24"/>
          <w:szCs w:val="24"/>
        </w:rPr>
      </w:pPr>
    </w:p>
    <w:p w14:paraId="2175EF3E" w14:textId="77777777" w:rsidR="009846E9" w:rsidRDefault="009846E9" w:rsidP="00744A72">
      <w:pPr>
        <w:spacing w:before="100" w:beforeAutospacing="1" w:after="100" w:afterAutospacing="1" w:line="480" w:lineRule="auto"/>
        <w:jc w:val="both"/>
        <w:rPr>
          <w:rFonts w:ascii="Times New Roman" w:eastAsia="Times New Roman" w:hAnsi="Times New Roman" w:cs="Times New Roman"/>
          <w:sz w:val="24"/>
          <w:szCs w:val="24"/>
        </w:rPr>
      </w:pPr>
    </w:p>
    <w:p w14:paraId="4467E8E7" w14:textId="77777777" w:rsidR="009846E9" w:rsidRDefault="009846E9" w:rsidP="00744A72">
      <w:pPr>
        <w:spacing w:before="100" w:beforeAutospacing="1" w:after="100" w:afterAutospacing="1" w:line="480" w:lineRule="auto"/>
        <w:jc w:val="both"/>
        <w:rPr>
          <w:rFonts w:ascii="Times New Roman" w:eastAsia="Times New Roman" w:hAnsi="Times New Roman" w:cs="Times New Roman"/>
          <w:sz w:val="24"/>
          <w:szCs w:val="24"/>
        </w:rPr>
      </w:pPr>
    </w:p>
    <w:p w14:paraId="615EB56A" w14:textId="77777777" w:rsidR="009846E9" w:rsidRDefault="009846E9" w:rsidP="00744A72">
      <w:pPr>
        <w:spacing w:before="100" w:beforeAutospacing="1" w:after="100" w:afterAutospacing="1" w:line="480" w:lineRule="auto"/>
        <w:jc w:val="both"/>
        <w:rPr>
          <w:rFonts w:ascii="Times New Roman" w:eastAsia="Times New Roman" w:hAnsi="Times New Roman" w:cs="Times New Roman"/>
          <w:sz w:val="24"/>
          <w:szCs w:val="24"/>
        </w:rPr>
      </w:pPr>
    </w:p>
    <w:p w14:paraId="09629900" w14:textId="77777777" w:rsidR="008A0B0D" w:rsidRDefault="008A0B0D" w:rsidP="00744A72">
      <w:pPr>
        <w:spacing w:before="100" w:beforeAutospacing="1" w:after="100" w:afterAutospacing="1" w:line="480" w:lineRule="auto"/>
        <w:jc w:val="both"/>
        <w:rPr>
          <w:rFonts w:ascii="Times New Roman" w:eastAsia="Times New Roman" w:hAnsi="Times New Roman" w:cs="Times New Roman"/>
          <w:sz w:val="24"/>
          <w:szCs w:val="24"/>
        </w:rPr>
      </w:pPr>
    </w:p>
    <w:p w14:paraId="26944149" w14:textId="77777777" w:rsidR="009846E9" w:rsidRPr="009846E9" w:rsidRDefault="009846E9" w:rsidP="00857F67">
      <w:pPr>
        <w:spacing w:line="360" w:lineRule="auto"/>
        <w:jc w:val="center"/>
        <w:rPr>
          <w:rFonts w:ascii="Times New Roman" w:hAnsi="Times New Roman" w:cs="Times New Roman"/>
          <w:b/>
          <w:sz w:val="24"/>
          <w:szCs w:val="24"/>
        </w:rPr>
      </w:pPr>
      <w:r w:rsidRPr="009846E9">
        <w:rPr>
          <w:rFonts w:ascii="Times New Roman" w:hAnsi="Times New Roman" w:cs="Times New Roman"/>
          <w:b/>
          <w:sz w:val="24"/>
          <w:szCs w:val="24"/>
        </w:rPr>
        <w:lastRenderedPageBreak/>
        <w:t xml:space="preserve">CHAPTER TWO </w:t>
      </w:r>
    </w:p>
    <w:p w14:paraId="20994E69" w14:textId="77777777" w:rsidR="009846E9" w:rsidRPr="009846E9" w:rsidRDefault="009846E9" w:rsidP="00857F67">
      <w:pPr>
        <w:spacing w:line="360" w:lineRule="auto"/>
        <w:jc w:val="center"/>
        <w:rPr>
          <w:rFonts w:ascii="Times New Roman" w:hAnsi="Times New Roman" w:cs="Times New Roman"/>
          <w:b/>
          <w:sz w:val="24"/>
          <w:szCs w:val="24"/>
        </w:rPr>
      </w:pPr>
      <w:r w:rsidRPr="009846E9">
        <w:rPr>
          <w:rFonts w:ascii="Times New Roman" w:hAnsi="Times New Roman" w:cs="Times New Roman"/>
          <w:b/>
          <w:sz w:val="24"/>
          <w:szCs w:val="24"/>
        </w:rPr>
        <w:t>DEFINITION OF THE ISSUE</w:t>
      </w:r>
    </w:p>
    <w:p w14:paraId="3461D129" w14:textId="77777777" w:rsidR="009846E9" w:rsidRDefault="009846E9" w:rsidP="009846E9">
      <w:pPr>
        <w:spacing w:before="100" w:beforeAutospacing="1" w:after="100" w:afterAutospacing="1" w:line="480" w:lineRule="auto"/>
        <w:jc w:val="both"/>
        <w:rPr>
          <w:rFonts w:ascii="Times New Roman" w:eastAsia="Times New Roman" w:hAnsi="Times New Roman" w:cs="Times New Roman"/>
          <w:sz w:val="24"/>
          <w:szCs w:val="24"/>
        </w:rPr>
      </w:pPr>
      <w:r w:rsidRPr="009846E9">
        <w:rPr>
          <w:rFonts w:ascii="Times New Roman" w:eastAsia="Times New Roman" w:hAnsi="Times New Roman" w:cs="Times New Roman"/>
          <w:b/>
          <w:bCs/>
          <w:sz w:val="24"/>
          <w:szCs w:val="24"/>
        </w:rPr>
        <w:t>2.0 Introduction</w:t>
      </w:r>
      <w:r w:rsidRPr="009846E9">
        <w:rPr>
          <w:rFonts w:ascii="Times New Roman" w:eastAsia="Times New Roman" w:hAnsi="Times New Roman" w:cs="Times New Roman"/>
          <w:sz w:val="24"/>
          <w:szCs w:val="24"/>
        </w:rPr>
        <w:t xml:space="preserve"> </w:t>
      </w:r>
    </w:p>
    <w:p w14:paraId="27A1E285" w14:textId="77777777" w:rsidR="009846E9" w:rsidRPr="009846E9" w:rsidRDefault="009846E9" w:rsidP="009846E9">
      <w:pPr>
        <w:spacing w:before="100" w:beforeAutospacing="1" w:after="100" w:afterAutospacing="1" w:line="480" w:lineRule="auto"/>
        <w:jc w:val="both"/>
        <w:rPr>
          <w:rFonts w:ascii="Times New Roman" w:eastAsia="Times New Roman" w:hAnsi="Times New Roman" w:cs="Times New Roman"/>
          <w:sz w:val="24"/>
          <w:szCs w:val="24"/>
        </w:rPr>
      </w:pPr>
      <w:r w:rsidRPr="009846E9">
        <w:rPr>
          <w:rFonts w:ascii="Times New Roman" w:eastAsia="Times New Roman" w:hAnsi="Times New Roman" w:cs="Times New Roman"/>
          <w:sz w:val="24"/>
          <w:szCs w:val="24"/>
        </w:rPr>
        <w:t xml:space="preserve">This chapter defines the core issue under investigation and establishes the conceptual boundaries of the study. It clarifies what constitutes the problem, why it warrants scholarly inquiry, and how it manifests within the specific context of Plateau State. The investigation centers on viral load suppression among individuals receiving antiretroviral therapy and the multilevel factors that influence these treatment outcomes. In line with the programmatic standards of the World Health Organization, viral load suppression is defined as a plasma HIV RNA level below 1,000 copies per milliliter after at least six months of sustained antiretroviral therapy (World Health Organization, 2022). This threshold represents effective virologic control in routine clinical practice and is widely used to monitor progress toward the global HIV targets set by UNAIDS (UNAIDS, 2023). Achieving and sustaining this level of suppression prevents disease progression, reduces HIV related mortality, and effectively eliminates the risk of sexual transmission when viral levels are undetectable (Rodger et al., 2019; World Health Organization, 2022). </w:t>
      </w:r>
    </w:p>
    <w:p w14:paraId="087BCCE1" w14:textId="77777777" w:rsidR="009846E9" w:rsidRDefault="009846E9" w:rsidP="009846E9">
      <w:pPr>
        <w:spacing w:before="100" w:beforeAutospacing="1" w:after="100" w:afterAutospacing="1" w:line="480" w:lineRule="auto"/>
        <w:jc w:val="both"/>
        <w:rPr>
          <w:rFonts w:ascii="Times New Roman" w:eastAsia="Times New Roman" w:hAnsi="Times New Roman" w:cs="Times New Roman"/>
          <w:sz w:val="24"/>
          <w:szCs w:val="24"/>
        </w:rPr>
      </w:pPr>
      <w:r w:rsidRPr="009846E9">
        <w:rPr>
          <w:rFonts w:ascii="Times New Roman" w:eastAsia="Times New Roman" w:hAnsi="Times New Roman" w:cs="Times New Roman"/>
          <w:sz w:val="24"/>
          <w:szCs w:val="24"/>
        </w:rPr>
        <w:t xml:space="preserve">Despite expanded access to treatment across Nigeria, disparities in suppression outcomes persist across population subgroups and health facilities (National Agency for the Control of AIDS, 2022; UNAIDS, 2025). The central issue is therefore no longer simply treatment coverage, but the consistency and equity of virologic success across diverse, decentralized service delivery contexts. This chapter proceeds by first presenting the formal statement of the issue, followed by a detailed description of its dimensions, determinants, and public health implications within the study setting. </w:t>
      </w:r>
    </w:p>
    <w:p w14:paraId="106F8EEF" w14:textId="77777777" w:rsidR="006D0F81" w:rsidRPr="009846E9" w:rsidRDefault="006D0F81" w:rsidP="009846E9">
      <w:pPr>
        <w:spacing w:before="100" w:beforeAutospacing="1" w:after="100" w:afterAutospacing="1" w:line="480" w:lineRule="auto"/>
        <w:jc w:val="both"/>
        <w:rPr>
          <w:rFonts w:ascii="Times New Roman" w:eastAsia="Times New Roman" w:hAnsi="Times New Roman" w:cs="Times New Roman"/>
          <w:sz w:val="24"/>
          <w:szCs w:val="24"/>
        </w:rPr>
      </w:pPr>
    </w:p>
    <w:p w14:paraId="22CB2D55" w14:textId="77777777" w:rsidR="009846E9" w:rsidRDefault="009846E9" w:rsidP="009846E9">
      <w:pPr>
        <w:spacing w:before="100" w:beforeAutospacing="1" w:after="100" w:afterAutospacing="1" w:line="480" w:lineRule="auto"/>
        <w:jc w:val="both"/>
        <w:rPr>
          <w:rFonts w:ascii="Times New Roman" w:eastAsia="Times New Roman" w:hAnsi="Times New Roman" w:cs="Times New Roman"/>
          <w:sz w:val="24"/>
          <w:szCs w:val="24"/>
        </w:rPr>
      </w:pPr>
      <w:r w:rsidRPr="009846E9">
        <w:rPr>
          <w:rFonts w:ascii="Times New Roman" w:eastAsia="Times New Roman" w:hAnsi="Times New Roman" w:cs="Times New Roman"/>
          <w:b/>
          <w:bCs/>
          <w:sz w:val="24"/>
          <w:szCs w:val="24"/>
        </w:rPr>
        <w:lastRenderedPageBreak/>
        <w:t>2.1 Statement of the Issue</w:t>
      </w:r>
      <w:r w:rsidRPr="009846E9">
        <w:rPr>
          <w:rFonts w:ascii="Times New Roman" w:eastAsia="Times New Roman" w:hAnsi="Times New Roman" w:cs="Times New Roman"/>
          <w:sz w:val="24"/>
          <w:szCs w:val="24"/>
        </w:rPr>
        <w:t xml:space="preserve"> </w:t>
      </w:r>
    </w:p>
    <w:p w14:paraId="6796ECCB" w14:textId="77777777" w:rsidR="009846E9" w:rsidRPr="009846E9" w:rsidRDefault="009846E9" w:rsidP="009846E9">
      <w:pPr>
        <w:spacing w:before="100" w:beforeAutospacing="1" w:after="100" w:afterAutospacing="1" w:line="480" w:lineRule="auto"/>
        <w:jc w:val="both"/>
        <w:rPr>
          <w:rFonts w:ascii="Times New Roman" w:eastAsia="Times New Roman" w:hAnsi="Times New Roman" w:cs="Times New Roman"/>
          <w:sz w:val="24"/>
          <w:szCs w:val="24"/>
        </w:rPr>
      </w:pPr>
      <w:r w:rsidRPr="009846E9">
        <w:rPr>
          <w:rFonts w:ascii="Times New Roman" w:eastAsia="Times New Roman" w:hAnsi="Times New Roman" w:cs="Times New Roman"/>
          <w:sz w:val="24"/>
          <w:szCs w:val="24"/>
        </w:rPr>
        <w:t xml:space="preserve">The pursuit of epidemic control in Nigeria is currently hindered by a significant disconnect between the rapid scale up of antiretroviral therapy and the equitable attainment of sustained viral load suppression. While Nigeria has successfully transitioned to highly potent, Dolutegravir based regimens and expanded its treatment footprint to nearly two million people, the final metric of the UNAIDS 95 95 95 targets remains elusive. The most pressing programmatic concern is that simply being on treatment is an inadequate surrogate for clinical success. </w:t>
      </w:r>
    </w:p>
    <w:p w14:paraId="24071C90" w14:textId="77777777" w:rsidR="009846E9" w:rsidRPr="009846E9" w:rsidRDefault="009846E9" w:rsidP="009846E9">
      <w:pPr>
        <w:spacing w:before="100" w:beforeAutospacing="1" w:after="100" w:afterAutospacing="1" w:line="480" w:lineRule="auto"/>
        <w:jc w:val="both"/>
        <w:rPr>
          <w:rFonts w:ascii="Times New Roman" w:eastAsia="Times New Roman" w:hAnsi="Times New Roman" w:cs="Times New Roman"/>
          <w:sz w:val="24"/>
          <w:szCs w:val="24"/>
        </w:rPr>
      </w:pPr>
      <w:r w:rsidRPr="009846E9">
        <w:rPr>
          <w:rFonts w:ascii="Times New Roman" w:eastAsia="Times New Roman" w:hAnsi="Times New Roman" w:cs="Times New Roman"/>
          <w:sz w:val="24"/>
          <w:szCs w:val="24"/>
        </w:rPr>
        <w:t xml:space="preserve">To understand this gap, one must distinguish between suppression among those on treatment and suppression across the total infected population. The 2018 Nigeria HIV and AIDS Indicator and Impact Survey estimated population level adult viral suppression calculated using all people living with HIV as the denominator, regardless of their diagnosis or treatment status at an alarming 44.5 percent (National Agency for the Control of AIDS, 2022). Recent programmatic data indicate massive improvements; as of late 2025, approximately 95 percent of individuals actively receiving antiretroviral therapy have achieved suppression (National Agency for the Control of AIDS, 2025). However, when returning to the broader population level denominator, the Joint United Nations </w:t>
      </w:r>
      <w:proofErr w:type="spellStart"/>
      <w:r w:rsidRPr="009846E9">
        <w:rPr>
          <w:rFonts w:ascii="Times New Roman" w:eastAsia="Times New Roman" w:hAnsi="Times New Roman" w:cs="Times New Roman"/>
          <w:sz w:val="24"/>
          <w:szCs w:val="24"/>
        </w:rPr>
        <w:t>Programme</w:t>
      </w:r>
      <w:proofErr w:type="spellEnd"/>
      <w:r w:rsidRPr="009846E9">
        <w:rPr>
          <w:rFonts w:ascii="Times New Roman" w:eastAsia="Times New Roman" w:hAnsi="Times New Roman" w:cs="Times New Roman"/>
          <w:sz w:val="24"/>
          <w:szCs w:val="24"/>
        </w:rPr>
        <w:t xml:space="preserve"> on HIV/AIDS estimates that the total viral suppression rate in Nigeria sits closer to 79 percent (UNAIDS, 2025). This epidemiological divergence reveals a persistent leaky pipeline where roughly one in five infected individuals remains at risk of opportunistic infections, the development of transmissible drug resistance, and onward transmission (Tomescu et al., 2023; UNAIDS, 2025). </w:t>
      </w:r>
    </w:p>
    <w:p w14:paraId="3FDF7A9B" w14:textId="77777777" w:rsidR="009846E9" w:rsidRPr="009846E9" w:rsidRDefault="009846E9" w:rsidP="009846E9">
      <w:pPr>
        <w:spacing w:before="100" w:beforeAutospacing="1" w:after="100" w:afterAutospacing="1" w:line="480" w:lineRule="auto"/>
        <w:jc w:val="both"/>
        <w:rPr>
          <w:rFonts w:ascii="Times New Roman" w:eastAsia="Times New Roman" w:hAnsi="Times New Roman" w:cs="Times New Roman"/>
          <w:sz w:val="24"/>
          <w:szCs w:val="24"/>
        </w:rPr>
      </w:pPr>
      <w:r w:rsidRPr="009846E9">
        <w:rPr>
          <w:rFonts w:ascii="Times New Roman" w:eastAsia="Times New Roman" w:hAnsi="Times New Roman" w:cs="Times New Roman"/>
          <w:sz w:val="24"/>
          <w:szCs w:val="24"/>
        </w:rPr>
        <w:t xml:space="preserve">The crux of the problem lies in the heterogeneity of treatment outcomes across different tiers of care and geographic regions. Most evidence supporting high viral suppression rates in Nigeria </w:t>
      </w:r>
      <w:r w:rsidRPr="009846E9">
        <w:rPr>
          <w:rFonts w:ascii="Times New Roman" w:eastAsia="Times New Roman" w:hAnsi="Times New Roman" w:cs="Times New Roman"/>
          <w:sz w:val="24"/>
          <w:szCs w:val="24"/>
        </w:rPr>
        <w:lastRenderedPageBreak/>
        <w:t xml:space="preserve">originates from large scale national aggregates or highly controlled clinical trials, which often mask the </w:t>
      </w:r>
      <w:proofErr w:type="gramStart"/>
      <w:r w:rsidRPr="009846E9">
        <w:rPr>
          <w:rFonts w:ascii="Times New Roman" w:eastAsia="Times New Roman" w:hAnsi="Times New Roman" w:cs="Times New Roman"/>
          <w:sz w:val="24"/>
          <w:szCs w:val="24"/>
        </w:rPr>
        <w:t>real world</w:t>
      </w:r>
      <w:proofErr w:type="gramEnd"/>
      <w:r w:rsidRPr="009846E9">
        <w:rPr>
          <w:rFonts w:ascii="Times New Roman" w:eastAsia="Times New Roman" w:hAnsi="Times New Roman" w:cs="Times New Roman"/>
          <w:sz w:val="24"/>
          <w:szCs w:val="24"/>
        </w:rPr>
        <w:t xml:space="preserve"> attrition occurring at the decentralized facility level. Specifically, in Plateau State, the HIV response is characterized by a fragmented network of primary, secondary, and tertiary sites, each operating with varying degrees of resource stability, laboratory access, and clinical expertise. Existing empirical literature in Nigeria has frequently focused on single center tertiary facilities (Adedoyin et al., 2021; </w:t>
      </w:r>
      <w:proofErr w:type="spellStart"/>
      <w:r w:rsidRPr="009846E9">
        <w:rPr>
          <w:rFonts w:ascii="Times New Roman" w:eastAsia="Times New Roman" w:hAnsi="Times New Roman" w:cs="Times New Roman"/>
          <w:sz w:val="24"/>
          <w:szCs w:val="24"/>
        </w:rPr>
        <w:t>Ojeh</w:t>
      </w:r>
      <w:proofErr w:type="spellEnd"/>
      <w:r w:rsidRPr="009846E9">
        <w:rPr>
          <w:rFonts w:ascii="Times New Roman" w:eastAsia="Times New Roman" w:hAnsi="Times New Roman" w:cs="Times New Roman"/>
          <w:sz w:val="24"/>
          <w:szCs w:val="24"/>
        </w:rPr>
        <w:t xml:space="preserve"> et al., 2022). These studies suffer from inherent selection bias, evaluating patients exclusively at high resource hubs and leaving a critical evidence gap regarding the determinants of suppression in the primary and secondary settings where the majority of the state decentralized HIV population is managed. </w:t>
      </w:r>
    </w:p>
    <w:p w14:paraId="7B6F7248" w14:textId="77777777" w:rsidR="009846E9" w:rsidRPr="009846E9" w:rsidRDefault="009846E9" w:rsidP="009846E9">
      <w:pPr>
        <w:spacing w:before="100" w:beforeAutospacing="1" w:after="100" w:afterAutospacing="1" w:line="480" w:lineRule="auto"/>
        <w:jc w:val="both"/>
        <w:rPr>
          <w:rFonts w:ascii="Times New Roman" w:eastAsia="Times New Roman" w:hAnsi="Times New Roman" w:cs="Times New Roman"/>
          <w:sz w:val="24"/>
          <w:szCs w:val="24"/>
        </w:rPr>
      </w:pPr>
      <w:r w:rsidRPr="009846E9">
        <w:rPr>
          <w:rFonts w:ascii="Times New Roman" w:eastAsia="Times New Roman" w:hAnsi="Times New Roman" w:cs="Times New Roman"/>
          <w:sz w:val="24"/>
          <w:szCs w:val="24"/>
        </w:rPr>
        <w:t xml:space="preserve">Furthermore, there is a distinct lack of integrated analysis examining the interplay between individual sociodemographic vulnerabilities and the health system environment. While advanced clinical staging and younger age are known risk factors for treatment failure, these variables are rarely quantified alongside institutional factors such as a facility tier of care or ownership structure within a unified analytical framework. </w:t>
      </w:r>
    </w:p>
    <w:p w14:paraId="7D803C86" w14:textId="77777777" w:rsidR="009846E9" w:rsidRPr="009846E9" w:rsidRDefault="009846E9" w:rsidP="009846E9">
      <w:pPr>
        <w:spacing w:before="100" w:beforeAutospacing="1" w:after="100" w:afterAutospacing="1" w:line="480" w:lineRule="auto"/>
        <w:jc w:val="both"/>
        <w:rPr>
          <w:rFonts w:ascii="Times New Roman" w:eastAsia="Times New Roman" w:hAnsi="Times New Roman" w:cs="Times New Roman"/>
          <w:sz w:val="24"/>
          <w:szCs w:val="24"/>
        </w:rPr>
      </w:pPr>
      <w:r w:rsidRPr="009846E9">
        <w:rPr>
          <w:rFonts w:ascii="Times New Roman" w:eastAsia="Times New Roman" w:hAnsi="Times New Roman" w:cs="Times New Roman"/>
          <w:sz w:val="24"/>
          <w:szCs w:val="24"/>
        </w:rPr>
        <w:t xml:space="preserve">Methodologically, the reliance on conventional, single level analyses prevalent in Nigerian HIV research fails to account for the clustering effect of the health facility. Patients are not strictly independent observations; their clinical outcomes are nested within, and heavily influenced by, the quality and capacity of the specific clinic they attend. Without a multilevel analytical approach utilizing retrospective, </w:t>
      </w:r>
      <w:proofErr w:type="spellStart"/>
      <w:r w:rsidRPr="009846E9">
        <w:rPr>
          <w:rFonts w:ascii="Times New Roman" w:eastAsia="Times New Roman" w:hAnsi="Times New Roman" w:cs="Times New Roman"/>
          <w:sz w:val="24"/>
          <w:szCs w:val="24"/>
        </w:rPr>
        <w:t>multi site</w:t>
      </w:r>
      <w:proofErr w:type="spellEnd"/>
      <w:r w:rsidRPr="009846E9">
        <w:rPr>
          <w:rFonts w:ascii="Times New Roman" w:eastAsia="Times New Roman" w:hAnsi="Times New Roman" w:cs="Times New Roman"/>
          <w:sz w:val="24"/>
          <w:szCs w:val="24"/>
        </w:rPr>
        <w:t xml:space="preserve"> electronic medical record data, it is statistically impossible to determine whether non suppression in Plateau State is driven primarily by patient level characteristics or facility level structural failures. </w:t>
      </w:r>
    </w:p>
    <w:p w14:paraId="3B9ED0FF" w14:textId="77777777" w:rsidR="009846E9" w:rsidRDefault="009846E9" w:rsidP="009846E9">
      <w:pPr>
        <w:spacing w:before="100" w:beforeAutospacing="1" w:after="100" w:afterAutospacing="1" w:line="480" w:lineRule="auto"/>
        <w:jc w:val="both"/>
        <w:rPr>
          <w:rFonts w:ascii="Times New Roman" w:eastAsia="Times New Roman" w:hAnsi="Times New Roman" w:cs="Times New Roman"/>
          <w:sz w:val="24"/>
          <w:szCs w:val="24"/>
        </w:rPr>
      </w:pPr>
      <w:r w:rsidRPr="009846E9">
        <w:rPr>
          <w:rFonts w:ascii="Times New Roman" w:eastAsia="Times New Roman" w:hAnsi="Times New Roman" w:cs="Times New Roman"/>
          <w:sz w:val="24"/>
          <w:szCs w:val="24"/>
        </w:rPr>
        <w:lastRenderedPageBreak/>
        <w:t>If this subnational evidence gap is not bridged, state level resource allocation will remain generalized and potentially ineffective. This study seeks to address this problem by providing a comprehensive, multilevel, cross sectional analysis of the factors associated with viral load suppression in Plateau State, offering the precise empirical foundation required to transition from generalized treatment mod</w:t>
      </w:r>
      <w:r w:rsidR="00821017">
        <w:rPr>
          <w:rFonts w:ascii="Times New Roman" w:eastAsia="Times New Roman" w:hAnsi="Times New Roman" w:cs="Times New Roman"/>
          <w:sz w:val="24"/>
          <w:szCs w:val="24"/>
        </w:rPr>
        <w:t>els to precision public health.</w:t>
      </w:r>
    </w:p>
    <w:p w14:paraId="56C4AB44" w14:textId="77777777" w:rsidR="00821017" w:rsidRPr="00821017" w:rsidRDefault="00821017" w:rsidP="00821017">
      <w:pPr>
        <w:spacing w:before="100" w:beforeAutospacing="1" w:after="100" w:afterAutospacing="1" w:line="480" w:lineRule="auto"/>
        <w:jc w:val="both"/>
        <w:rPr>
          <w:rFonts w:ascii="Times New Roman" w:eastAsia="Times New Roman" w:hAnsi="Times New Roman" w:cs="Times New Roman"/>
          <w:b/>
          <w:bCs/>
          <w:sz w:val="24"/>
          <w:szCs w:val="24"/>
        </w:rPr>
      </w:pPr>
      <w:r w:rsidRPr="00821017">
        <w:rPr>
          <w:rFonts w:ascii="Times New Roman" w:eastAsia="Times New Roman" w:hAnsi="Times New Roman" w:cs="Times New Roman"/>
          <w:b/>
          <w:bCs/>
          <w:sz w:val="24"/>
          <w:szCs w:val="24"/>
        </w:rPr>
        <w:t>2.2 Description of the Issue</w:t>
      </w:r>
    </w:p>
    <w:p w14:paraId="51EB275E" w14:textId="77777777" w:rsidR="00821017" w:rsidRPr="00821017" w:rsidRDefault="00821017" w:rsidP="00821017">
      <w:pPr>
        <w:spacing w:before="100" w:beforeAutospacing="1" w:after="100" w:afterAutospacing="1" w:line="480" w:lineRule="auto"/>
        <w:jc w:val="both"/>
        <w:rPr>
          <w:rFonts w:ascii="Times New Roman" w:eastAsia="Times New Roman" w:hAnsi="Times New Roman" w:cs="Times New Roman"/>
          <w:sz w:val="24"/>
          <w:szCs w:val="24"/>
        </w:rPr>
      </w:pPr>
      <w:r w:rsidRPr="00821017">
        <w:rPr>
          <w:rFonts w:ascii="Times New Roman" w:eastAsia="Times New Roman" w:hAnsi="Times New Roman" w:cs="Times New Roman"/>
          <w:sz w:val="24"/>
          <w:szCs w:val="24"/>
        </w:rPr>
        <w:t>The issue of viral load suppression in Plateau State is fundamentally a systemic and operational failure. The widespread programmatic introduction of highly potent Dolutegravir based antiretroviral therapy has made rapid viral clearance biologically attainable for most patients. However, this clinical potential is severely compromised by the structural realities of decentralized care delivery. The core problem manifests as a progressive attrition of clinical success, where patients who are successfully initiated on treatment ultimately fail to maintain virologic control due to institutional bottlenecks (Tomescu et al., 2023).</w:t>
      </w:r>
    </w:p>
    <w:p w14:paraId="45522EEB" w14:textId="77777777" w:rsidR="00821017" w:rsidRPr="00821017" w:rsidRDefault="00821017" w:rsidP="00821017">
      <w:pPr>
        <w:spacing w:before="100" w:beforeAutospacing="1" w:after="100" w:afterAutospacing="1" w:line="480" w:lineRule="auto"/>
        <w:jc w:val="both"/>
        <w:rPr>
          <w:rFonts w:ascii="Times New Roman" w:eastAsia="Times New Roman" w:hAnsi="Times New Roman" w:cs="Times New Roman"/>
          <w:sz w:val="24"/>
          <w:szCs w:val="24"/>
        </w:rPr>
      </w:pPr>
      <w:r w:rsidRPr="00821017">
        <w:rPr>
          <w:rFonts w:ascii="Times New Roman" w:eastAsia="Times New Roman" w:hAnsi="Times New Roman" w:cs="Times New Roman"/>
          <w:sz w:val="24"/>
          <w:szCs w:val="24"/>
        </w:rPr>
        <w:t xml:space="preserve">A central dimension of this issue is the stark institutional disparity in treatment outcomes across the health system hierarchy. Plateau State operates a vast decentralized network comprising 1145 primary health centers, 85 secondary facilities, and 3 tertiary institutions (Plateau State Ministry of Health, 2025). While this structure improves geographical access, empirical evidence demonstrates that lower tier rural facilities frequently lack the robust adherence support mechanisms, stable human resources, and clinical oversight found in urban tertiary institutions (Okonkwo et al., 2014). Consequently, patients managed in decentralized rural clinics often face compounded logistical barriers, such as prolonged laboratory turnaround times and unreliable supply chains for essential commodities, which directly undermine their virologic success (Osayi </w:t>
      </w:r>
      <w:r w:rsidRPr="00821017">
        <w:rPr>
          <w:rFonts w:ascii="Times New Roman" w:eastAsia="Times New Roman" w:hAnsi="Times New Roman" w:cs="Times New Roman"/>
          <w:sz w:val="24"/>
          <w:szCs w:val="24"/>
        </w:rPr>
        <w:lastRenderedPageBreak/>
        <w:t>et al., 2024). This creates a bifurcated health system where the likelihood of a patient achieving suppression is heavily dictated by the specific facility they attend.</w:t>
      </w:r>
    </w:p>
    <w:p w14:paraId="7CDECB2E" w14:textId="77777777" w:rsidR="00821017" w:rsidRPr="00821017" w:rsidRDefault="00821017" w:rsidP="00821017">
      <w:pPr>
        <w:spacing w:before="100" w:beforeAutospacing="1" w:after="100" w:afterAutospacing="1" w:line="480" w:lineRule="auto"/>
        <w:jc w:val="both"/>
        <w:rPr>
          <w:rFonts w:ascii="Times New Roman" w:eastAsia="Times New Roman" w:hAnsi="Times New Roman" w:cs="Times New Roman"/>
          <w:sz w:val="24"/>
          <w:szCs w:val="24"/>
        </w:rPr>
      </w:pPr>
      <w:r w:rsidRPr="00821017">
        <w:rPr>
          <w:rFonts w:ascii="Times New Roman" w:eastAsia="Times New Roman" w:hAnsi="Times New Roman" w:cs="Times New Roman"/>
          <w:sz w:val="24"/>
          <w:szCs w:val="24"/>
        </w:rPr>
        <w:t>Furthermore, the issue is characterized by the inability of the current service delivery infrastructure to consistently mitigate established patient vulnerabilities. Routine programmatic data and empirical literature identify specific cohorts, such as males and individuals initiating care with advanced clinical staging or unsuppressed baseline viral loads, as having elevated risks of treatment interruption and virologic failure (Tomescu et al., 2023). Yet, the institutional response across many facilities remains largely uniform. Many clinics struggle to successfully implement the targeted differentiated service delivery models, such as optimized multi month dispensing, that are proven to retain these specific demographics and improve overall viral suppression rates (Semo et al., 2023).</w:t>
      </w:r>
    </w:p>
    <w:p w14:paraId="0A258D70" w14:textId="77777777" w:rsidR="00821017" w:rsidRPr="00821017" w:rsidRDefault="00821017" w:rsidP="00821017">
      <w:pPr>
        <w:spacing w:before="100" w:beforeAutospacing="1" w:after="100" w:afterAutospacing="1" w:line="480" w:lineRule="auto"/>
        <w:jc w:val="both"/>
        <w:rPr>
          <w:rFonts w:ascii="Times New Roman" w:eastAsia="Times New Roman" w:hAnsi="Times New Roman" w:cs="Times New Roman"/>
          <w:sz w:val="24"/>
          <w:szCs w:val="24"/>
        </w:rPr>
      </w:pPr>
      <w:r w:rsidRPr="00821017">
        <w:rPr>
          <w:rFonts w:ascii="Times New Roman" w:eastAsia="Times New Roman" w:hAnsi="Times New Roman" w:cs="Times New Roman"/>
          <w:sz w:val="24"/>
          <w:szCs w:val="24"/>
        </w:rPr>
        <w:t>Additionally, this localized operational crisis is currently exacerbated by the strategic realignment of international HIV financing. The ongoing transition toward country led sustainability models has introduced a transitional strain on facility support across Nigeria. Early 2025 saw significant disruptions in community testing and monitoring teams as international aid scaled back direct facility intervention (Nigeria Health Watch, 2025). These macro level fiscal transitions occur alongside persistent micro level clinical barriers.</w:t>
      </w:r>
    </w:p>
    <w:p w14:paraId="5DAFC08D" w14:textId="77777777" w:rsidR="00821017" w:rsidRDefault="00821017" w:rsidP="00821017">
      <w:pPr>
        <w:spacing w:before="100" w:beforeAutospacing="1" w:after="100" w:afterAutospacing="1" w:line="480" w:lineRule="auto"/>
        <w:jc w:val="both"/>
        <w:rPr>
          <w:rFonts w:ascii="Times New Roman" w:eastAsia="Times New Roman" w:hAnsi="Times New Roman" w:cs="Times New Roman"/>
          <w:sz w:val="24"/>
          <w:szCs w:val="24"/>
        </w:rPr>
      </w:pPr>
      <w:r w:rsidRPr="00821017">
        <w:rPr>
          <w:rFonts w:ascii="Times New Roman" w:eastAsia="Times New Roman" w:hAnsi="Times New Roman" w:cs="Times New Roman"/>
          <w:sz w:val="24"/>
          <w:szCs w:val="24"/>
        </w:rPr>
        <w:t>Therefore, the precise problem under investigation is the critical evidence gap regarding how these specific facility level operational constraints interact dynamically with individual clinical vulnerabilities to produce the suboptimal viral suppression rates observed across Plateau State.</w:t>
      </w:r>
    </w:p>
    <w:p w14:paraId="3A7ACA46" w14:textId="77777777" w:rsidR="0032299C" w:rsidRDefault="0032299C" w:rsidP="00821017">
      <w:pPr>
        <w:spacing w:before="100" w:beforeAutospacing="1" w:after="100" w:afterAutospacing="1" w:line="480" w:lineRule="auto"/>
        <w:jc w:val="both"/>
        <w:rPr>
          <w:rFonts w:ascii="Times New Roman" w:eastAsia="Times New Roman" w:hAnsi="Times New Roman" w:cs="Times New Roman"/>
          <w:sz w:val="24"/>
          <w:szCs w:val="24"/>
        </w:rPr>
      </w:pPr>
    </w:p>
    <w:p w14:paraId="13AEAC3C" w14:textId="77777777" w:rsidR="0032299C" w:rsidRPr="0032299C" w:rsidRDefault="0032299C" w:rsidP="00492B04">
      <w:pPr>
        <w:spacing w:before="100" w:beforeAutospacing="1" w:after="100" w:afterAutospacing="1" w:line="360" w:lineRule="auto"/>
        <w:jc w:val="center"/>
        <w:rPr>
          <w:rFonts w:ascii="Times New Roman" w:eastAsia="Times New Roman" w:hAnsi="Times New Roman" w:cs="Times New Roman"/>
          <w:b/>
          <w:bCs/>
          <w:sz w:val="24"/>
          <w:szCs w:val="24"/>
        </w:rPr>
      </w:pPr>
      <w:r w:rsidRPr="0032299C">
        <w:rPr>
          <w:rFonts w:ascii="Times New Roman" w:eastAsia="Times New Roman" w:hAnsi="Times New Roman" w:cs="Times New Roman"/>
          <w:b/>
          <w:bCs/>
          <w:sz w:val="24"/>
          <w:szCs w:val="24"/>
        </w:rPr>
        <w:lastRenderedPageBreak/>
        <w:t>CHAPTER THREE</w:t>
      </w:r>
    </w:p>
    <w:p w14:paraId="2F12343E" w14:textId="77777777" w:rsidR="0032299C" w:rsidRPr="0032299C" w:rsidRDefault="0032299C" w:rsidP="00492B04">
      <w:pPr>
        <w:spacing w:before="100" w:beforeAutospacing="1" w:after="100" w:afterAutospacing="1" w:line="360" w:lineRule="auto"/>
        <w:jc w:val="center"/>
        <w:rPr>
          <w:rFonts w:ascii="Times New Roman" w:eastAsia="Times New Roman" w:hAnsi="Times New Roman" w:cs="Times New Roman"/>
          <w:b/>
          <w:bCs/>
          <w:sz w:val="24"/>
          <w:szCs w:val="24"/>
        </w:rPr>
      </w:pPr>
      <w:r w:rsidRPr="0032299C">
        <w:rPr>
          <w:rFonts w:ascii="Times New Roman" w:eastAsia="Times New Roman" w:hAnsi="Times New Roman" w:cs="Times New Roman"/>
          <w:b/>
          <w:bCs/>
          <w:sz w:val="24"/>
          <w:szCs w:val="24"/>
        </w:rPr>
        <w:t>DYNAMICS OF THE ANTICIPATED SOLUTION (METHODS)</w:t>
      </w:r>
    </w:p>
    <w:p w14:paraId="686AFC12" w14:textId="77777777" w:rsidR="00001BA5" w:rsidRDefault="0032299C" w:rsidP="0032299C">
      <w:pPr>
        <w:spacing w:before="100" w:beforeAutospacing="1" w:after="100" w:afterAutospacing="1" w:line="480" w:lineRule="auto"/>
        <w:jc w:val="both"/>
        <w:rPr>
          <w:rFonts w:ascii="Times New Roman" w:eastAsia="Times New Roman" w:hAnsi="Times New Roman" w:cs="Times New Roman"/>
          <w:sz w:val="24"/>
          <w:szCs w:val="24"/>
        </w:rPr>
      </w:pPr>
      <w:r w:rsidRPr="0032299C">
        <w:rPr>
          <w:rFonts w:ascii="Times New Roman" w:eastAsia="Times New Roman" w:hAnsi="Times New Roman" w:cs="Times New Roman"/>
          <w:b/>
          <w:bCs/>
          <w:sz w:val="24"/>
          <w:szCs w:val="24"/>
        </w:rPr>
        <w:t>3.0 Introduction</w:t>
      </w:r>
      <w:r w:rsidRPr="0032299C">
        <w:rPr>
          <w:rFonts w:ascii="Times New Roman" w:eastAsia="Times New Roman" w:hAnsi="Times New Roman" w:cs="Times New Roman"/>
          <w:sz w:val="24"/>
          <w:szCs w:val="24"/>
        </w:rPr>
        <w:t xml:space="preserve"> </w:t>
      </w:r>
    </w:p>
    <w:p w14:paraId="6B553EAA" w14:textId="77777777" w:rsidR="0032299C" w:rsidRDefault="0032299C" w:rsidP="0032299C">
      <w:pPr>
        <w:spacing w:before="100" w:beforeAutospacing="1" w:after="100" w:afterAutospacing="1" w:line="480" w:lineRule="auto"/>
        <w:jc w:val="both"/>
        <w:rPr>
          <w:rFonts w:ascii="Times New Roman" w:eastAsia="Times New Roman" w:hAnsi="Times New Roman" w:cs="Times New Roman"/>
          <w:sz w:val="24"/>
          <w:szCs w:val="24"/>
        </w:rPr>
      </w:pPr>
      <w:r w:rsidRPr="0032299C">
        <w:rPr>
          <w:rFonts w:ascii="Times New Roman" w:eastAsia="Times New Roman" w:hAnsi="Times New Roman" w:cs="Times New Roman"/>
          <w:sz w:val="24"/>
          <w:szCs w:val="24"/>
        </w:rPr>
        <w:t xml:space="preserve">This chapter outlines the methodological architecture required to investigate the problem defined in Chapter Two. It clarifies the overarching goal, delineates the specific research objectives, and details the precise materials, measurement protocols, and analytical procedures governing the study. The chapter demonstrates how a rigorous </w:t>
      </w:r>
      <w:proofErr w:type="gramStart"/>
      <w:r w:rsidRPr="0032299C">
        <w:rPr>
          <w:rFonts w:ascii="Times New Roman" w:eastAsia="Times New Roman" w:hAnsi="Times New Roman" w:cs="Times New Roman"/>
          <w:sz w:val="24"/>
          <w:szCs w:val="24"/>
        </w:rPr>
        <w:t>two level cross sectional</w:t>
      </w:r>
      <w:proofErr w:type="gramEnd"/>
      <w:r w:rsidRPr="0032299C">
        <w:rPr>
          <w:rFonts w:ascii="Times New Roman" w:eastAsia="Times New Roman" w:hAnsi="Times New Roman" w:cs="Times New Roman"/>
          <w:sz w:val="24"/>
          <w:szCs w:val="24"/>
        </w:rPr>
        <w:t xml:space="preserve"> design will generate statistically valid evidence to inform facility level interventions and improve viral load suppressio</w:t>
      </w:r>
      <w:r w:rsidR="00001BA5">
        <w:rPr>
          <w:rFonts w:ascii="Times New Roman" w:eastAsia="Times New Roman" w:hAnsi="Times New Roman" w:cs="Times New Roman"/>
          <w:sz w:val="24"/>
          <w:szCs w:val="24"/>
        </w:rPr>
        <w:t>n outcomes across Plateau State.</w:t>
      </w:r>
    </w:p>
    <w:p w14:paraId="4051F0D3" w14:textId="77777777" w:rsidR="00001BA5" w:rsidRDefault="00001BA5" w:rsidP="00001BA5">
      <w:pPr>
        <w:spacing w:before="100" w:beforeAutospacing="1" w:after="100" w:afterAutospacing="1" w:line="480" w:lineRule="auto"/>
        <w:jc w:val="both"/>
        <w:rPr>
          <w:rFonts w:ascii="Times New Roman" w:eastAsia="Times New Roman" w:hAnsi="Times New Roman" w:cs="Times New Roman"/>
          <w:sz w:val="24"/>
          <w:szCs w:val="24"/>
        </w:rPr>
      </w:pPr>
      <w:r w:rsidRPr="00001BA5">
        <w:rPr>
          <w:rFonts w:ascii="Times New Roman" w:eastAsia="Times New Roman" w:hAnsi="Times New Roman" w:cs="Times New Roman"/>
          <w:b/>
          <w:bCs/>
          <w:sz w:val="24"/>
          <w:szCs w:val="24"/>
        </w:rPr>
        <w:t>3.1 Goal of the Investigation</w:t>
      </w:r>
      <w:r w:rsidRPr="00001BA5">
        <w:rPr>
          <w:rFonts w:ascii="Times New Roman" w:eastAsia="Times New Roman" w:hAnsi="Times New Roman" w:cs="Times New Roman"/>
          <w:sz w:val="24"/>
          <w:szCs w:val="24"/>
        </w:rPr>
        <w:t xml:space="preserve"> </w:t>
      </w:r>
    </w:p>
    <w:p w14:paraId="2290AC3D" w14:textId="77777777" w:rsidR="00001BA5" w:rsidRPr="00001BA5" w:rsidRDefault="00001BA5" w:rsidP="00001BA5">
      <w:pPr>
        <w:spacing w:before="100" w:beforeAutospacing="1" w:after="100" w:afterAutospacing="1" w:line="480" w:lineRule="auto"/>
        <w:jc w:val="both"/>
        <w:rPr>
          <w:rFonts w:ascii="Times New Roman" w:eastAsia="Times New Roman" w:hAnsi="Times New Roman" w:cs="Times New Roman"/>
          <w:sz w:val="24"/>
          <w:szCs w:val="24"/>
        </w:rPr>
      </w:pPr>
      <w:r w:rsidRPr="00001BA5">
        <w:rPr>
          <w:rFonts w:ascii="Times New Roman" w:eastAsia="Times New Roman" w:hAnsi="Times New Roman" w:cs="Times New Roman"/>
          <w:sz w:val="24"/>
          <w:szCs w:val="24"/>
        </w:rPr>
        <w:t>The overarching goal of this investigation is to provide an empirically grounded framework for achieving sustained epidemic control in Plateau State through the application of precision public health principles. This study seeks to move beyond the limitations of generalized antiretroviral therapy delivery by identifying the specific individual and institutional drivers that facilitate or hinder virologic success. By quantifying the exact influence of facility level variance alongside clinical determinants using multilevel modeling, the research intends to generate actionable empirical evidence. This evidence is designed to guide policymakers and program managers in tailoring existing clinical interventions and optimizing resource allocation to ensure equitable health outcomes across all tiers of the decentralized health system.</w:t>
      </w:r>
    </w:p>
    <w:p w14:paraId="232C74FB" w14:textId="77777777" w:rsidR="00001BA5" w:rsidRDefault="00001BA5" w:rsidP="00001BA5">
      <w:pPr>
        <w:spacing w:before="100" w:beforeAutospacing="1" w:after="100" w:afterAutospacing="1" w:line="480" w:lineRule="auto"/>
        <w:jc w:val="both"/>
        <w:rPr>
          <w:rFonts w:ascii="Times New Roman" w:eastAsia="Times New Roman" w:hAnsi="Times New Roman" w:cs="Times New Roman"/>
          <w:sz w:val="24"/>
          <w:szCs w:val="24"/>
        </w:rPr>
      </w:pPr>
      <w:r w:rsidRPr="00001BA5">
        <w:rPr>
          <w:rFonts w:ascii="Times New Roman" w:eastAsia="Times New Roman" w:hAnsi="Times New Roman" w:cs="Times New Roman"/>
          <w:sz w:val="24"/>
          <w:szCs w:val="24"/>
        </w:rPr>
        <w:t xml:space="preserve">Ultimately, the investigation is designed to align with the National HIV Strategic Framework and the UNAIDS post 2025 sustainability goals (UNAIDS, 2025). It aims to bridge the evidence gap </w:t>
      </w:r>
      <w:r w:rsidRPr="00001BA5">
        <w:rPr>
          <w:rFonts w:ascii="Times New Roman" w:eastAsia="Times New Roman" w:hAnsi="Times New Roman" w:cs="Times New Roman"/>
          <w:sz w:val="24"/>
          <w:szCs w:val="24"/>
        </w:rPr>
        <w:lastRenderedPageBreak/>
        <w:t>between biological clinical efficacy and practical programmatic implementation, providing the robust empirical foundation necessary to sustain the HIV response during a period of significant fiscal transition. Through this systemic evaluation, the research aspires to contribute to the global agenda of eliminating the virus as a public health threat by ensuring that the final 95 95 95 targets are achieved and maintained acro</w:t>
      </w:r>
      <w:r>
        <w:rPr>
          <w:rFonts w:ascii="Times New Roman" w:eastAsia="Times New Roman" w:hAnsi="Times New Roman" w:cs="Times New Roman"/>
          <w:sz w:val="24"/>
          <w:szCs w:val="24"/>
        </w:rPr>
        <w:t>ss all localized subpopulations.</w:t>
      </w:r>
    </w:p>
    <w:p w14:paraId="7B908C55" w14:textId="77777777" w:rsidR="00001BA5" w:rsidRDefault="00001BA5" w:rsidP="00001BA5">
      <w:pPr>
        <w:spacing w:before="100" w:beforeAutospacing="1" w:after="100" w:afterAutospacing="1" w:line="480" w:lineRule="auto"/>
        <w:jc w:val="both"/>
        <w:rPr>
          <w:rFonts w:ascii="Times New Roman" w:eastAsia="Times New Roman" w:hAnsi="Times New Roman" w:cs="Times New Roman"/>
          <w:sz w:val="24"/>
          <w:szCs w:val="24"/>
        </w:rPr>
      </w:pPr>
      <w:r w:rsidRPr="00001BA5">
        <w:rPr>
          <w:rFonts w:ascii="Times New Roman" w:eastAsia="Times New Roman" w:hAnsi="Times New Roman" w:cs="Times New Roman"/>
          <w:b/>
          <w:bCs/>
          <w:sz w:val="24"/>
          <w:szCs w:val="24"/>
        </w:rPr>
        <w:t>3.2 Objectives of the Investigation</w:t>
      </w:r>
      <w:r w:rsidRPr="00001BA5">
        <w:rPr>
          <w:rFonts w:ascii="Times New Roman" w:eastAsia="Times New Roman" w:hAnsi="Times New Roman" w:cs="Times New Roman"/>
          <w:sz w:val="24"/>
          <w:szCs w:val="24"/>
        </w:rPr>
        <w:t xml:space="preserve"> </w:t>
      </w:r>
    </w:p>
    <w:p w14:paraId="7364A032" w14:textId="77777777" w:rsidR="00287D43" w:rsidRPr="00287D43" w:rsidRDefault="00287D43" w:rsidP="00287D43">
      <w:pPr>
        <w:spacing w:before="100" w:beforeAutospacing="1" w:after="100" w:afterAutospacing="1" w:line="480" w:lineRule="auto"/>
        <w:jc w:val="both"/>
        <w:rPr>
          <w:rFonts w:ascii="Times New Roman" w:eastAsia="Times New Roman" w:hAnsi="Times New Roman" w:cs="Times New Roman"/>
          <w:sz w:val="24"/>
          <w:szCs w:val="24"/>
        </w:rPr>
      </w:pPr>
      <w:r w:rsidRPr="00287D43">
        <w:rPr>
          <w:rFonts w:ascii="Times New Roman" w:eastAsia="Times New Roman" w:hAnsi="Times New Roman" w:cs="Times New Roman"/>
          <w:sz w:val="24"/>
          <w:szCs w:val="24"/>
        </w:rPr>
        <w:t>The primary objective of this investigation is to determine the annual prevalence of adult patients receiving antiretroviral therapy who achieve viral load suppression and to systematically evaluate the independent socio</w:t>
      </w:r>
      <w:r>
        <w:rPr>
          <w:rFonts w:ascii="Times New Roman" w:eastAsia="Times New Roman" w:hAnsi="Times New Roman" w:cs="Times New Roman"/>
          <w:sz w:val="24"/>
          <w:szCs w:val="24"/>
        </w:rPr>
        <w:t>-</w:t>
      </w:r>
      <w:r w:rsidRPr="00287D43">
        <w:rPr>
          <w:rFonts w:ascii="Times New Roman" w:eastAsia="Times New Roman" w:hAnsi="Times New Roman" w:cs="Times New Roman"/>
          <w:sz w:val="24"/>
          <w:szCs w:val="24"/>
        </w:rPr>
        <w:t>demographic, clinical, and facility level factors that influence these virologic outcomes across selected treatment sites in Plateau State, Nigeria.</w:t>
      </w:r>
    </w:p>
    <w:p w14:paraId="7662A029" w14:textId="77777777" w:rsidR="00287D43" w:rsidRPr="00287D43" w:rsidRDefault="00287D43" w:rsidP="00287D43">
      <w:pPr>
        <w:spacing w:before="100" w:beforeAutospacing="1" w:after="100" w:afterAutospacing="1" w:line="480" w:lineRule="auto"/>
        <w:jc w:val="both"/>
        <w:rPr>
          <w:rFonts w:ascii="Times New Roman" w:eastAsia="Times New Roman" w:hAnsi="Times New Roman" w:cs="Times New Roman"/>
          <w:sz w:val="24"/>
          <w:szCs w:val="24"/>
        </w:rPr>
      </w:pPr>
      <w:r w:rsidRPr="00287D43">
        <w:rPr>
          <w:rFonts w:ascii="Times New Roman" w:eastAsia="Times New Roman" w:hAnsi="Times New Roman" w:cs="Times New Roman"/>
          <w:sz w:val="24"/>
          <w:szCs w:val="24"/>
        </w:rPr>
        <w:t>To achieve this primary objective, the investigation is guided by the following specific objectives:</w:t>
      </w:r>
    </w:p>
    <w:p w14:paraId="40A74ACB" w14:textId="77777777" w:rsidR="00287D43" w:rsidRPr="00287D43" w:rsidRDefault="00287D43" w:rsidP="00287D43">
      <w:pPr>
        <w:pStyle w:val="ListParagraph"/>
        <w:numPr>
          <w:ilvl w:val="0"/>
          <w:numId w:val="3"/>
        </w:numPr>
        <w:spacing w:before="100" w:beforeAutospacing="1" w:after="100" w:afterAutospacing="1" w:line="480" w:lineRule="auto"/>
        <w:jc w:val="both"/>
        <w:rPr>
          <w:rFonts w:ascii="Times New Roman" w:eastAsia="Times New Roman" w:hAnsi="Times New Roman" w:cs="Times New Roman"/>
          <w:sz w:val="24"/>
          <w:szCs w:val="24"/>
        </w:rPr>
      </w:pPr>
      <w:r w:rsidRPr="00287D43">
        <w:rPr>
          <w:rFonts w:ascii="Times New Roman" w:eastAsia="Times New Roman" w:hAnsi="Times New Roman" w:cs="Times New Roman"/>
          <w:sz w:val="24"/>
          <w:szCs w:val="24"/>
        </w:rPr>
        <w:t>To estimate the annual prevalence and temporal trends of viral load suppression among adult patients receiving antiretroviral therapy across diverse institutional settings in Plateau State.</w:t>
      </w:r>
    </w:p>
    <w:p w14:paraId="6CED17FF" w14:textId="77777777" w:rsidR="00287D43" w:rsidRDefault="00287D43" w:rsidP="00287D43">
      <w:pPr>
        <w:pStyle w:val="ListParagraph"/>
        <w:numPr>
          <w:ilvl w:val="0"/>
          <w:numId w:val="3"/>
        </w:numPr>
        <w:spacing w:before="100" w:beforeAutospacing="1" w:after="100" w:afterAutospacing="1" w:line="480" w:lineRule="auto"/>
        <w:jc w:val="both"/>
        <w:rPr>
          <w:rFonts w:ascii="Times New Roman" w:eastAsia="Times New Roman" w:hAnsi="Times New Roman" w:cs="Times New Roman"/>
          <w:sz w:val="24"/>
          <w:szCs w:val="24"/>
        </w:rPr>
      </w:pPr>
      <w:r w:rsidRPr="00287D43">
        <w:rPr>
          <w:rFonts w:ascii="Times New Roman" w:eastAsia="Times New Roman" w:hAnsi="Times New Roman" w:cs="Times New Roman"/>
          <w:sz w:val="24"/>
          <w:szCs w:val="24"/>
        </w:rPr>
        <w:t>To determine the influence of individual sociodemographic factors on the probability of achieving virologic suppression.</w:t>
      </w:r>
    </w:p>
    <w:p w14:paraId="5EBE9210" w14:textId="77777777" w:rsidR="00287D43" w:rsidRDefault="00287D43" w:rsidP="00287D43">
      <w:pPr>
        <w:pStyle w:val="ListParagraph"/>
        <w:numPr>
          <w:ilvl w:val="0"/>
          <w:numId w:val="3"/>
        </w:numPr>
        <w:spacing w:before="100" w:beforeAutospacing="1" w:after="100" w:afterAutospacing="1" w:line="480" w:lineRule="auto"/>
        <w:jc w:val="both"/>
        <w:rPr>
          <w:rFonts w:ascii="Times New Roman" w:eastAsia="Times New Roman" w:hAnsi="Times New Roman" w:cs="Times New Roman"/>
          <w:sz w:val="24"/>
          <w:szCs w:val="24"/>
        </w:rPr>
      </w:pPr>
      <w:r w:rsidRPr="00287D43">
        <w:rPr>
          <w:rFonts w:ascii="Times New Roman" w:eastAsia="Times New Roman" w:hAnsi="Times New Roman" w:cs="Times New Roman"/>
          <w:sz w:val="24"/>
          <w:szCs w:val="24"/>
        </w:rPr>
        <w:t>To identify clinical and treatment related characteristics that serve as significant predictors of viral load outcomes.</w:t>
      </w:r>
    </w:p>
    <w:p w14:paraId="4FF6568A" w14:textId="77777777" w:rsidR="00287D43" w:rsidRPr="00287D43" w:rsidRDefault="00287D43" w:rsidP="00287D43">
      <w:pPr>
        <w:pStyle w:val="ListParagraph"/>
        <w:numPr>
          <w:ilvl w:val="0"/>
          <w:numId w:val="3"/>
        </w:numPr>
        <w:spacing w:before="100" w:beforeAutospacing="1" w:after="100" w:afterAutospacing="1" w:line="480" w:lineRule="auto"/>
        <w:jc w:val="both"/>
        <w:rPr>
          <w:rFonts w:ascii="Times New Roman" w:eastAsia="Times New Roman" w:hAnsi="Times New Roman" w:cs="Times New Roman"/>
          <w:sz w:val="24"/>
          <w:szCs w:val="24"/>
        </w:rPr>
      </w:pPr>
      <w:r w:rsidRPr="00287D43">
        <w:rPr>
          <w:rFonts w:ascii="Times New Roman" w:eastAsia="Times New Roman" w:hAnsi="Times New Roman" w:cs="Times New Roman"/>
          <w:sz w:val="24"/>
          <w:szCs w:val="24"/>
        </w:rPr>
        <w:t>To assess the impact of facility level factors</w:t>
      </w:r>
      <w:r w:rsidR="001B5675">
        <w:rPr>
          <w:rFonts w:ascii="Times New Roman" w:eastAsia="Times New Roman" w:hAnsi="Times New Roman" w:cs="Times New Roman"/>
          <w:sz w:val="24"/>
          <w:szCs w:val="24"/>
        </w:rPr>
        <w:t xml:space="preserve"> </w:t>
      </w:r>
      <w:r w:rsidR="001B5675" w:rsidRPr="008A0B0D">
        <w:rPr>
          <w:rFonts w:ascii="Times New Roman" w:eastAsia="Times New Roman" w:hAnsi="Times New Roman" w:cs="Times New Roman"/>
          <w:sz w:val="24"/>
          <w:szCs w:val="24"/>
        </w:rPr>
        <w:t>(ownership type, geographic location, and level of care)</w:t>
      </w:r>
      <w:r w:rsidRPr="008A0B0D">
        <w:rPr>
          <w:rFonts w:ascii="Times New Roman" w:eastAsia="Times New Roman" w:hAnsi="Times New Roman" w:cs="Times New Roman"/>
          <w:sz w:val="24"/>
          <w:szCs w:val="24"/>
        </w:rPr>
        <w:t xml:space="preserve"> </w:t>
      </w:r>
      <w:r w:rsidRPr="00287D43">
        <w:rPr>
          <w:rFonts w:ascii="Times New Roman" w:eastAsia="Times New Roman" w:hAnsi="Times New Roman" w:cs="Times New Roman"/>
          <w:sz w:val="24"/>
          <w:szCs w:val="24"/>
        </w:rPr>
        <w:t>on viral suppression outcomes and quantify the proportion of outcome variance attributable to the institutional environment.</w:t>
      </w:r>
    </w:p>
    <w:p w14:paraId="3862C719" w14:textId="77777777" w:rsidR="00F809BC" w:rsidRPr="00F809BC" w:rsidRDefault="00F809BC" w:rsidP="00F809BC">
      <w:pPr>
        <w:spacing w:before="100" w:beforeAutospacing="1" w:after="100" w:afterAutospacing="1" w:line="480" w:lineRule="auto"/>
        <w:jc w:val="both"/>
        <w:rPr>
          <w:rFonts w:ascii="Times New Roman" w:eastAsia="Times New Roman" w:hAnsi="Times New Roman" w:cs="Times New Roman"/>
          <w:b/>
          <w:bCs/>
          <w:sz w:val="24"/>
          <w:szCs w:val="24"/>
        </w:rPr>
      </w:pPr>
      <w:r w:rsidRPr="00F809BC">
        <w:rPr>
          <w:rFonts w:ascii="Times New Roman" w:eastAsia="Times New Roman" w:hAnsi="Times New Roman" w:cs="Times New Roman"/>
          <w:b/>
          <w:bCs/>
          <w:sz w:val="24"/>
          <w:szCs w:val="24"/>
        </w:rPr>
        <w:lastRenderedPageBreak/>
        <w:t>3.3 Materials and Methods</w:t>
      </w:r>
    </w:p>
    <w:p w14:paraId="407CD130" w14:textId="77777777" w:rsidR="00F809BC" w:rsidRPr="00F809BC" w:rsidRDefault="00F809BC" w:rsidP="00F809BC">
      <w:pPr>
        <w:spacing w:before="100" w:beforeAutospacing="1" w:after="100" w:afterAutospacing="1" w:line="480" w:lineRule="auto"/>
        <w:jc w:val="both"/>
        <w:rPr>
          <w:rFonts w:ascii="Times New Roman" w:eastAsia="Times New Roman" w:hAnsi="Times New Roman" w:cs="Times New Roman"/>
          <w:sz w:val="24"/>
          <w:szCs w:val="24"/>
        </w:rPr>
      </w:pPr>
      <w:r w:rsidRPr="00F809BC">
        <w:rPr>
          <w:rFonts w:ascii="Times New Roman" w:eastAsia="Times New Roman" w:hAnsi="Times New Roman" w:cs="Times New Roman"/>
          <w:sz w:val="24"/>
          <w:szCs w:val="24"/>
        </w:rPr>
        <w:t>This section provides a detailed account of the methodological approach employed to investigate the factors associated with viral load suppression in Plateau State. It outlines the research design, the selection of treatment sites, the protocols for data extraction, and the statistical techniques utilized to address the hierarchical nature of the data.</w:t>
      </w:r>
    </w:p>
    <w:p w14:paraId="0F7206BE" w14:textId="77777777" w:rsidR="00F809BC" w:rsidRPr="00F809BC" w:rsidRDefault="00F809BC" w:rsidP="00F809BC">
      <w:pPr>
        <w:spacing w:before="100" w:beforeAutospacing="1" w:after="100" w:afterAutospacing="1" w:line="480" w:lineRule="auto"/>
        <w:jc w:val="both"/>
        <w:rPr>
          <w:rFonts w:ascii="Times New Roman" w:eastAsia="Times New Roman" w:hAnsi="Times New Roman" w:cs="Times New Roman"/>
          <w:b/>
          <w:bCs/>
          <w:sz w:val="24"/>
          <w:szCs w:val="24"/>
        </w:rPr>
      </w:pPr>
      <w:r w:rsidRPr="00F809BC">
        <w:rPr>
          <w:rFonts w:ascii="Times New Roman" w:eastAsia="Times New Roman" w:hAnsi="Times New Roman" w:cs="Times New Roman"/>
          <w:b/>
          <w:bCs/>
          <w:sz w:val="24"/>
          <w:szCs w:val="24"/>
        </w:rPr>
        <w:t>3.3.1 Research Design</w:t>
      </w:r>
    </w:p>
    <w:p w14:paraId="24795482" w14:textId="77777777" w:rsidR="0027749C" w:rsidRPr="0027749C" w:rsidRDefault="0027749C" w:rsidP="0027749C">
      <w:pPr>
        <w:spacing w:before="100" w:beforeAutospacing="1" w:after="100" w:afterAutospacing="1" w:line="480" w:lineRule="auto"/>
        <w:jc w:val="both"/>
        <w:rPr>
          <w:rFonts w:ascii="Times New Roman" w:eastAsia="Times New Roman" w:hAnsi="Times New Roman" w:cs="Times New Roman"/>
          <w:sz w:val="24"/>
          <w:szCs w:val="24"/>
        </w:rPr>
      </w:pPr>
      <w:r w:rsidRPr="0027749C">
        <w:rPr>
          <w:rFonts w:ascii="Times New Roman" w:eastAsia="Times New Roman" w:hAnsi="Times New Roman" w:cs="Times New Roman"/>
          <w:sz w:val="24"/>
          <w:szCs w:val="24"/>
        </w:rPr>
        <w:t xml:space="preserve">This study employed a retrospective, </w:t>
      </w:r>
      <w:r w:rsidR="00402BDA" w:rsidRPr="0027749C">
        <w:rPr>
          <w:rFonts w:ascii="Times New Roman" w:eastAsia="Times New Roman" w:hAnsi="Times New Roman" w:cs="Times New Roman"/>
          <w:sz w:val="24"/>
          <w:szCs w:val="24"/>
        </w:rPr>
        <w:t>multi-site</w:t>
      </w:r>
      <w:r w:rsidRPr="0027749C">
        <w:rPr>
          <w:rFonts w:ascii="Times New Roman" w:eastAsia="Times New Roman" w:hAnsi="Times New Roman" w:cs="Times New Roman"/>
          <w:sz w:val="24"/>
          <w:szCs w:val="24"/>
        </w:rPr>
        <w:t xml:space="preserve"> serial cross sectional design utilizing secondary electronic medical record data from adult patients actively receiving antiretroviral therapy. To capture the temporal dynamics of the epidemic across the health system, the study utilized independent </w:t>
      </w:r>
      <w:proofErr w:type="gramStart"/>
      <w:r w:rsidRPr="0027749C">
        <w:rPr>
          <w:rFonts w:ascii="Times New Roman" w:eastAsia="Times New Roman" w:hAnsi="Times New Roman" w:cs="Times New Roman"/>
          <w:sz w:val="24"/>
          <w:szCs w:val="24"/>
        </w:rPr>
        <w:t>cross sectional</w:t>
      </w:r>
      <w:proofErr w:type="gramEnd"/>
      <w:r w:rsidRPr="0027749C">
        <w:rPr>
          <w:rFonts w:ascii="Times New Roman" w:eastAsia="Times New Roman" w:hAnsi="Times New Roman" w:cs="Times New Roman"/>
          <w:sz w:val="24"/>
          <w:szCs w:val="24"/>
        </w:rPr>
        <w:t xml:space="preserve"> snapshots for each year from </w:t>
      </w:r>
      <w:r w:rsidR="00F41C89" w:rsidRPr="00F41C89">
        <w:rPr>
          <w:rFonts w:ascii="Times New Roman" w:eastAsia="Times New Roman" w:hAnsi="Times New Roman" w:cs="Times New Roman"/>
          <w:sz w:val="24"/>
          <w:szCs w:val="24"/>
        </w:rPr>
        <w:t>January</w:t>
      </w:r>
      <w:r w:rsidR="008A0B0D" w:rsidRPr="00F41C89">
        <w:rPr>
          <w:rFonts w:ascii="Times New Roman" w:eastAsia="Times New Roman" w:hAnsi="Times New Roman" w:cs="Times New Roman"/>
          <w:sz w:val="24"/>
          <w:szCs w:val="24"/>
        </w:rPr>
        <w:t xml:space="preserve"> 2019 through </w:t>
      </w:r>
      <w:r w:rsidR="00F41C89" w:rsidRPr="00F41C89">
        <w:rPr>
          <w:rFonts w:ascii="Times New Roman" w:eastAsia="Times New Roman" w:hAnsi="Times New Roman" w:cs="Times New Roman"/>
          <w:sz w:val="24"/>
          <w:szCs w:val="24"/>
        </w:rPr>
        <w:t>December</w:t>
      </w:r>
      <w:r w:rsidR="008A0B0D" w:rsidRPr="00F41C89">
        <w:rPr>
          <w:rFonts w:ascii="Times New Roman" w:eastAsia="Times New Roman" w:hAnsi="Times New Roman" w:cs="Times New Roman"/>
          <w:sz w:val="24"/>
          <w:szCs w:val="24"/>
        </w:rPr>
        <w:t xml:space="preserve"> 2024</w:t>
      </w:r>
      <w:r w:rsidRPr="0027749C">
        <w:rPr>
          <w:rFonts w:ascii="Times New Roman" w:eastAsia="Times New Roman" w:hAnsi="Times New Roman" w:cs="Times New Roman"/>
          <w:sz w:val="24"/>
          <w:szCs w:val="24"/>
        </w:rPr>
        <w:t>.</w:t>
      </w:r>
    </w:p>
    <w:p w14:paraId="5DABBC84" w14:textId="77777777" w:rsidR="0027749C" w:rsidRDefault="0027749C" w:rsidP="0027749C">
      <w:pPr>
        <w:spacing w:before="100" w:beforeAutospacing="1" w:after="100" w:afterAutospacing="1" w:line="480" w:lineRule="auto"/>
        <w:jc w:val="both"/>
        <w:rPr>
          <w:rFonts w:ascii="Times New Roman" w:eastAsia="Times New Roman" w:hAnsi="Times New Roman" w:cs="Times New Roman"/>
          <w:sz w:val="24"/>
          <w:szCs w:val="24"/>
        </w:rPr>
      </w:pPr>
      <w:r w:rsidRPr="0027749C">
        <w:rPr>
          <w:rFonts w:ascii="Times New Roman" w:eastAsia="Times New Roman" w:hAnsi="Times New Roman" w:cs="Times New Roman"/>
          <w:sz w:val="24"/>
          <w:szCs w:val="24"/>
        </w:rPr>
        <w:t xml:space="preserve">By extracting discrete records of patients active on treatment during each annual review period, this serial design accurately captured the yearly prevalence and trends of viral load suppression. This methodological choice was scientifically justified by its capacity to evaluate real world treatment experiences across diverse institutional tiers over time, circumventing the attrition biases that frequently compromise prospective interventions (Adedoyin et al., 2021). Furthermore, within the decentralized HIV response in Nigeria, this </w:t>
      </w:r>
      <w:r w:rsidR="008A0B0D" w:rsidRPr="0027749C">
        <w:rPr>
          <w:rFonts w:ascii="Times New Roman" w:eastAsia="Times New Roman" w:hAnsi="Times New Roman" w:cs="Times New Roman"/>
          <w:sz w:val="24"/>
          <w:szCs w:val="24"/>
        </w:rPr>
        <w:t>multi-site</w:t>
      </w:r>
      <w:r w:rsidRPr="0027749C">
        <w:rPr>
          <w:rFonts w:ascii="Times New Roman" w:eastAsia="Times New Roman" w:hAnsi="Times New Roman" w:cs="Times New Roman"/>
          <w:sz w:val="24"/>
          <w:szCs w:val="24"/>
        </w:rPr>
        <w:t xml:space="preserve"> approach enabled the precise quantification of facility level clustering effects, providing the empirical baseline required for the multilevel statistical modeling employed in this study (Osayi et al., 2024).</w:t>
      </w:r>
    </w:p>
    <w:p w14:paraId="206C041F" w14:textId="77777777" w:rsidR="004C5CC9" w:rsidRDefault="004C5CC9" w:rsidP="0027749C">
      <w:pPr>
        <w:spacing w:before="100" w:beforeAutospacing="1" w:after="100" w:afterAutospacing="1" w:line="480" w:lineRule="auto"/>
        <w:jc w:val="both"/>
        <w:rPr>
          <w:rFonts w:ascii="Times New Roman" w:eastAsia="Times New Roman" w:hAnsi="Times New Roman" w:cs="Times New Roman"/>
          <w:sz w:val="24"/>
          <w:szCs w:val="24"/>
        </w:rPr>
      </w:pPr>
    </w:p>
    <w:p w14:paraId="6AE6EFE0" w14:textId="77777777" w:rsidR="004C5CC9" w:rsidRPr="0027749C" w:rsidRDefault="004C5CC9" w:rsidP="0027749C">
      <w:pPr>
        <w:spacing w:before="100" w:beforeAutospacing="1" w:after="100" w:afterAutospacing="1" w:line="480" w:lineRule="auto"/>
        <w:jc w:val="both"/>
        <w:rPr>
          <w:rFonts w:ascii="Times New Roman" w:eastAsia="Times New Roman" w:hAnsi="Times New Roman" w:cs="Times New Roman"/>
          <w:sz w:val="24"/>
          <w:szCs w:val="24"/>
        </w:rPr>
      </w:pPr>
    </w:p>
    <w:p w14:paraId="388D63AE" w14:textId="77777777" w:rsidR="00F809BC" w:rsidRPr="00F809BC" w:rsidRDefault="00F809BC" w:rsidP="00F809BC">
      <w:pPr>
        <w:spacing w:before="100" w:beforeAutospacing="1" w:after="100" w:afterAutospacing="1" w:line="480" w:lineRule="auto"/>
        <w:jc w:val="both"/>
        <w:rPr>
          <w:rFonts w:ascii="Times New Roman" w:eastAsia="Times New Roman" w:hAnsi="Times New Roman" w:cs="Times New Roman"/>
          <w:b/>
          <w:bCs/>
          <w:sz w:val="24"/>
          <w:szCs w:val="24"/>
        </w:rPr>
      </w:pPr>
      <w:r w:rsidRPr="00F809BC">
        <w:rPr>
          <w:rFonts w:ascii="Times New Roman" w:eastAsia="Times New Roman" w:hAnsi="Times New Roman" w:cs="Times New Roman"/>
          <w:b/>
          <w:bCs/>
          <w:sz w:val="24"/>
          <w:szCs w:val="24"/>
        </w:rPr>
        <w:lastRenderedPageBreak/>
        <w:t>3.3.2 Study Setting</w:t>
      </w:r>
    </w:p>
    <w:p w14:paraId="2335D511" w14:textId="77777777" w:rsidR="00402BDA" w:rsidRPr="00402BDA" w:rsidRDefault="00402BDA" w:rsidP="00402BDA">
      <w:pPr>
        <w:spacing w:before="100" w:beforeAutospacing="1" w:after="100" w:afterAutospacing="1" w:line="480" w:lineRule="auto"/>
        <w:jc w:val="both"/>
        <w:rPr>
          <w:rFonts w:ascii="Times New Roman" w:eastAsia="Times New Roman" w:hAnsi="Times New Roman" w:cs="Times New Roman"/>
          <w:sz w:val="24"/>
          <w:szCs w:val="24"/>
        </w:rPr>
      </w:pPr>
      <w:r w:rsidRPr="00402BDA">
        <w:rPr>
          <w:rFonts w:ascii="Times New Roman" w:eastAsia="Times New Roman" w:hAnsi="Times New Roman" w:cs="Times New Roman"/>
          <w:sz w:val="24"/>
          <w:szCs w:val="24"/>
        </w:rPr>
        <w:t>The investigation was carried out in Plateau State, situated in the North Central zone of Nigeria. The state maintains a high burden of HIV, with an estimated adult HIV prevalence of 1.6 percent, equivalent to approximately 51</w:t>
      </w:r>
      <w:r w:rsidR="001D53D2">
        <w:rPr>
          <w:rFonts w:ascii="Times New Roman" w:eastAsia="Times New Roman" w:hAnsi="Times New Roman" w:cs="Times New Roman"/>
          <w:sz w:val="24"/>
          <w:szCs w:val="24"/>
        </w:rPr>
        <w:t>,</w:t>
      </w:r>
      <w:r w:rsidRPr="00402BDA">
        <w:rPr>
          <w:rFonts w:ascii="Times New Roman" w:eastAsia="Times New Roman" w:hAnsi="Times New Roman" w:cs="Times New Roman"/>
          <w:sz w:val="24"/>
          <w:szCs w:val="24"/>
        </w:rPr>
        <w:t>370 people living with the virus (Plateau State Ministry of Health, 2025). Health services are delivered through a decentralized three tier system comprising primary, secondary, and tertiary facilities. Primary health centers provide routine antiretroviral therapy and basic diagnostics at the community level; secondary hospitals offer expanded clinical care and referral services; and tertiary hospitals provide comprehensive clinical management, advanced diagnostics, and laboratory mentorship for lower tier facilities (Plateau State Ministry of Health, 2025; World Health Organization, 2022).</w:t>
      </w:r>
    </w:p>
    <w:p w14:paraId="633BB242" w14:textId="77777777" w:rsidR="00402BDA" w:rsidRPr="00402BDA" w:rsidRDefault="00402BDA" w:rsidP="00402BDA">
      <w:pPr>
        <w:spacing w:before="100" w:beforeAutospacing="1" w:after="100" w:afterAutospacing="1" w:line="480" w:lineRule="auto"/>
        <w:jc w:val="both"/>
        <w:rPr>
          <w:rFonts w:ascii="Times New Roman" w:eastAsia="Times New Roman" w:hAnsi="Times New Roman" w:cs="Times New Roman"/>
          <w:sz w:val="24"/>
          <w:szCs w:val="24"/>
        </w:rPr>
      </w:pPr>
      <w:r w:rsidRPr="00402BDA">
        <w:rPr>
          <w:rFonts w:ascii="Times New Roman" w:eastAsia="Times New Roman" w:hAnsi="Times New Roman" w:cs="Times New Roman"/>
          <w:sz w:val="24"/>
          <w:szCs w:val="24"/>
        </w:rPr>
        <w:t>Plateau State operates a hub and spoke model for HIV service delivery in which tertiary hospitals function as central hubs supporting linked secondary and primary sites for clinical oversight, viral load testing, and sample transport. Urban facilities generally possess more reliable laboratory access, higher staff capacity, and larger patient caseloads. Conversely, rural primary sites commonly experience longer sample transport times, intermittent reagent supply, limited human resources, and smaller caseloads. These structural differences directly affect the timeliness of viral load testing and the quality of clinical management, creating the specific facility level variance that this study measures (Nigeria Health Watch, 2025; Osayi et al., 2024).</w:t>
      </w:r>
    </w:p>
    <w:p w14:paraId="043279F4" w14:textId="77777777" w:rsidR="00402BDA" w:rsidRDefault="00402BDA" w:rsidP="00402BDA">
      <w:pPr>
        <w:spacing w:before="100" w:beforeAutospacing="1" w:after="100" w:afterAutospacing="1" w:line="480" w:lineRule="auto"/>
        <w:jc w:val="both"/>
        <w:rPr>
          <w:rFonts w:ascii="Times New Roman" w:eastAsia="Times New Roman" w:hAnsi="Times New Roman" w:cs="Times New Roman"/>
          <w:sz w:val="24"/>
          <w:szCs w:val="24"/>
        </w:rPr>
      </w:pPr>
      <w:r w:rsidRPr="00402BDA">
        <w:rPr>
          <w:rFonts w:ascii="Times New Roman" w:eastAsia="Times New Roman" w:hAnsi="Times New Roman" w:cs="Times New Roman"/>
          <w:sz w:val="24"/>
          <w:szCs w:val="24"/>
        </w:rPr>
        <w:t>To accurately capture this service delivery heterogeneity and power the multilevel statistical model across the 2019 to 202</w:t>
      </w:r>
      <w:r w:rsidR="00563037">
        <w:rPr>
          <w:rFonts w:ascii="Times New Roman" w:eastAsia="Times New Roman" w:hAnsi="Times New Roman" w:cs="Times New Roman"/>
          <w:sz w:val="24"/>
          <w:szCs w:val="24"/>
        </w:rPr>
        <w:t>4</w:t>
      </w:r>
      <w:r w:rsidRPr="00402BDA">
        <w:rPr>
          <w:rFonts w:ascii="Times New Roman" w:eastAsia="Times New Roman" w:hAnsi="Times New Roman" w:cs="Times New Roman"/>
          <w:sz w:val="24"/>
          <w:szCs w:val="24"/>
        </w:rPr>
        <w:t xml:space="preserve"> study period, 35 facilities were purposively included in the study. Selection criteria were strictly applied to ensure comprehensive representation across the serial analysis timeline. These criteria included: (1) representation across all clinical tiers; (2) ownership diversity </w:t>
      </w:r>
      <w:r w:rsidRPr="00402BDA">
        <w:rPr>
          <w:rFonts w:ascii="Times New Roman" w:eastAsia="Times New Roman" w:hAnsi="Times New Roman" w:cs="Times New Roman"/>
          <w:sz w:val="24"/>
          <w:szCs w:val="24"/>
        </w:rPr>
        <w:lastRenderedPageBreak/>
        <w:t xml:space="preserve">encompassing public, private, and </w:t>
      </w:r>
      <w:proofErr w:type="gramStart"/>
      <w:r w:rsidRPr="00402BDA">
        <w:rPr>
          <w:rFonts w:ascii="Times New Roman" w:eastAsia="Times New Roman" w:hAnsi="Times New Roman" w:cs="Times New Roman"/>
          <w:sz w:val="24"/>
          <w:szCs w:val="24"/>
        </w:rPr>
        <w:t>faith based</w:t>
      </w:r>
      <w:proofErr w:type="gramEnd"/>
      <w:r w:rsidRPr="00402BDA">
        <w:rPr>
          <w:rFonts w:ascii="Times New Roman" w:eastAsia="Times New Roman" w:hAnsi="Times New Roman" w:cs="Times New Roman"/>
          <w:sz w:val="24"/>
          <w:szCs w:val="24"/>
        </w:rPr>
        <w:t xml:space="preserve"> institutions; (3) electronic medical record maturity of at least 24 months on a standardized national platform prior to October 2019; and (4) continuous reporting of viral load outcomes throughout the serial study period. Table 3.1 details the 35 selected facilities, classified by their geographical location, ownership structure, and level of care.</w:t>
      </w:r>
    </w:p>
    <w:p w14:paraId="1F7D2F4E" w14:textId="77777777" w:rsidR="00EE407C" w:rsidRPr="00EE407C" w:rsidRDefault="00EE407C" w:rsidP="00EE407C">
      <w:pPr>
        <w:spacing w:before="100" w:beforeAutospacing="1" w:after="0" w:line="480" w:lineRule="auto"/>
        <w:jc w:val="both"/>
        <w:rPr>
          <w:rFonts w:ascii="Times New Roman" w:eastAsia="Times New Roman" w:hAnsi="Times New Roman" w:cs="Times New Roman"/>
          <w:sz w:val="24"/>
          <w:szCs w:val="24"/>
        </w:rPr>
      </w:pPr>
      <w:r w:rsidRPr="00EE407C">
        <w:rPr>
          <w:rFonts w:ascii="Times New Roman" w:eastAsia="Times New Roman" w:hAnsi="Times New Roman" w:cs="Times New Roman"/>
          <w:b/>
          <w:bCs/>
          <w:sz w:val="24"/>
          <w:szCs w:val="24"/>
        </w:rPr>
        <w:t>Table 3.1: Selected Facilities for Study by Location, Ownership, and Level of Care</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6311"/>
        <w:gridCol w:w="816"/>
        <w:gridCol w:w="1005"/>
        <w:gridCol w:w="1228"/>
      </w:tblGrid>
      <w:tr w:rsidR="00EE407C" w:rsidRPr="00EE407C" w14:paraId="5E4BA108" w14:textId="77777777" w:rsidTr="00496CBB">
        <w:trPr>
          <w:tblHeader/>
          <w:tblCellSpacing w:w="15" w:type="dxa"/>
        </w:trPr>
        <w:tc>
          <w:tcPr>
            <w:tcW w:w="0" w:type="auto"/>
            <w:tcBorders>
              <w:bottom w:val="single" w:sz="4" w:space="0" w:color="auto"/>
            </w:tcBorders>
            <w:vAlign w:val="center"/>
            <w:hideMark/>
          </w:tcPr>
          <w:p w14:paraId="208C7684"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b/>
                <w:bCs/>
                <w:sz w:val="20"/>
                <w:szCs w:val="20"/>
              </w:rPr>
              <w:t>Facility Name</w:t>
            </w:r>
          </w:p>
        </w:tc>
        <w:tc>
          <w:tcPr>
            <w:tcW w:w="0" w:type="auto"/>
            <w:tcBorders>
              <w:bottom w:val="single" w:sz="4" w:space="0" w:color="auto"/>
            </w:tcBorders>
            <w:vAlign w:val="center"/>
            <w:hideMark/>
          </w:tcPr>
          <w:p w14:paraId="47AB5BC0"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b/>
                <w:bCs/>
                <w:sz w:val="20"/>
                <w:szCs w:val="20"/>
              </w:rPr>
              <w:t>Location</w:t>
            </w:r>
          </w:p>
        </w:tc>
        <w:tc>
          <w:tcPr>
            <w:tcW w:w="0" w:type="auto"/>
            <w:tcBorders>
              <w:bottom w:val="single" w:sz="4" w:space="0" w:color="auto"/>
            </w:tcBorders>
            <w:vAlign w:val="center"/>
            <w:hideMark/>
          </w:tcPr>
          <w:p w14:paraId="13EBBEA0"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b/>
                <w:bCs/>
                <w:sz w:val="20"/>
                <w:szCs w:val="20"/>
              </w:rPr>
              <w:t>Ownership</w:t>
            </w:r>
          </w:p>
        </w:tc>
        <w:tc>
          <w:tcPr>
            <w:tcW w:w="0" w:type="auto"/>
            <w:tcBorders>
              <w:bottom w:val="single" w:sz="4" w:space="0" w:color="auto"/>
            </w:tcBorders>
            <w:vAlign w:val="center"/>
            <w:hideMark/>
          </w:tcPr>
          <w:p w14:paraId="55FCCCDA"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b/>
                <w:bCs/>
                <w:sz w:val="20"/>
                <w:szCs w:val="20"/>
              </w:rPr>
              <w:t>Level of Care</w:t>
            </w:r>
          </w:p>
        </w:tc>
      </w:tr>
      <w:tr w:rsidR="00EE407C" w:rsidRPr="00EE407C" w14:paraId="70C0A656" w14:textId="77777777" w:rsidTr="00496CBB">
        <w:trPr>
          <w:tblCellSpacing w:w="15" w:type="dxa"/>
        </w:trPr>
        <w:tc>
          <w:tcPr>
            <w:tcW w:w="0" w:type="auto"/>
            <w:vAlign w:val="center"/>
            <w:hideMark/>
          </w:tcPr>
          <w:p w14:paraId="166DA7F2"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Bingham University Teaching Hospital</w:t>
            </w:r>
          </w:p>
        </w:tc>
        <w:tc>
          <w:tcPr>
            <w:tcW w:w="0" w:type="auto"/>
            <w:vAlign w:val="center"/>
            <w:hideMark/>
          </w:tcPr>
          <w:p w14:paraId="07D0A1F2"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Urban</w:t>
            </w:r>
          </w:p>
        </w:tc>
        <w:tc>
          <w:tcPr>
            <w:tcW w:w="0" w:type="auto"/>
            <w:vAlign w:val="center"/>
            <w:hideMark/>
          </w:tcPr>
          <w:p w14:paraId="69E168C6"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Faith based</w:t>
            </w:r>
          </w:p>
        </w:tc>
        <w:tc>
          <w:tcPr>
            <w:tcW w:w="0" w:type="auto"/>
            <w:vAlign w:val="center"/>
            <w:hideMark/>
          </w:tcPr>
          <w:p w14:paraId="077D660D"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Tertiary</w:t>
            </w:r>
          </w:p>
        </w:tc>
      </w:tr>
      <w:tr w:rsidR="00EE407C" w:rsidRPr="00EE407C" w14:paraId="632832BB" w14:textId="77777777" w:rsidTr="00496CBB">
        <w:trPr>
          <w:tblCellSpacing w:w="15" w:type="dxa"/>
        </w:trPr>
        <w:tc>
          <w:tcPr>
            <w:tcW w:w="0" w:type="auto"/>
            <w:vAlign w:val="center"/>
            <w:hideMark/>
          </w:tcPr>
          <w:p w14:paraId="29BA1220"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Jos University Teaching Hospital</w:t>
            </w:r>
          </w:p>
        </w:tc>
        <w:tc>
          <w:tcPr>
            <w:tcW w:w="0" w:type="auto"/>
            <w:vAlign w:val="center"/>
            <w:hideMark/>
          </w:tcPr>
          <w:p w14:paraId="62562A38"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Urban</w:t>
            </w:r>
          </w:p>
        </w:tc>
        <w:tc>
          <w:tcPr>
            <w:tcW w:w="0" w:type="auto"/>
            <w:vAlign w:val="center"/>
            <w:hideMark/>
          </w:tcPr>
          <w:p w14:paraId="1E9E82F5"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Public</w:t>
            </w:r>
          </w:p>
        </w:tc>
        <w:tc>
          <w:tcPr>
            <w:tcW w:w="0" w:type="auto"/>
            <w:vAlign w:val="center"/>
            <w:hideMark/>
          </w:tcPr>
          <w:p w14:paraId="4212B7F6"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Tertiary</w:t>
            </w:r>
          </w:p>
        </w:tc>
      </w:tr>
      <w:tr w:rsidR="00EE407C" w:rsidRPr="00EE407C" w14:paraId="3E43306B" w14:textId="77777777" w:rsidTr="00496CBB">
        <w:trPr>
          <w:tblCellSpacing w:w="15" w:type="dxa"/>
        </w:trPr>
        <w:tc>
          <w:tcPr>
            <w:tcW w:w="0" w:type="auto"/>
            <w:vAlign w:val="center"/>
            <w:hideMark/>
          </w:tcPr>
          <w:p w14:paraId="182F0C06"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Plateau State Specialist Hospital</w:t>
            </w:r>
          </w:p>
        </w:tc>
        <w:tc>
          <w:tcPr>
            <w:tcW w:w="0" w:type="auto"/>
            <w:vAlign w:val="center"/>
            <w:hideMark/>
          </w:tcPr>
          <w:p w14:paraId="5FECFEB8"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Urban</w:t>
            </w:r>
          </w:p>
        </w:tc>
        <w:tc>
          <w:tcPr>
            <w:tcW w:w="0" w:type="auto"/>
            <w:vAlign w:val="center"/>
            <w:hideMark/>
          </w:tcPr>
          <w:p w14:paraId="21F4D00F"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Public</w:t>
            </w:r>
          </w:p>
        </w:tc>
        <w:tc>
          <w:tcPr>
            <w:tcW w:w="0" w:type="auto"/>
            <w:vAlign w:val="center"/>
            <w:hideMark/>
          </w:tcPr>
          <w:p w14:paraId="47DE828D"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Tertiary</w:t>
            </w:r>
          </w:p>
        </w:tc>
      </w:tr>
      <w:tr w:rsidR="00EE407C" w:rsidRPr="00EE407C" w14:paraId="74A7A09D" w14:textId="77777777" w:rsidTr="00496CBB">
        <w:trPr>
          <w:tblCellSpacing w:w="15" w:type="dxa"/>
        </w:trPr>
        <w:tc>
          <w:tcPr>
            <w:tcW w:w="0" w:type="auto"/>
            <w:vAlign w:val="center"/>
            <w:hideMark/>
          </w:tcPr>
          <w:p w14:paraId="32A54081"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Faith Alive Foundation</w:t>
            </w:r>
          </w:p>
        </w:tc>
        <w:tc>
          <w:tcPr>
            <w:tcW w:w="0" w:type="auto"/>
            <w:vAlign w:val="center"/>
            <w:hideMark/>
          </w:tcPr>
          <w:p w14:paraId="08A86138"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Urban</w:t>
            </w:r>
          </w:p>
        </w:tc>
        <w:tc>
          <w:tcPr>
            <w:tcW w:w="0" w:type="auto"/>
            <w:vAlign w:val="center"/>
            <w:hideMark/>
          </w:tcPr>
          <w:p w14:paraId="3EA65857"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Faith based</w:t>
            </w:r>
          </w:p>
        </w:tc>
        <w:tc>
          <w:tcPr>
            <w:tcW w:w="0" w:type="auto"/>
            <w:vAlign w:val="center"/>
            <w:hideMark/>
          </w:tcPr>
          <w:p w14:paraId="0E97E7E3"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Secondary</w:t>
            </w:r>
          </w:p>
        </w:tc>
      </w:tr>
      <w:tr w:rsidR="00EE407C" w:rsidRPr="00EE407C" w14:paraId="27EF0039" w14:textId="77777777" w:rsidTr="00496CBB">
        <w:trPr>
          <w:tblCellSpacing w:w="15" w:type="dxa"/>
        </w:trPr>
        <w:tc>
          <w:tcPr>
            <w:tcW w:w="0" w:type="auto"/>
            <w:vAlign w:val="center"/>
            <w:hideMark/>
          </w:tcPr>
          <w:p w14:paraId="5DC9AD3B"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Dadin Kowa Comprehensive Health Center</w:t>
            </w:r>
          </w:p>
        </w:tc>
        <w:tc>
          <w:tcPr>
            <w:tcW w:w="0" w:type="auto"/>
            <w:vAlign w:val="center"/>
            <w:hideMark/>
          </w:tcPr>
          <w:p w14:paraId="1D079690"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Urban</w:t>
            </w:r>
          </w:p>
        </w:tc>
        <w:tc>
          <w:tcPr>
            <w:tcW w:w="0" w:type="auto"/>
            <w:vAlign w:val="center"/>
            <w:hideMark/>
          </w:tcPr>
          <w:p w14:paraId="4727DBE4"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Public</w:t>
            </w:r>
          </w:p>
        </w:tc>
        <w:tc>
          <w:tcPr>
            <w:tcW w:w="0" w:type="auto"/>
            <w:vAlign w:val="center"/>
            <w:hideMark/>
          </w:tcPr>
          <w:p w14:paraId="5F2BA1E7"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Secondary</w:t>
            </w:r>
          </w:p>
        </w:tc>
      </w:tr>
      <w:tr w:rsidR="00EE407C" w:rsidRPr="00EE407C" w14:paraId="344D014B" w14:textId="77777777" w:rsidTr="00496CBB">
        <w:trPr>
          <w:tblCellSpacing w:w="15" w:type="dxa"/>
        </w:trPr>
        <w:tc>
          <w:tcPr>
            <w:tcW w:w="0" w:type="auto"/>
            <w:vAlign w:val="center"/>
            <w:hideMark/>
          </w:tcPr>
          <w:p w14:paraId="16E8545D"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Barkin Ladi General Hospital</w:t>
            </w:r>
          </w:p>
        </w:tc>
        <w:tc>
          <w:tcPr>
            <w:tcW w:w="0" w:type="auto"/>
            <w:vAlign w:val="center"/>
            <w:hideMark/>
          </w:tcPr>
          <w:p w14:paraId="69F93C77"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Rural</w:t>
            </w:r>
          </w:p>
        </w:tc>
        <w:tc>
          <w:tcPr>
            <w:tcW w:w="0" w:type="auto"/>
            <w:vAlign w:val="center"/>
            <w:hideMark/>
          </w:tcPr>
          <w:p w14:paraId="1991826A"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Public</w:t>
            </w:r>
          </w:p>
        </w:tc>
        <w:tc>
          <w:tcPr>
            <w:tcW w:w="0" w:type="auto"/>
            <w:vAlign w:val="center"/>
            <w:hideMark/>
          </w:tcPr>
          <w:p w14:paraId="7E44E689"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Secondary</w:t>
            </w:r>
          </w:p>
        </w:tc>
      </w:tr>
      <w:tr w:rsidR="00EE407C" w:rsidRPr="00EE407C" w14:paraId="057ADDB8" w14:textId="77777777" w:rsidTr="00496CBB">
        <w:trPr>
          <w:tblCellSpacing w:w="15" w:type="dxa"/>
        </w:trPr>
        <w:tc>
          <w:tcPr>
            <w:tcW w:w="0" w:type="auto"/>
            <w:vAlign w:val="center"/>
            <w:hideMark/>
          </w:tcPr>
          <w:p w14:paraId="093766E7"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proofErr w:type="spellStart"/>
            <w:r w:rsidRPr="00EE407C">
              <w:rPr>
                <w:rFonts w:ascii="Times New Roman" w:eastAsia="Times New Roman" w:hAnsi="Times New Roman" w:cs="Times New Roman"/>
                <w:sz w:val="20"/>
                <w:szCs w:val="20"/>
              </w:rPr>
              <w:t>Bokkos</w:t>
            </w:r>
            <w:proofErr w:type="spellEnd"/>
            <w:r w:rsidRPr="00EE407C">
              <w:rPr>
                <w:rFonts w:ascii="Times New Roman" w:eastAsia="Times New Roman" w:hAnsi="Times New Roman" w:cs="Times New Roman"/>
                <w:sz w:val="20"/>
                <w:szCs w:val="20"/>
              </w:rPr>
              <w:t xml:space="preserve"> Cottage Hospital</w:t>
            </w:r>
          </w:p>
        </w:tc>
        <w:tc>
          <w:tcPr>
            <w:tcW w:w="0" w:type="auto"/>
            <w:vAlign w:val="center"/>
            <w:hideMark/>
          </w:tcPr>
          <w:p w14:paraId="2D73586D"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Rural</w:t>
            </w:r>
          </w:p>
        </w:tc>
        <w:tc>
          <w:tcPr>
            <w:tcW w:w="0" w:type="auto"/>
            <w:vAlign w:val="center"/>
            <w:hideMark/>
          </w:tcPr>
          <w:p w14:paraId="3D142364"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Public</w:t>
            </w:r>
          </w:p>
        </w:tc>
        <w:tc>
          <w:tcPr>
            <w:tcW w:w="0" w:type="auto"/>
            <w:vAlign w:val="center"/>
            <w:hideMark/>
          </w:tcPr>
          <w:p w14:paraId="489E8C58"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Secondary</w:t>
            </w:r>
          </w:p>
        </w:tc>
      </w:tr>
      <w:tr w:rsidR="00EE407C" w:rsidRPr="00EE407C" w14:paraId="67747FBE" w14:textId="77777777" w:rsidTr="00496CBB">
        <w:trPr>
          <w:tblCellSpacing w:w="15" w:type="dxa"/>
        </w:trPr>
        <w:tc>
          <w:tcPr>
            <w:tcW w:w="0" w:type="auto"/>
            <w:vAlign w:val="center"/>
            <w:hideMark/>
          </w:tcPr>
          <w:p w14:paraId="559895D6"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Dengi General Hospital</w:t>
            </w:r>
          </w:p>
        </w:tc>
        <w:tc>
          <w:tcPr>
            <w:tcW w:w="0" w:type="auto"/>
            <w:vAlign w:val="center"/>
            <w:hideMark/>
          </w:tcPr>
          <w:p w14:paraId="59B92335"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Rural</w:t>
            </w:r>
          </w:p>
        </w:tc>
        <w:tc>
          <w:tcPr>
            <w:tcW w:w="0" w:type="auto"/>
            <w:vAlign w:val="center"/>
            <w:hideMark/>
          </w:tcPr>
          <w:p w14:paraId="2E889ABF"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Public</w:t>
            </w:r>
          </w:p>
        </w:tc>
        <w:tc>
          <w:tcPr>
            <w:tcW w:w="0" w:type="auto"/>
            <w:vAlign w:val="center"/>
            <w:hideMark/>
          </w:tcPr>
          <w:p w14:paraId="49A559D8"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Secondary</w:t>
            </w:r>
          </w:p>
        </w:tc>
      </w:tr>
      <w:tr w:rsidR="00EE407C" w:rsidRPr="00EE407C" w14:paraId="266D7D14" w14:textId="77777777" w:rsidTr="00496CBB">
        <w:trPr>
          <w:tblCellSpacing w:w="15" w:type="dxa"/>
        </w:trPr>
        <w:tc>
          <w:tcPr>
            <w:tcW w:w="0" w:type="auto"/>
            <w:vAlign w:val="center"/>
            <w:hideMark/>
          </w:tcPr>
          <w:p w14:paraId="7B5598C7"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Langtang General Hospital</w:t>
            </w:r>
          </w:p>
        </w:tc>
        <w:tc>
          <w:tcPr>
            <w:tcW w:w="0" w:type="auto"/>
            <w:vAlign w:val="center"/>
            <w:hideMark/>
          </w:tcPr>
          <w:p w14:paraId="1DD2F4B2"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Rural</w:t>
            </w:r>
          </w:p>
        </w:tc>
        <w:tc>
          <w:tcPr>
            <w:tcW w:w="0" w:type="auto"/>
            <w:vAlign w:val="center"/>
            <w:hideMark/>
          </w:tcPr>
          <w:p w14:paraId="41020171"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Public</w:t>
            </w:r>
          </w:p>
        </w:tc>
        <w:tc>
          <w:tcPr>
            <w:tcW w:w="0" w:type="auto"/>
            <w:vAlign w:val="center"/>
            <w:hideMark/>
          </w:tcPr>
          <w:p w14:paraId="04FE2F69"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Secondary</w:t>
            </w:r>
          </w:p>
        </w:tc>
      </w:tr>
      <w:tr w:rsidR="00EE407C" w:rsidRPr="00EE407C" w14:paraId="162D4F21" w14:textId="77777777" w:rsidTr="00496CBB">
        <w:trPr>
          <w:tblCellSpacing w:w="15" w:type="dxa"/>
        </w:trPr>
        <w:tc>
          <w:tcPr>
            <w:tcW w:w="0" w:type="auto"/>
            <w:vAlign w:val="center"/>
            <w:hideMark/>
          </w:tcPr>
          <w:p w14:paraId="51642901"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proofErr w:type="spellStart"/>
            <w:r w:rsidRPr="00EE407C">
              <w:rPr>
                <w:rFonts w:ascii="Times New Roman" w:eastAsia="Times New Roman" w:hAnsi="Times New Roman" w:cs="Times New Roman"/>
                <w:sz w:val="20"/>
                <w:szCs w:val="20"/>
              </w:rPr>
              <w:t>Zamko</w:t>
            </w:r>
            <w:proofErr w:type="spellEnd"/>
            <w:r w:rsidRPr="00EE407C">
              <w:rPr>
                <w:rFonts w:ascii="Times New Roman" w:eastAsia="Times New Roman" w:hAnsi="Times New Roman" w:cs="Times New Roman"/>
                <w:sz w:val="20"/>
                <w:szCs w:val="20"/>
              </w:rPr>
              <w:t xml:space="preserve"> Comprehensive Health Center</w:t>
            </w:r>
          </w:p>
        </w:tc>
        <w:tc>
          <w:tcPr>
            <w:tcW w:w="0" w:type="auto"/>
            <w:vAlign w:val="center"/>
            <w:hideMark/>
          </w:tcPr>
          <w:p w14:paraId="0A85E2CF"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Rural</w:t>
            </w:r>
          </w:p>
        </w:tc>
        <w:tc>
          <w:tcPr>
            <w:tcW w:w="0" w:type="auto"/>
            <w:vAlign w:val="center"/>
            <w:hideMark/>
          </w:tcPr>
          <w:p w14:paraId="4D5AD1B3"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Public</w:t>
            </w:r>
          </w:p>
        </w:tc>
        <w:tc>
          <w:tcPr>
            <w:tcW w:w="0" w:type="auto"/>
            <w:vAlign w:val="center"/>
            <w:hideMark/>
          </w:tcPr>
          <w:p w14:paraId="302BAA34"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Secondary</w:t>
            </w:r>
          </w:p>
        </w:tc>
      </w:tr>
      <w:tr w:rsidR="00EE407C" w:rsidRPr="00EE407C" w14:paraId="751B1098" w14:textId="77777777" w:rsidTr="00496CBB">
        <w:trPr>
          <w:tblCellSpacing w:w="15" w:type="dxa"/>
        </w:trPr>
        <w:tc>
          <w:tcPr>
            <w:tcW w:w="0" w:type="auto"/>
            <w:vAlign w:val="center"/>
            <w:hideMark/>
          </w:tcPr>
          <w:p w14:paraId="63416E57"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 xml:space="preserve">Church Of Christ </w:t>
            </w:r>
            <w:proofErr w:type="gramStart"/>
            <w:r w:rsidRPr="00EE407C">
              <w:rPr>
                <w:rFonts w:ascii="Times New Roman" w:eastAsia="Times New Roman" w:hAnsi="Times New Roman" w:cs="Times New Roman"/>
                <w:sz w:val="20"/>
                <w:szCs w:val="20"/>
              </w:rPr>
              <w:t>In</w:t>
            </w:r>
            <w:proofErr w:type="gramEnd"/>
            <w:r w:rsidRPr="00EE407C">
              <w:rPr>
                <w:rFonts w:ascii="Times New Roman" w:eastAsia="Times New Roman" w:hAnsi="Times New Roman" w:cs="Times New Roman"/>
                <w:sz w:val="20"/>
                <w:szCs w:val="20"/>
              </w:rPr>
              <w:t xml:space="preserve"> Nigeria (COCIN) Hospital </w:t>
            </w:r>
            <w:proofErr w:type="gramStart"/>
            <w:r w:rsidRPr="00EE407C">
              <w:rPr>
                <w:rFonts w:ascii="Times New Roman" w:eastAsia="Times New Roman" w:hAnsi="Times New Roman" w:cs="Times New Roman"/>
                <w:sz w:val="20"/>
                <w:szCs w:val="20"/>
              </w:rPr>
              <w:t>And</w:t>
            </w:r>
            <w:proofErr w:type="gramEnd"/>
            <w:r w:rsidRPr="00EE407C">
              <w:rPr>
                <w:rFonts w:ascii="Times New Roman" w:eastAsia="Times New Roman" w:hAnsi="Times New Roman" w:cs="Times New Roman"/>
                <w:sz w:val="20"/>
                <w:szCs w:val="20"/>
              </w:rPr>
              <w:t xml:space="preserve"> Rehabilitation Center</w:t>
            </w:r>
          </w:p>
        </w:tc>
        <w:tc>
          <w:tcPr>
            <w:tcW w:w="0" w:type="auto"/>
            <w:vAlign w:val="center"/>
            <w:hideMark/>
          </w:tcPr>
          <w:p w14:paraId="6032F923"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Rural</w:t>
            </w:r>
          </w:p>
        </w:tc>
        <w:tc>
          <w:tcPr>
            <w:tcW w:w="0" w:type="auto"/>
            <w:vAlign w:val="center"/>
            <w:hideMark/>
          </w:tcPr>
          <w:p w14:paraId="1E8CA562"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Faith based</w:t>
            </w:r>
          </w:p>
        </w:tc>
        <w:tc>
          <w:tcPr>
            <w:tcW w:w="0" w:type="auto"/>
            <w:vAlign w:val="center"/>
            <w:hideMark/>
          </w:tcPr>
          <w:p w14:paraId="14B16923"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Secondary</w:t>
            </w:r>
          </w:p>
        </w:tc>
      </w:tr>
      <w:tr w:rsidR="00EE407C" w:rsidRPr="00EE407C" w14:paraId="04380A03" w14:textId="77777777" w:rsidTr="00496CBB">
        <w:trPr>
          <w:tblCellSpacing w:w="15" w:type="dxa"/>
        </w:trPr>
        <w:tc>
          <w:tcPr>
            <w:tcW w:w="0" w:type="auto"/>
            <w:vAlign w:val="center"/>
            <w:hideMark/>
          </w:tcPr>
          <w:p w14:paraId="2A588FDB"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proofErr w:type="spellStart"/>
            <w:r w:rsidRPr="00EE407C">
              <w:rPr>
                <w:rFonts w:ascii="Times New Roman" w:eastAsia="Times New Roman" w:hAnsi="Times New Roman" w:cs="Times New Roman"/>
                <w:sz w:val="20"/>
                <w:szCs w:val="20"/>
              </w:rPr>
              <w:t>Kwalla</w:t>
            </w:r>
            <w:proofErr w:type="spellEnd"/>
            <w:r w:rsidRPr="00EE407C">
              <w:rPr>
                <w:rFonts w:ascii="Times New Roman" w:eastAsia="Times New Roman" w:hAnsi="Times New Roman" w:cs="Times New Roman"/>
                <w:sz w:val="20"/>
                <w:szCs w:val="20"/>
              </w:rPr>
              <w:t xml:space="preserve"> General Hospital</w:t>
            </w:r>
          </w:p>
        </w:tc>
        <w:tc>
          <w:tcPr>
            <w:tcW w:w="0" w:type="auto"/>
            <w:vAlign w:val="center"/>
            <w:hideMark/>
          </w:tcPr>
          <w:p w14:paraId="2293891F"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Rural</w:t>
            </w:r>
          </w:p>
        </w:tc>
        <w:tc>
          <w:tcPr>
            <w:tcW w:w="0" w:type="auto"/>
            <w:vAlign w:val="center"/>
            <w:hideMark/>
          </w:tcPr>
          <w:p w14:paraId="11002575"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Public</w:t>
            </w:r>
          </w:p>
        </w:tc>
        <w:tc>
          <w:tcPr>
            <w:tcW w:w="0" w:type="auto"/>
            <w:vAlign w:val="center"/>
            <w:hideMark/>
          </w:tcPr>
          <w:p w14:paraId="4DA9C003"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Secondary</w:t>
            </w:r>
          </w:p>
        </w:tc>
      </w:tr>
      <w:tr w:rsidR="00EE407C" w:rsidRPr="00EE407C" w14:paraId="7B7B57C4" w14:textId="77777777" w:rsidTr="00496CBB">
        <w:trPr>
          <w:tblCellSpacing w:w="15" w:type="dxa"/>
        </w:trPr>
        <w:tc>
          <w:tcPr>
            <w:tcW w:w="0" w:type="auto"/>
            <w:vAlign w:val="center"/>
            <w:hideMark/>
          </w:tcPr>
          <w:p w14:paraId="74E4BD2C"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Bassa Cottage Hospital</w:t>
            </w:r>
          </w:p>
        </w:tc>
        <w:tc>
          <w:tcPr>
            <w:tcW w:w="0" w:type="auto"/>
            <w:vAlign w:val="center"/>
            <w:hideMark/>
          </w:tcPr>
          <w:p w14:paraId="063A4802"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Rural</w:t>
            </w:r>
          </w:p>
        </w:tc>
        <w:tc>
          <w:tcPr>
            <w:tcW w:w="0" w:type="auto"/>
            <w:vAlign w:val="center"/>
            <w:hideMark/>
          </w:tcPr>
          <w:p w14:paraId="04E9347F"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Public</w:t>
            </w:r>
          </w:p>
        </w:tc>
        <w:tc>
          <w:tcPr>
            <w:tcW w:w="0" w:type="auto"/>
            <w:vAlign w:val="center"/>
            <w:hideMark/>
          </w:tcPr>
          <w:p w14:paraId="018F8F5B"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Secondary</w:t>
            </w:r>
          </w:p>
        </w:tc>
      </w:tr>
      <w:tr w:rsidR="00EE407C" w:rsidRPr="00EE407C" w14:paraId="346B8C4A" w14:textId="77777777" w:rsidTr="00496CBB">
        <w:trPr>
          <w:tblCellSpacing w:w="15" w:type="dxa"/>
        </w:trPr>
        <w:tc>
          <w:tcPr>
            <w:tcW w:w="0" w:type="auto"/>
            <w:vAlign w:val="center"/>
            <w:hideMark/>
          </w:tcPr>
          <w:p w14:paraId="45E305DF"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proofErr w:type="spellStart"/>
            <w:r w:rsidRPr="00EE407C">
              <w:rPr>
                <w:rFonts w:ascii="Times New Roman" w:eastAsia="Times New Roman" w:hAnsi="Times New Roman" w:cs="Times New Roman"/>
                <w:sz w:val="20"/>
                <w:szCs w:val="20"/>
              </w:rPr>
              <w:t>Solat</w:t>
            </w:r>
            <w:proofErr w:type="spellEnd"/>
            <w:r w:rsidRPr="00EE407C">
              <w:rPr>
                <w:rFonts w:ascii="Times New Roman" w:eastAsia="Times New Roman" w:hAnsi="Times New Roman" w:cs="Times New Roman"/>
                <w:sz w:val="20"/>
                <w:szCs w:val="20"/>
              </w:rPr>
              <w:t xml:space="preserve"> Women Hospital</w:t>
            </w:r>
          </w:p>
        </w:tc>
        <w:tc>
          <w:tcPr>
            <w:tcW w:w="0" w:type="auto"/>
            <w:vAlign w:val="center"/>
            <w:hideMark/>
          </w:tcPr>
          <w:p w14:paraId="31651135"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Urban</w:t>
            </w:r>
          </w:p>
        </w:tc>
        <w:tc>
          <w:tcPr>
            <w:tcW w:w="0" w:type="auto"/>
            <w:vAlign w:val="center"/>
            <w:hideMark/>
          </w:tcPr>
          <w:p w14:paraId="0D51E5E4"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Private</w:t>
            </w:r>
          </w:p>
        </w:tc>
        <w:tc>
          <w:tcPr>
            <w:tcW w:w="0" w:type="auto"/>
            <w:vAlign w:val="center"/>
            <w:hideMark/>
          </w:tcPr>
          <w:p w14:paraId="19ED01D2"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Secondary</w:t>
            </w:r>
          </w:p>
        </w:tc>
      </w:tr>
      <w:tr w:rsidR="00EE407C" w:rsidRPr="00EE407C" w14:paraId="615AAAEE" w14:textId="77777777" w:rsidTr="00496CBB">
        <w:trPr>
          <w:tblCellSpacing w:w="15" w:type="dxa"/>
        </w:trPr>
        <w:tc>
          <w:tcPr>
            <w:tcW w:w="0" w:type="auto"/>
            <w:vAlign w:val="center"/>
            <w:hideMark/>
          </w:tcPr>
          <w:p w14:paraId="1CF1B2CD"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 xml:space="preserve">Our Lady of Apostles Hospital &amp; Orphanage </w:t>
            </w:r>
            <w:proofErr w:type="spellStart"/>
            <w:r w:rsidRPr="00EE407C">
              <w:rPr>
                <w:rFonts w:ascii="Times New Roman" w:eastAsia="Times New Roman" w:hAnsi="Times New Roman" w:cs="Times New Roman"/>
                <w:sz w:val="20"/>
                <w:szCs w:val="20"/>
              </w:rPr>
              <w:t>Zawan</w:t>
            </w:r>
            <w:proofErr w:type="spellEnd"/>
          </w:p>
        </w:tc>
        <w:tc>
          <w:tcPr>
            <w:tcW w:w="0" w:type="auto"/>
            <w:vAlign w:val="center"/>
            <w:hideMark/>
          </w:tcPr>
          <w:p w14:paraId="7F65139F"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Rural</w:t>
            </w:r>
          </w:p>
        </w:tc>
        <w:tc>
          <w:tcPr>
            <w:tcW w:w="0" w:type="auto"/>
            <w:vAlign w:val="center"/>
            <w:hideMark/>
          </w:tcPr>
          <w:p w14:paraId="63AEC0F5"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Faith based</w:t>
            </w:r>
          </w:p>
        </w:tc>
        <w:tc>
          <w:tcPr>
            <w:tcW w:w="0" w:type="auto"/>
            <w:vAlign w:val="center"/>
            <w:hideMark/>
          </w:tcPr>
          <w:p w14:paraId="422D5D22"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Secondary</w:t>
            </w:r>
          </w:p>
        </w:tc>
      </w:tr>
      <w:tr w:rsidR="00EE407C" w:rsidRPr="00EE407C" w14:paraId="6D7286AB" w14:textId="77777777" w:rsidTr="00496CBB">
        <w:trPr>
          <w:tblCellSpacing w:w="15" w:type="dxa"/>
        </w:trPr>
        <w:tc>
          <w:tcPr>
            <w:tcW w:w="0" w:type="auto"/>
            <w:vAlign w:val="center"/>
            <w:hideMark/>
          </w:tcPr>
          <w:p w14:paraId="6E5C5489"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CCDP Hospital Panyam</w:t>
            </w:r>
          </w:p>
        </w:tc>
        <w:tc>
          <w:tcPr>
            <w:tcW w:w="0" w:type="auto"/>
            <w:vAlign w:val="center"/>
            <w:hideMark/>
          </w:tcPr>
          <w:p w14:paraId="6723F112"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Rural</w:t>
            </w:r>
          </w:p>
        </w:tc>
        <w:tc>
          <w:tcPr>
            <w:tcW w:w="0" w:type="auto"/>
            <w:vAlign w:val="center"/>
            <w:hideMark/>
          </w:tcPr>
          <w:p w14:paraId="68E42F8E"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Faith based</w:t>
            </w:r>
          </w:p>
        </w:tc>
        <w:tc>
          <w:tcPr>
            <w:tcW w:w="0" w:type="auto"/>
            <w:vAlign w:val="center"/>
            <w:hideMark/>
          </w:tcPr>
          <w:p w14:paraId="150149A2"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Secondary</w:t>
            </w:r>
          </w:p>
        </w:tc>
      </w:tr>
      <w:tr w:rsidR="00EE407C" w:rsidRPr="00EE407C" w14:paraId="5C1B229A" w14:textId="77777777" w:rsidTr="00496CBB">
        <w:trPr>
          <w:tblCellSpacing w:w="15" w:type="dxa"/>
        </w:trPr>
        <w:tc>
          <w:tcPr>
            <w:tcW w:w="0" w:type="auto"/>
            <w:vAlign w:val="center"/>
            <w:hideMark/>
          </w:tcPr>
          <w:p w14:paraId="5DA53E83"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Mangu General Hospital</w:t>
            </w:r>
          </w:p>
        </w:tc>
        <w:tc>
          <w:tcPr>
            <w:tcW w:w="0" w:type="auto"/>
            <w:vAlign w:val="center"/>
            <w:hideMark/>
          </w:tcPr>
          <w:p w14:paraId="275C131D"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Rural</w:t>
            </w:r>
          </w:p>
        </w:tc>
        <w:tc>
          <w:tcPr>
            <w:tcW w:w="0" w:type="auto"/>
            <w:vAlign w:val="center"/>
            <w:hideMark/>
          </w:tcPr>
          <w:p w14:paraId="12560C1D"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Public</w:t>
            </w:r>
          </w:p>
        </w:tc>
        <w:tc>
          <w:tcPr>
            <w:tcW w:w="0" w:type="auto"/>
            <w:vAlign w:val="center"/>
            <w:hideMark/>
          </w:tcPr>
          <w:p w14:paraId="0A1B8071"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Secondary</w:t>
            </w:r>
          </w:p>
        </w:tc>
      </w:tr>
      <w:tr w:rsidR="00EE407C" w:rsidRPr="00EE407C" w14:paraId="16FE52E5" w14:textId="77777777" w:rsidTr="00496CBB">
        <w:trPr>
          <w:tblCellSpacing w:w="15" w:type="dxa"/>
        </w:trPr>
        <w:tc>
          <w:tcPr>
            <w:tcW w:w="0" w:type="auto"/>
            <w:vAlign w:val="center"/>
            <w:hideMark/>
          </w:tcPr>
          <w:p w14:paraId="180B4697"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proofErr w:type="spellStart"/>
            <w:r w:rsidRPr="00EE407C">
              <w:rPr>
                <w:rFonts w:ascii="Times New Roman" w:eastAsia="Times New Roman" w:hAnsi="Times New Roman" w:cs="Times New Roman"/>
                <w:sz w:val="20"/>
                <w:szCs w:val="20"/>
              </w:rPr>
              <w:t>Tunkus</w:t>
            </w:r>
            <w:proofErr w:type="spellEnd"/>
            <w:r w:rsidRPr="00EE407C">
              <w:rPr>
                <w:rFonts w:ascii="Times New Roman" w:eastAsia="Times New Roman" w:hAnsi="Times New Roman" w:cs="Times New Roman"/>
                <w:sz w:val="20"/>
                <w:szCs w:val="20"/>
              </w:rPr>
              <w:t xml:space="preserve"> General Hospital</w:t>
            </w:r>
          </w:p>
        </w:tc>
        <w:tc>
          <w:tcPr>
            <w:tcW w:w="0" w:type="auto"/>
            <w:vAlign w:val="center"/>
            <w:hideMark/>
          </w:tcPr>
          <w:p w14:paraId="039FBDC4"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Rural</w:t>
            </w:r>
          </w:p>
        </w:tc>
        <w:tc>
          <w:tcPr>
            <w:tcW w:w="0" w:type="auto"/>
            <w:vAlign w:val="center"/>
            <w:hideMark/>
          </w:tcPr>
          <w:p w14:paraId="223FB071"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Public</w:t>
            </w:r>
          </w:p>
        </w:tc>
        <w:tc>
          <w:tcPr>
            <w:tcW w:w="0" w:type="auto"/>
            <w:vAlign w:val="center"/>
            <w:hideMark/>
          </w:tcPr>
          <w:p w14:paraId="0060A749"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Secondary</w:t>
            </w:r>
          </w:p>
        </w:tc>
      </w:tr>
      <w:tr w:rsidR="00EE407C" w:rsidRPr="00EE407C" w14:paraId="01E37F71" w14:textId="77777777" w:rsidTr="00496CBB">
        <w:trPr>
          <w:tblCellSpacing w:w="15" w:type="dxa"/>
        </w:trPr>
        <w:tc>
          <w:tcPr>
            <w:tcW w:w="0" w:type="auto"/>
            <w:vAlign w:val="center"/>
            <w:hideMark/>
          </w:tcPr>
          <w:p w14:paraId="35BED796"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proofErr w:type="spellStart"/>
            <w:r w:rsidRPr="00EE407C">
              <w:rPr>
                <w:rFonts w:ascii="Times New Roman" w:eastAsia="Times New Roman" w:hAnsi="Times New Roman" w:cs="Times New Roman"/>
                <w:sz w:val="20"/>
                <w:szCs w:val="20"/>
              </w:rPr>
              <w:t>Shendam</w:t>
            </w:r>
            <w:proofErr w:type="spellEnd"/>
            <w:r w:rsidRPr="00EE407C">
              <w:rPr>
                <w:rFonts w:ascii="Times New Roman" w:eastAsia="Times New Roman" w:hAnsi="Times New Roman" w:cs="Times New Roman"/>
                <w:sz w:val="20"/>
                <w:szCs w:val="20"/>
              </w:rPr>
              <w:t xml:space="preserve"> General Hospital</w:t>
            </w:r>
          </w:p>
        </w:tc>
        <w:tc>
          <w:tcPr>
            <w:tcW w:w="0" w:type="auto"/>
            <w:vAlign w:val="center"/>
            <w:hideMark/>
          </w:tcPr>
          <w:p w14:paraId="756166C5"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Rural</w:t>
            </w:r>
          </w:p>
        </w:tc>
        <w:tc>
          <w:tcPr>
            <w:tcW w:w="0" w:type="auto"/>
            <w:vAlign w:val="center"/>
            <w:hideMark/>
          </w:tcPr>
          <w:p w14:paraId="34B07859"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Public</w:t>
            </w:r>
          </w:p>
        </w:tc>
        <w:tc>
          <w:tcPr>
            <w:tcW w:w="0" w:type="auto"/>
            <w:vAlign w:val="center"/>
            <w:hideMark/>
          </w:tcPr>
          <w:p w14:paraId="7105ADA5"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Secondary</w:t>
            </w:r>
          </w:p>
        </w:tc>
      </w:tr>
      <w:tr w:rsidR="00EE407C" w:rsidRPr="00EE407C" w14:paraId="02A29A4D" w14:textId="77777777" w:rsidTr="00496CBB">
        <w:trPr>
          <w:tblCellSpacing w:w="15" w:type="dxa"/>
        </w:trPr>
        <w:tc>
          <w:tcPr>
            <w:tcW w:w="0" w:type="auto"/>
            <w:vAlign w:val="center"/>
            <w:hideMark/>
          </w:tcPr>
          <w:p w14:paraId="0F9CC621"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Our Lady of Apostle (OLA) Hospital Jos</w:t>
            </w:r>
          </w:p>
        </w:tc>
        <w:tc>
          <w:tcPr>
            <w:tcW w:w="0" w:type="auto"/>
            <w:vAlign w:val="center"/>
            <w:hideMark/>
          </w:tcPr>
          <w:p w14:paraId="0C699CB0"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Rural</w:t>
            </w:r>
          </w:p>
        </w:tc>
        <w:tc>
          <w:tcPr>
            <w:tcW w:w="0" w:type="auto"/>
            <w:vAlign w:val="center"/>
            <w:hideMark/>
          </w:tcPr>
          <w:p w14:paraId="4AACB4FF"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Faith based</w:t>
            </w:r>
          </w:p>
        </w:tc>
        <w:tc>
          <w:tcPr>
            <w:tcW w:w="0" w:type="auto"/>
            <w:vAlign w:val="center"/>
            <w:hideMark/>
          </w:tcPr>
          <w:p w14:paraId="5EA88928"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Secondary</w:t>
            </w:r>
          </w:p>
        </w:tc>
      </w:tr>
      <w:tr w:rsidR="00EE407C" w:rsidRPr="00EE407C" w14:paraId="751BAF38" w14:textId="77777777" w:rsidTr="00496CBB">
        <w:trPr>
          <w:tblCellSpacing w:w="15" w:type="dxa"/>
        </w:trPr>
        <w:tc>
          <w:tcPr>
            <w:tcW w:w="0" w:type="auto"/>
            <w:vAlign w:val="center"/>
            <w:hideMark/>
          </w:tcPr>
          <w:p w14:paraId="33063C7D"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Bukuru Express Primary Health Center</w:t>
            </w:r>
          </w:p>
        </w:tc>
        <w:tc>
          <w:tcPr>
            <w:tcW w:w="0" w:type="auto"/>
            <w:vAlign w:val="center"/>
            <w:hideMark/>
          </w:tcPr>
          <w:p w14:paraId="114B49F4"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Urban</w:t>
            </w:r>
          </w:p>
        </w:tc>
        <w:tc>
          <w:tcPr>
            <w:tcW w:w="0" w:type="auto"/>
            <w:vAlign w:val="center"/>
            <w:hideMark/>
          </w:tcPr>
          <w:p w14:paraId="1060C526"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Public</w:t>
            </w:r>
          </w:p>
        </w:tc>
        <w:tc>
          <w:tcPr>
            <w:tcW w:w="0" w:type="auto"/>
            <w:vAlign w:val="center"/>
            <w:hideMark/>
          </w:tcPr>
          <w:p w14:paraId="6B77FC6C"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Primary</w:t>
            </w:r>
          </w:p>
        </w:tc>
      </w:tr>
      <w:tr w:rsidR="00EE407C" w:rsidRPr="00EE407C" w14:paraId="65FE7238" w14:textId="77777777" w:rsidTr="00496CBB">
        <w:trPr>
          <w:tblCellSpacing w:w="15" w:type="dxa"/>
        </w:trPr>
        <w:tc>
          <w:tcPr>
            <w:tcW w:w="0" w:type="auto"/>
            <w:vAlign w:val="center"/>
            <w:hideMark/>
          </w:tcPr>
          <w:p w14:paraId="421DFE71"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proofErr w:type="spellStart"/>
            <w:r w:rsidRPr="00EE407C">
              <w:rPr>
                <w:rFonts w:ascii="Times New Roman" w:eastAsia="Times New Roman" w:hAnsi="Times New Roman" w:cs="Times New Roman"/>
                <w:sz w:val="20"/>
                <w:szCs w:val="20"/>
              </w:rPr>
              <w:t>Vom</w:t>
            </w:r>
            <w:proofErr w:type="spellEnd"/>
            <w:r w:rsidRPr="00EE407C">
              <w:rPr>
                <w:rFonts w:ascii="Times New Roman" w:eastAsia="Times New Roman" w:hAnsi="Times New Roman" w:cs="Times New Roman"/>
                <w:sz w:val="20"/>
                <w:szCs w:val="20"/>
              </w:rPr>
              <w:t xml:space="preserve"> Christian Hospital</w:t>
            </w:r>
          </w:p>
        </w:tc>
        <w:tc>
          <w:tcPr>
            <w:tcW w:w="0" w:type="auto"/>
            <w:vAlign w:val="center"/>
            <w:hideMark/>
          </w:tcPr>
          <w:p w14:paraId="13B6FBB6"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Rural</w:t>
            </w:r>
          </w:p>
        </w:tc>
        <w:tc>
          <w:tcPr>
            <w:tcW w:w="0" w:type="auto"/>
            <w:vAlign w:val="center"/>
            <w:hideMark/>
          </w:tcPr>
          <w:p w14:paraId="6DE3339B"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Faith based</w:t>
            </w:r>
          </w:p>
        </w:tc>
        <w:tc>
          <w:tcPr>
            <w:tcW w:w="0" w:type="auto"/>
            <w:vAlign w:val="center"/>
            <w:hideMark/>
          </w:tcPr>
          <w:p w14:paraId="403FADE1"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Secondary</w:t>
            </w:r>
          </w:p>
        </w:tc>
      </w:tr>
      <w:tr w:rsidR="00EE407C" w:rsidRPr="00EE407C" w14:paraId="6BC6625E" w14:textId="77777777" w:rsidTr="00496CBB">
        <w:trPr>
          <w:tblCellSpacing w:w="15" w:type="dxa"/>
        </w:trPr>
        <w:tc>
          <w:tcPr>
            <w:tcW w:w="0" w:type="auto"/>
            <w:vAlign w:val="center"/>
            <w:hideMark/>
          </w:tcPr>
          <w:p w14:paraId="6D70B43E"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 xml:space="preserve">Seventh Day Adventist (SDA) Hospital </w:t>
            </w:r>
            <w:proofErr w:type="spellStart"/>
            <w:r w:rsidRPr="00EE407C">
              <w:rPr>
                <w:rFonts w:ascii="Times New Roman" w:eastAsia="Times New Roman" w:hAnsi="Times New Roman" w:cs="Times New Roman"/>
                <w:sz w:val="20"/>
                <w:szCs w:val="20"/>
              </w:rPr>
              <w:t>Jengre</w:t>
            </w:r>
            <w:proofErr w:type="spellEnd"/>
          </w:p>
        </w:tc>
        <w:tc>
          <w:tcPr>
            <w:tcW w:w="0" w:type="auto"/>
            <w:vAlign w:val="center"/>
            <w:hideMark/>
          </w:tcPr>
          <w:p w14:paraId="17BFAFED"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Rural</w:t>
            </w:r>
          </w:p>
        </w:tc>
        <w:tc>
          <w:tcPr>
            <w:tcW w:w="0" w:type="auto"/>
            <w:vAlign w:val="center"/>
            <w:hideMark/>
          </w:tcPr>
          <w:p w14:paraId="2FCCE540"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Faith based</w:t>
            </w:r>
          </w:p>
        </w:tc>
        <w:tc>
          <w:tcPr>
            <w:tcW w:w="0" w:type="auto"/>
            <w:vAlign w:val="center"/>
            <w:hideMark/>
          </w:tcPr>
          <w:p w14:paraId="62838D08"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Secondary</w:t>
            </w:r>
          </w:p>
        </w:tc>
      </w:tr>
      <w:tr w:rsidR="00EE407C" w:rsidRPr="00EE407C" w14:paraId="2E8CA117" w14:textId="77777777" w:rsidTr="00496CBB">
        <w:trPr>
          <w:tblCellSpacing w:w="15" w:type="dxa"/>
        </w:trPr>
        <w:tc>
          <w:tcPr>
            <w:tcW w:w="0" w:type="auto"/>
            <w:vAlign w:val="center"/>
            <w:hideMark/>
          </w:tcPr>
          <w:p w14:paraId="34B890A8"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Evangelical Church of West Africa (ECWA) Comprehensive Hospital Bukuru</w:t>
            </w:r>
          </w:p>
        </w:tc>
        <w:tc>
          <w:tcPr>
            <w:tcW w:w="0" w:type="auto"/>
            <w:vAlign w:val="center"/>
            <w:hideMark/>
          </w:tcPr>
          <w:p w14:paraId="27925513"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Urban</w:t>
            </w:r>
          </w:p>
        </w:tc>
        <w:tc>
          <w:tcPr>
            <w:tcW w:w="0" w:type="auto"/>
            <w:vAlign w:val="center"/>
            <w:hideMark/>
          </w:tcPr>
          <w:p w14:paraId="33D67DCA"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Faith based</w:t>
            </w:r>
          </w:p>
        </w:tc>
        <w:tc>
          <w:tcPr>
            <w:tcW w:w="0" w:type="auto"/>
            <w:vAlign w:val="center"/>
            <w:hideMark/>
          </w:tcPr>
          <w:p w14:paraId="46A47796"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Secondary</w:t>
            </w:r>
          </w:p>
        </w:tc>
      </w:tr>
      <w:tr w:rsidR="00EE407C" w:rsidRPr="00EE407C" w14:paraId="36310386" w14:textId="77777777" w:rsidTr="00496CBB">
        <w:trPr>
          <w:tblCellSpacing w:w="15" w:type="dxa"/>
        </w:trPr>
        <w:tc>
          <w:tcPr>
            <w:tcW w:w="0" w:type="auto"/>
            <w:vAlign w:val="center"/>
            <w:hideMark/>
          </w:tcPr>
          <w:p w14:paraId="640CC2E6"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proofErr w:type="spellStart"/>
            <w:r w:rsidRPr="00EE407C">
              <w:rPr>
                <w:rFonts w:ascii="Times New Roman" w:eastAsia="Times New Roman" w:hAnsi="Times New Roman" w:cs="Times New Roman"/>
                <w:sz w:val="20"/>
                <w:szCs w:val="20"/>
              </w:rPr>
              <w:t>Pankshin</w:t>
            </w:r>
            <w:proofErr w:type="spellEnd"/>
            <w:r w:rsidRPr="00EE407C">
              <w:rPr>
                <w:rFonts w:ascii="Times New Roman" w:eastAsia="Times New Roman" w:hAnsi="Times New Roman" w:cs="Times New Roman"/>
                <w:sz w:val="20"/>
                <w:szCs w:val="20"/>
              </w:rPr>
              <w:t xml:space="preserve"> General Hospital</w:t>
            </w:r>
          </w:p>
        </w:tc>
        <w:tc>
          <w:tcPr>
            <w:tcW w:w="0" w:type="auto"/>
            <w:vAlign w:val="center"/>
            <w:hideMark/>
          </w:tcPr>
          <w:p w14:paraId="589DDFB3"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Rural</w:t>
            </w:r>
          </w:p>
        </w:tc>
        <w:tc>
          <w:tcPr>
            <w:tcW w:w="0" w:type="auto"/>
            <w:vAlign w:val="center"/>
            <w:hideMark/>
          </w:tcPr>
          <w:p w14:paraId="3B9BB051"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Public</w:t>
            </w:r>
          </w:p>
        </w:tc>
        <w:tc>
          <w:tcPr>
            <w:tcW w:w="0" w:type="auto"/>
            <w:vAlign w:val="center"/>
            <w:hideMark/>
          </w:tcPr>
          <w:p w14:paraId="5EC7E88B"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Secondary</w:t>
            </w:r>
          </w:p>
        </w:tc>
      </w:tr>
      <w:tr w:rsidR="00EE407C" w:rsidRPr="00EE407C" w14:paraId="08592A3C" w14:textId="77777777" w:rsidTr="00496CBB">
        <w:trPr>
          <w:tblCellSpacing w:w="15" w:type="dxa"/>
        </w:trPr>
        <w:tc>
          <w:tcPr>
            <w:tcW w:w="0" w:type="auto"/>
            <w:vAlign w:val="center"/>
            <w:hideMark/>
          </w:tcPr>
          <w:p w14:paraId="1160FC28"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Jos KP One Stop Shop</w:t>
            </w:r>
          </w:p>
        </w:tc>
        <w:tc>
          <w:tcPr>
            <w:tcW w:w="0" w:type="auto"/>
            <w:vAlign w:val="center"/>
            <w:hideMark/>
          </w:tcPr>
          <w:p w14:paraId="50B64127"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Urban</w:t>
            </w:r>
          </w:p>
        </w:tc>
        <w:tc>
          <w:tcPr>
            <w:tcW w:w="0" w:type="auto"/>
            <w:vAlign w:val="center"/>
            <w:hideMark/>
          </w:tcPr>
          <w:p w14:paraId="7AEE5EF7"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Public</w:t>
            </w:r>
          </w:p>
        </w:tc>
        <w:tc>
          <w:tcPr>
            <w:tcW w:w="0" w:type="auto"/>
            <w:vAlign w:val="center"/>
            <w:hideMark/>
          </w:tcPr>
          <w:p w14:paraId="25BE15DB"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Secondary</w:t>
            </w:r>
          </w:p>
        </w:tc>
      </w:tr>
      <w:tr w:rsidR="00EE407C" w:rsidRPr="00EE407C" w14:paraId="094F6A1A" w14:textId="77777777" w:rsidTr="00496CBB">
        <w:trPr>
          <w:tblCellSpacing w:w="15" w:type="dxa"/>
        </w:trPr>
        <w:tc>
          <w:tcPr>
            <w:tcW w:w="0" w:type="auto"/>
            <w:vAlign w:val="center"/>
            <w:hideMark/>
          </w:tcPr>
          <w:p w14:paraId="5FB5F1B3"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 xml:space="preserve">St. </w:t>
            </w:r>
            <w:proofErr w:type="spellStart"/>
            <w:r w:rsidRPr="00EE407C">
              <w:rPr>
                <w:rFonts w:ascii="Times New Roman" w:eastAsia="Times New Roman" w:hAnsi="Times New Roman" w:cs="Times New Roman"/>
                <w:sz w:val="20"/>
                <w:szCs w:val="20"/>
              </w:rPr>
              <w:t>Virgillus</w:t>
            </w:r>
            <w:proofErr w:type="spellEnd"/>
            <w:r w:rsidRPr="00EE407C">
              <w:rPr>
                <w:rFonts w:ascii="Times New Roman" w:eastAsia="Times New Roman" w:hAnsi="Times New Roman" w:cs="Times New Roman"/>
                <w:sz w:val="20"/>
                <w:szCs w:val="20"/>
              </w:rPr>
              <w:t xml:space="preserve"> Catholic Rural Health Center</w:t>
            </w:r>
          </w:p>
        </w:tc>
        <w:tc>
          <w:tcPr>
            <w:tcW w:w="0" w:type="auto"/>
            <w:vAlign w:val="center"/>
            <w:hideMark/>
          </w:tcPr>
          <w:p w14:paraId="620638D1"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Rural</w:t>
            </w:r>
          </w:p>
        </w:tc>
        <w:tc>
          <w:tcPr>
            <w:tcW w:w="0" w:type="auto"/>
            <w:vAlign w:val="center"/>
            <w:hideMark/>
          </w:tcPr>
          <w:p w14:paraId="23BE8D22"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Faith based</w:t>
            </w:r>
          </w:p>
        </w:tc>
        <w:tc>
          <w:tcPr>
            <w:tcW w:w="0" w:type="auto"/>
            <w:vAlign w:val="center"/>
            <w:hideMark/>
          </w:tcPr>
          <w:p w14:paraId="603917B5"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Secondary</w:t>
            </w:r>
          </w:p>
        </w:tc>
      </w:tr>
      <w:tr w:rsidR="00EE407C" w:rsidRPr="00EE407C" w14:paraId="7FE4C7BD" w14:textId="77777777" w:rsidTr="00496CBB">
        <w:trPr>
          <w:tblCellSpacing w:w="15" w:type="dxa"/>
        </w:trPr>
        <w:tc>
          <w:tcPr>
            <w:tcW w:w="0" w:type="auto"/>
            <w:vAlign w:val="center"/>
            <w:hideMark/>
          </w:tcPr>
          <w:p w14:paraId="46A617C6"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proofErr w:type="spellStart"/>
            <w:r w:rsidRPr="00EE407C">
              <w:rPr>
                <w:rFonts w:ascii="Times New Roman" w:eastAsia="Times New Roman" w:hAnsi="Times New Roman" w:cs="Times New Roman"/>
                <w:sz w:val="20"/>
                <w:szCs w:val="20"/>
              </w:rPr>
              <w:t>Hwolshe</w:t>
            </w:r>
            <w:proofErr w:type="spellEnd"/>
            <w:r w:rsidRPr="00EE407C">
              <w:rPr>
                <w:rFonts w:ascii="Times New Roman" w:eastAsia="Times New Roman" w:hAnsi="Times New Roman" w:cs="Times New Roman"/>
                <w:sz w:val="20"/>
                <w:szCs w:val="20"/>
              </w:rPr>
              <w:t xml:space="preserve"> Medical Center</w:t>
            </w:r>
          </w:p>
        </w:tc>
        <w:tc>
          <w:tcPr>
            <w:tcW w:w="0" w:type="auto"/>
            <w:vAlign w:val="center"/>
            <w:hideMark/>
          </w:tcPr>
          <w:p w14:paraId="6CEAE6D6"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Rural</w:t>
            </w:r>
          </w:p>
        </w:tc>
        <w:tc>
          <w:tcPr>
            <w:tcW w:w="0" w:type="auto"/>
            <w:vAlign w:val="center"/>
            <w:hideMark/>
          </w:tcPr>
          <w:p w14:paraId="0AA68CC4"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Private</w:t>
            </w:r>
          </w:p>
        </w:tc>
        <w:tc>
          <w:tcPr>
            <w:tcW w:w="0" w:type="auto"/>
            <w:vAlign w:val="center"/>
            <w:hideMark/>
          </w:tcPr>
          <w:p w14:paraId="3272F9C5"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Secondary</w:t>
            </w:r>
          </w:p>
        </w:tc>
      </w:tr>
      <w:tr w:rsidR="00EE407C" w:rsidRPr="00EE407C" w14:paraId="4EAB1E4D" w14:textId="77777777" w:rsidTr="00496CBB">
        <w:trPr>
          <w:tblCellSpacing w:w="15" w:type="dxa"/>
        </w:trPr>
        <w:tc>
          <w:tcPr>
            <w:tcW w:w="0" w:type="auto"/>
            <w:vAlign w:val="center"/>
            <w:hideMark/>
          </w:tcPr>
          <w:p w14:paraId="06CFA150"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Amper Central Primary Health Care Center</w:t>
            </w:r>
          </w:p>
        </w:tc>
        <w:tc>
          <w:tcPr>
            <w:tcW w:w="0" w:type="auto"/>
            <w:vAlign w:val="center"/>
            <w:hideMark/>
          </w:tcPr>
          <w:p w14:paraId="666C3315"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Rural</w:t>
            </w:r>
          </w:p>
        </w:tc>
        <w:tc>
          <w:tcPr>
            <w:tcW w:w="0" w:type="auto"/>
            <w:vAlign w:val="center"/>
            <w:hideMark/>
          </w:tcPr>
          <w:p w14:paraId="5FF08F3C"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Public</w:t>
            </w:r>
          </w:p>
        </w:tc>
        <w:tc>
          <w:tcPr>
            <w:tcW w:w="0" w:type="auto"/>
            <w:vAlign w:val="center"/>
            <w:hideMark/>
          </w:tcPr>
          <w:p w14:paraId="2AB3CC23"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Primary</w:t>
            </w:r>
          </w:p>
        </w:tc>
      </w:tr>
      <w:tr w:rsidR="00EE407C" w:rsidRPr="00EE407C" w14:paraId="34544541" w14:textId="77777777" w:rsidTr="00496CBB">
        <w:trPr>
          <w:tblCellSpacing w:w="15" w:type="dxa"/>
        </w:trPr>
        <w:tc>
          <w:tcPr>
            <w:tcW w:w="0" w:type="auto"/>
            <w:vAlign w:val="center"/>
            <w:hideMark/>
          </w:tcPr>
          <w:p w14:paraId="15B643AC"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proofErr w:type="spellStart"/>
            <w:r w:rsidRPr="00EE407C">
              <w:rPr>
                <w:rFonts w:ascii="Times New Roman" w:eastAsia="Times New Roman" w:hAnsi="Times New Roman" w:cs="Times New Roman"/>
                <w:sz w:val="20"/>
                <w:szCs w:val="20"/>
              </w:rPr>
              <w:t>Kombum</w:t>
            </w:r>
            <w:proofErr w:type="spellEnd"/>
            <w:r w:rsidRPr="00EE407C">
              <w:rPr>
                <w:rFonts w:ascii="Times New Roman" w:eastAsia="Times New Roman" w:hAnsi="Times New Roman" w:cs="Times New Roman"/>
                <w:sz w:val="20"/>
                <w:szCs w:val="20"/>
              </w:rPr>
              <w:t xml:space="preserve"> Primary Health Center</w:t>
            </w:r>
          </w:p>
        </w:tc>
        <w:tc>
          <w:tcPr>
            <w:tcW w:w="0" w:type="auto"/>
            <w:vAlign w:val="center"/>
            <w:hideMark/>
          </w:tcPr>
          <w:p w14:paraId="0C4ECCD8"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Rural</w:t>
            </w:r>
          </w:p>
        </w:tc>
        <w:tc>
          <w:tcPr>
            <w:tcW w:w="0" w:type="auto"/>
            <w:vAlign w:val="center"/>
            <w:hideMark/>
          </w:tcPr>
          <w:p w14:paraId="46152627"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Public</w:t>
            </w:r>
          </w:p>
        </w:tc>
        <w:tc>
          <w:tcPr>
            <w:tcW w:w="0" w:type="auto"/>
            <w:vAlign w:val="center"/>
            <w:hideMark/>
          </w:tcPr>
          <w:p w14:paraId="34657C09"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Primary</w:t>
            </w:r>
          </w:p>
        </w:tc>
      </w:tr>
      <w:tr w:rsidR="00EE407C" w:rsidRPr="00EE407C" w14:paraId="5F7C6041" w14:textId="77777777" w:rsidTr="00496CBB">
        <w:trPr>
          <w:tblCellSpacing w:w="15" w:type="dxa"/>
        </w:trPr>
        <w:tc>
          <w:tcPr>
            <w:tcW w:w="0" w:type="auto"/>
            <w:vAlign w:val="center"/>
            <w:hideMark/>
          </w:tcPr>
          <w:p w14:paraId="1FF19C3E"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 xml:space="preserve">May Hospital </w:t>
            </w:r>
            <w:proofErr w:type="spellStart"/>
            <w:r w:rsidRPr="00EE407C">
              <w:rPr>
                <w:rFonts w:ascii="Times New Roman" w:eastAsia="Times New Roman" w:hAnsi="Times New Roman" w:cs="Times New Roman"/>
                <w:sz w:val="20"/>
                <w:szCs w:val="20"/>
              </w:rPr>
              <w:t>Shendam</w:t>
            </w:r>
            <w:proofErr w:type="spellEnd"/>
          </w:p>
        </w:tc>
        <w:tc>
          <w:tcPr>
            <w:tcW w:w="0" w:type="auto"/>
            <w:vAlign w:val="center"/>
            <w:hideMark/>
          </w:tcPr>
          <w:p w14:paraId="1303B0E5"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Rural</w:t>
            </w:r>
          </w:p>
        </w:tc>
        <w:tc>
          <w:tcPr>
            <w:tcW w:w="0" w:type="auto"/>
            <w:vAlign w:val="center"/>
            <w:hideMark/>
          </w:tcPr>
          <w:p w14:paraId="0FA607C7"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Private</w:t>
            </w:r>
          </w:p>
        </w:tc>
        <w:tc>
          <w:tcPr>
            <w:tcW w:w="0" w:type="auto"/>
            <w:vAlign w:val="center"/>
            <w:hideMark/>
          </w:tcPr>
          <w:p w14:paraId="6F8514D0"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Primary</w:t>
            </w:r>
          </w:p>
        </w:tc>
      </w:tr>
      <w:tr w:rsidR="00EE407C" w:rsidRPr="00EE407C" w14:paraId="562B43D3" w14:textId="77777777" w:rsidTr="00496CBB">
        <w:trPr>
          <w:tblCellSpacing w:w="15" w:type="dxa"/>
        </w:trPr>
        <w:tc>
          <w:tcPr>
            <w:tcW w:w="0" w:type="auto"/>
            <w:vAlign w:val="center"/>
            <w:hideMark/>
          </w:tcPr>
          <w:p w14:paraId="41857EA5"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proofErr w:type="spellStart"/>
            <w:r w:rsidRPr="00EE407C">
              <w:rPr>
                <w:rFonts w:ascii="Times New Roman" w:eastAsia="Times New Roman" w:hAnsi="Times New Roman" w:cs="Times New Roman"/>
                <w:sz w:val="20"/>
                <w:szCs w:val="20"/>
              </w:rPr>
              <w:t>Shendam</w:t>
            </w:r>
            <w:proofErr w:type="spellEnd"/>
            <w:r w:rsidRPr="00EE407C">
              <w:rPr>
                <w:rFonts w:ascii="Times New Roman" w:eastAsia="Times New Roman" w:hAnsi="Times New Roman" w:cs="Times New Roman"/>
                <w:sz w:val="20"/>
                <w:szCs w:val="20"/>
              </w:rPr>
              <w:t xml:space="preserve"> A Primary Health Center</w:t>
            </w:r>
          </w:p>
        </w:tc>
        <w:tc>
          <w:tcPr>
            <w:tcW w:w="0" w:type="auto"/>
            <w:vAlign w:val="center"/>
            <w:hideMark/>
          </w:tcPr>
          <w:p w14:paraId="39586266"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Rural</w:t>
            </w:r>
          </w:p>
        </w:tc>
        <w:tc>
          <w:tcPr>
            <w:tcW w:w="0" w:type="auto"/>
            <w:vAlign w:val="center"/>
            <w:hideMark/>
          </w:tcPr>
          <w:p w14:paraId="0EC3B075"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Public</w:t>
            </w:r>
          </w:p>
        </w:tc>
        <w:tc>
          <w:tcPr>
            <w:tcW w:w="0" w:type="auto"/>
            <w:vAlign w:val="center"/>
            <w:hideMark/>
          </w:tcPr>
          <w:p w14:paraId="04554456"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Primary</w:t>
            </w:r>
          </w:p>
        </w:tc>
      </w:tr>
      <w:tr w:rsidR="00EE407C" w:rsidRPr="00EE407C" w14:paraId="6A9F35F4" w14:textId="77777777" w:rsidTr="00496CBB">
        <w:trPr>
          <w:tblCellSpacing w:w="15" w:type="dxa"/>
        </w:trPr>
        <w:tc>
          <w:tcPr>
            <w:tcW w:w="0" w:type="auto"/>
            <w:vAlign w:val="center"/>
            <w:hideMark/>
          </w:tcPr>
          <w:p w14:paraId="54D5D26A"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proofErr w:type="spellStart"/>
            <w:r w:rsidRPr="00EE407C">
              <w:rPr>
                <w:rFonts w:ascii="Times New Roman" w:eastAsia="Times New Roman" w:hAnsi="Times New Roman" w:cs="Times New Roman"/>
                <w:sz w:val="20"/>
                <w:szCs w:val="20"/>
              </w:rPr>
              <w:t>Angware</w:t>
            </w:r>
            <w:proofErr w:type="spellEnd"/>
            <w:r w:rsidRPr="00EE407C">
              <w:rPr>
                <w:rFonts w:ascii="Times New Roman" w:eastAsia="Times New Roman" w:hAnsi="Times New Roman" w:cs="Times New Roman"/>
                <w:sz w:val="20"/>
                <w:szCs w:val="20"/>
              </w:rPr>
              <w:t xml:space="preserve"> General Hospital</w:t>
            </w:r>
          </w:p>
        </w:tc>
        <w:tc>
          <w:tcPr>
            <w:tcW w:w="0" w:type="auto"/>
            <w:vAlign w:val="center"/>
            <w:hideMark/>
          </w:tcPr>
          <w:p w14:paraId="29F60167"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Rural</w:t>
            </w:r>
          </w:p>
        </w:tc>
        <w:tc>
          <w:tcPr>
            <w:tcW w:w="0" w:type="auto"/>
            <w:vAlign w:val="center"/>
            <w:hideMark/>
          </w:tcPr>
          <w:p w14:paraId="5DA09E8A"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Public</w:t>
            </w:r>
          </w:p>
        </w:tc>
        <w:tc>
          <w:tcPr>
            <w:tcW w:w="0" w:type="auto"/>
            <w:vAlign w:val="center"/>
            <w:hideMark/>
          </w:tcPr>
          <w:p w14:paraId="75EEF0F7"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Secondary</w:t>
            </w:r>
          </w:p>
        </w:tc>
      </w:tr>
      <w:tr w:rsidR="00EE407C" w:rsidRPr="00EE407C" w14:paraId="04EC1E43" w14:textId="77777777" w:rsidTr="00496CBB">
        <w:trPr>
          <w:tblCellSpacing w:w="15" w:type="dxa"/>
        </w:trPr>
        <w:tc>
          <w:tcPr>
            <w:tcW w:w="0" w:type="auto"/>
            <w:vAlign w:val="center"/>
            <w:hideMark/>
          </w:tcPr>
          <w:p w14:paraId="78E5C627"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proofErr w:type="spellStart"/>
            <w:r w:rsidRPr="00EE407C">
              <w:rPr>
                <w:rFonts w:ascii="Times New Roman" w:eastAsia="Times New Roman" w:hAnsi="Times New Roman" w:cs="Times New Roman"/>
                <w:sz w:val="20"/>
                <w:szCs w:val="20"/>
              </w:rPr>
              <w:lastRenderedPageBreak/>
              <w:t>Lardang</w:t>
            </w:r>
            <w:proofErr w:type="spellEnd"/>
            <w:r w:rsidRPr="00EE407C">
              <w:rPr>
                <w:rFonts w:ascii="Times New Roman" w:eastAsia="Times New Roman" w:hAnsi="Times New Roman" w:cs="Times New Roman"/>
                <w:sz w:val="20"/>
                <w:szCs w:val="20"/>
              </w:rPr>
              <w:t xml:space="preserve"> Comprehensive Health Center</w:t>
            </w:r>
          </w:p>
        </w:tc>
        <w:tc>
          <w:tcPr>
            <w:tcW w:w="0" w:type="auto"/>
            <w:vAlign w:val="center"/>
            <w:hideMark/>
          </w:tcPr>
          <w:p w14:paraId="21EFB151"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Rural</w:t>
            </w:r>
          </w:p>
        </w:tc>
        <w:tc>
          <w:tcPr>
            <w:tcW w:w="0" w:type="auto"/>
            <w:vAlign w:val="center"/>
            <w:hideMark/>
          </w:tcPr>
          <w:p w14:paraId="037240AE"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Public</w:t>
            </w:r>
          </w:p>
        </w:tc>
        <w:tc>
          <w:tcPr>
            <w:tcW w:w="0" w:type="auto"/>
            <w:vAlign w:val="center"/>
            <w:hideMark/>
          </w:tcPr>
          <w:p w14:paraId="5127F4EE"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Primary</w:t>
            </w:r>
          </w:p>
        </w:tc>
      </w:tr>
      <w:tr w:rsidR="00EE407C" w:rsidRPr="00EE407C" w14:paraId="53AB34B7" w14:textId="77777777" w:rsidTr="00496CBB">
        <w:trPr>
          <w:tblCellSpacing w:w="15" w:type="dxa"/>
        </w:trPr>
        <w:tc>
          <w:tcPr>
            <w:tcW w:w="0" w:type="auto"/>
            <w:vAlign w:val="center"/>
            <w:hideMark/>
          </w:tcPr>
          <w:p w14:paraId="7151B4F9"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proofErr w:type="spellStart"/>
            <w:r w:rsidRPr="00EE407C">
              <w:rPr>
                <w:rFonts w:ascii="Times New Roman" w:eastAsia="Times New Roman" w:hAnsi="Times New Roman" w:cs="Times New Roman"/>
                <w:sz w:val="20"/>
                <w:szCs w:val="20"/>
              </w:rPr>
              <w:t>Kwal</w:t>
            </w:r>
            <w:proofErr w:type="spellEnd"/>
            <w:r w:rsidRPr="00EE407C">
              <w:rPr>
                <w:rFonts w:ascii="Times New Roman" w:eastAsia="Times New Roman" w:hAnsi="Times New Roman" w:cs="Times New Roman"/>
                <w:sz w:val="20"/>
                <w:szCs w:val="20"/>
              </w:rPr>
              <w:t xml:space="preserve"> Kanke General Hospital</w:t>
            </w:r>
          </w:p>
        </w:tc>
        <w:tc>
          <w:tcPr>
            <w:tcW w:w="0" w:type="auto"/>
            <w:vAlign w:val="center"/>
            <w:hideMark/>
          </w:tcPr>
          <w:p w14:paraId="66989CFB"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Rural</w:t>
            </w:r>
          </w:p>
        </w:tc>
        <w:tc>
          <w:tcPr>
            <w:tcW w:w="0" w:type="auto"/>
            <w:vAlign w:val="center"/>
            <w:hideMark/>
          </w:tcPr>
          <w:p w14:paraId="07CB3203"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Public</w:t>
            </w:r>
          </w:p>
        </w:tc>
        <w:tc>
          <w:tcPr>
            <w:tcW w:w="0" w:type="auto"/>
            <w:vAlign w:val="center"/>
            <w:hideMark/>
          </w:tcPr>
          <w:p w14:paraId="194A54FD" w14:textId="77777777" w:rsidR="00EE407C" w:rsidRPr="00EE407C" w:rsidRDefault="00EE407C" w:rsidP="00EE407C">
            <w:pPr>
              <w:spacing w:after="0" w:line="24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sz w:val="20"/>
                <w:szCs w:val="20"/>
              </w:rPr>
              <w:t>Secondary</w:t>
            </w:r>
          </w:p>
        </w:tc>
      </w:tr>
    </w:tbl>
    <w:p w14:paraId="6A124345" w14:textId="77777777" w:rsidR="00EE407C" w:rsidRPr="00EE407C" w:rsidRDefault="00EE407C" w:rsidP="00EE407C">
      <w:pPr>
        <w:spacing w:after="0" w:line="480" w:lineRule="auto"/>
        <w:jc w:val="both"/>
        <w:rPr>
          <w:rFonts w:ascii="Times New Roman" w:eastAsia="Times New Roman" w:hAnsi="Times New Roman" w:cs="Times New Roman"/>
          <w:sz w:val="20"/>
          <w:szCs w:val="20"/>
        </w:rPr>
      </w:pPr>
      <w:r w:rsidRPr="00EE407C">
        <w:rPr>
          <w:rFonts w:ascii="Times New Roman" w:eastAsia="Times New Roman" w:hAnsi="Times New Roman" w:cs="Times New Roman"/>
          <w:b/>
          <w:i/>
          <w:iCs/>
          <w:sz w:val="20"/>
          <w:szCs w:val="20"/>
        </w:rPr>
        <w:t>Source</w:t>
      </w:r>
      <w:r w:rsidRPr="00EE407C">
        <w:rPr>
          <w:rFonts w:ascii="Times New Roman" w:eastAsia="Times New Roman" w:hAnsi="Times New Roman" w:cs="Times New Roman"/>
          <w:i/>
          <w:iCs/>
          <w:sz w:val="20"/>
          <w:szCs w:val="20"/>
        </w:rPr>
        <w:t>: Compiled by researcher from Plateau State Ministry of Health facility records, 2024 to 2025.</w:t>
      </w:r>
    </w:p>
    <w:p w14:paraId="59AB9265" w14:textId="77777777" w:rsidR="00DC049B" w:rsidRPr="00DC049B" w:rsidRDefault="00DC049B" w:rsidP="00DC049B">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DC049B">
        <w:rPr>
          <w:rFonts w:ascii="Times New Roman" w:eastAsia="Times New Roman" w:hAnsi="Times New Roman" w:cs="Times New Roman"/>
          <w:b/>
          <w:bCs/>
          <w:sz w:val="24"/>
          <w:szCs w:val="24"/>
        </w:rPr>
        <w:t>3.3.3 Study Population and Sampling</w:t>
      </w:r>
    </w:p>
    <w:p w14:paraId="261C0ED9" w14:textId="77777777" w:rsidR="00402BDA" w:rsidRPr="00402BDA" w:rsidRDefault="00402BDA" w:rsidP="00402BDA">
      <w:pPr>
        <w:spacing w:before="100" w:beforeAutospacing="1" w:after="100" w:afterAutospacing="1" w:line="480" w:lineRule="auto"/>
        <w:jc w:val="both"/>
        <w:rPr>
          <w:rFonts w:ascii="Times New Roman" w:eastAsia="Times New Roman" w:hAnsi="Times New Roman" w:cs="Times New Roman"/>
          <w:sz w:val="24"/>
          <w:szCs w:val="24"/>
        </w:rPr>
      </w:pPr>
      <w:r w:rsidRPr="00402BDA">
        <w:rPr>
          <w:rFonts w:ascii="Times New Roman" w:eastAsia="Times New Roman" w:hAnsi="Times New Roman" w:cs="Times New Roman"/>
          <w:sz w:val="24"/>
          <w:szCs w:val="24"/>
        </w:rPr>
        <w:t xml:space="preserve">The study population constitutes all HIV positive adults actively enrolled in antiretroviral therapy services at the 35 selected facilities in Plateau State between </w:t>
      </w:r>
      <w:r w:rsidR="006E08BF" w:rsidRPr="006E08BF">
        <w:rPr>
          <w:rFonts w:ascii="Times New Roman" w:eastAsia="Times New Roman" w:hAnsi="Times New Roman" w:cs="Times New Roman"/>
          <w:sz w:val="24"/>
          <w:szCs w:val="24"/>
        </w:rPr>
        <w:t>January</w:t>
      </w:r>
      <w:r w:rsidRPr="006E08BF">
        <w:rPr>
          <w:rFonts w:ascii="Times New Roman" w:eastAsia="Times New Roman" w:hAnsi="Times New Roman" w:cs="Times New Roman"/>
          <w:sz w:val="24"/>
          <w:szCs w:val="24"/>
        </w:rPr>
        <w:t xml:space="preserve"> 2019 and </w:t>
      </w:r>
      <w:r w:rsidR="006E08BF" w:rsidRPr="006E08BF">
        <w:rPr>
          <w:rFonts w:ascii="Times New Roman" w:eastAsia="Times New Roman" w:hAnsi="Times New Roman" w:cs="Times New Roman"/>
          <w:sz w:val="24"/>
          <w:szCs w:val="24"/>
        </w:rPr>
        <w:t>December</w:t>
      </w:r>
      <w:r w:rsidRPr="006E08BF">
        <w:rPr>
          <w:rFonts w:ascii="Times New Roman" w:eastAsia="Times New Roman" w:hAnsi="Times New Roman" w:cs="Times New Roman"/>
          <w:sz w:val="24"/>
          <w:szCs w:val="24"/>
        </w:rPr>
        <w:t xml:space="preserve"> 202</w:t>
      </w:r>
      <w:r w:rsidR="00563037" w:rsidRPr="006E08BF">
        <w:rPr>
          <w:rFonts w:ascii="Times New Roman" w:eastAsia="Times New Roman" w:hAnsi="Times New Roman" w:cs="Times New Roman"/>
          <w:sz w:val="24"/>
          <w:szCs w:val="24"/>
        </w:rPr>
        <w:t>4</w:t>
      </w:r>
      <w:r w:rsidRPr="006E08BF">
        <w:rPr>
          <w:rFonts w:ascii="Times New Roman" w:eastAsia="Times New Roman" w:hAnsi="Times New Roman" w:cs="Times New Roman"/>
          <w:sz w:val="24"/>
          <w:szCs w:val="24"/>
        </w:rPr>
        <w:t>.</w:t>
      </w:r>
      <w:r w:rsidRPr="00402BDA">
        <w:rPr>
          <w:rFonts w:ascii="Times New Roman" w:eastAsia="Times New Roman" w:hAnsi="Times New Roman" w:cs="Times New Roman"/>
          <w:sz w:val="24"/>
          <w:szCs w:val="24"/>
        </w:rPr>
        <w:t xml:space="preserve"> To ensure maximum statistical power and to minimize selection bias, a total population sampling approach was employed for each annual extraction. This method involved the retrieval of all electronic medical records that satisfied the predefined eligibility criteria within each reporting year, providing a comprehensive, serial snapshot of the treatment population.</w:t>
      </w:r>
    </w:p>
    <w:p w14:paraId="1D7272BA" w14:textId="77777777" w:rsidR="00402BDA" w:rsidRPr="00402BDA" w:rsidRDefault="00402BDA" w:rsidP="00402BDA">
      <w:pPr>
        <w:spacing w:before="100" w:beforeAutospacing="1" w:after="100" w:afterAutospacing="1" w:line="480" w:lineRule="auto"/>
        <w:jc w:val="both"/>
        <w:rPr>
          <w:rFonts w:ascii="Times New Roman" w:eastAsia="Times New Roman" w:hAnsi="Times New Roman" w:cs="Times New Roman"/>
          <w:sz w:val="24"/>
          <w:szCs w:val="24"/>
        </w:rPr>
      </w:pPr>
      <w:r w:rsidRPr="00402BDA">
        <w:rPr>
          <w:rFonts w:ascii="Times New Roman" w:eastAsia="Times New Roman" w:hAnsi="Times New Roman" w:cs="Times New Roman"/>
          <w:b/>
          <w:bCs/>
          <w:sz w:val="24"/>
          <w:szCs w:val="24"/>
        </w:rPr>
        <w:t>Inclusion Criteria:</w:t>
      </w:r>
      <w:r w:rsidRPr="00402BDA">
        <w:rPr>
          <w:rFonts w:ascii="Times New Roman" w:eastAsia="Times New Roman" w:hAnsi="Times New Roman" w:cs="Times New Roman"/>
          <w:sz w:val="24"/>
          <w:szCs w:val="24"/>
        </w:rPr>
        <w:t xml:space="preserve"> To be eligible for inclusion in the final analytical dataset for any given year, patient records must fulfill the following specific parameters at the time of the respective annual snapshot:</w:t>
      </w:r>
    </w:p>
    <w:p w14:paraId="4AA7FF85" w14:textId="77777777" w:rsidR="00402BDA" w:rsidRPr="00563037" w:rsidRDefault="00402BDA" w:rsidP="00402BDA">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563037">
        <w:rPr>
          <w:rFonts w:ascii="Times New Roman" w:eastAsia="Times New Roman" w:hAnsi="Times New Roman" w:cs="Times New Roman"/>
          <w:b/>
          <w:bCs/>
          <w:sz w:val="24"/>
          <w:szCs w:val="24"/>
        </w:rPr>
        <w:t>Age Threshold:</w:t>
      </w:r>
      <w:r w:rsidRPr="00563037">
        <w:rPr>
          <w:rFonts w:ascii="Times New Roman" w:eastAsia="Times New Roman" w:hAnsi="Times New Roman" w:cs="Times New Roman"/>
          <w:sz w:val="24"/>
          <w:szCs w:val="24"/>
        </w:rPr>
        <w:t xml:space="preserve"> Individual patients must be aged 18 years or older.</w:t>
      </w:r>
    </w:p>
    <w:p w14:paraId="2A0262C4" w14:textId="77777777" w:rsidR="00402BDA" w:rsidRPr="00563037" w:rsidRDefault="00402BDA" w:rsidP="00402BDA">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563037">
        <w:rPr>
          <w:rFonts w:ascii="Times New Roman" w:eastAsia="Times New Roman" w:hAnsi="Times New Roman" w:cs="Times New Roman"/>
          <w:b/>
          <w:bCs/>
          <w:sz w:val="24"/>
          <w:szCs w:val="24"/>
        </w:rPr>
        <w:t>Treatment Duration:</w:t>
      </w:r>
      <w:r w:rsidRPr="00563037">
        <w:rPr>
          <w:rFonts w:ascii="Times New Roman" w:eastAsia="Times New Roman" w:hAnsi="Times New Roman" w:cs="Times New Roman"/>
          <w:sz w:val="24"/>
          <w:szCs w:val="24"/>
        </w:rPr>
        <w:t xml:space="preserve"> Patients must have been receiving antiretroviral therapy for a minimum duration of </w:t>
      </w:r>
      <w:r w:rsidR="00BF37A0" w:rsidRPr="00563037">
        <w:rPr>
          <w:rFonts w:ascii="Times New Roman" w:eastAsia="Times New Roman" w:hAnsi="Times New Roman" w:cs="Times New Roman"/>
          <w:sz w:val="24"/>
          <w:szCs w:val="24"/>
        </w:rPr>
        <w:t>12</w:t>
      </w:r>
      <w:r w:rsidRPr="00563037">
        <w:rPr>
          <w:rFonts w:ascii="Times New Roman" w:eastAsia="Times New Roman" w:hAnsi="Times New Roman" w:cs="Times New Roman"/>
          <w:sz w:val="24"/>
          <w:szCs w:val="24"/>
        </w:rPr>
        <w:t xml:space="preserve"> months prior to the </w:t>
      </w:r>
      <w:r w:rsidR="00BF37A0" w:rsidRPr="00563037">
        <w:rPr>
          <w:rFonts w:ascii="Times New Roman" w:eastAsia="Times New Roman" w:hAnsi="Times New Roman" w:cs="Times New Roman"/>
          <w:sz w:val="24"/>
          <w:szCs w:val="24"/>
        </w:rPr>
        <w:t>review</w:t>
      </w:r>
      <w:r w:rsidRPr="00563037">
        <w:rPr>
          <w:rFonts w:ascii="Times New Roman" w:eastAsia="Times New Roman" w:hAnsi="Times New Roman" w:cs="Times New Roman"/>
          <w:sz w:val="24"/>
          <w:szCs w:val="24"/>
        </w:rPr>
        <w:t xml:space="preserve"> to allow for the biological attainment of virologic suppression </w:t>
      </w:r>
    </w:p>
    <w:p w14:paraId="3893BDB0" w14:textId="77777777" w:rsidR="00402BDA" w:rsidRPr="00563037" w:rsidRDefault="00402BDA" w:rsidP="00402BDA">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563037">
        <w:rPr>
          <w:rFonts w:ascii="Times New Roman" w:eastAsia="Times New Roman" w:hAnsi="Times New Roman" w:cs="Times New Roman"/>
          <w:b/>
          <w:bCs/>
          <w:sz w:val="24"/>
          <w:szCs w:val="24"/>
        </w:rPr>
        <w:t>Virologic Monitoring:</w:t>
      </w:r>
      <w:r w:rsidRPr="00563037">
        <w:rPr>
          <w:rFonts w:ascii="Times New Roman" w:eastAsia="Times New Roman" w:hAnsi="Times New Roman" w:cs="Times New Roman"/>
          <w:sz w:val="24"/>
          <w:szCs w:val="24"/>
        </w:rPr>
        <w:t xml:space="preserve"> The record must contain a</w:t>
      </w:r>
      <w:r w:rsidR="00BF37A0" w:rsidRPr="00563037">
        <w:rPr>
          <w:rFonts w:ascii="Times New Roman" w:eastAsia="Times New Roman" w:hAnsi="Times New Roman" w:cs="Times New Roman"/>
          <w:sz w:val="24"/>
          <w:szCs w:val="24"/>
        </w:rPr>
        <w:t>t least two</w:t>
      </w:r>
      <w:r w:rsidRPr="00563037">
        <w:rPr>
          <w:rFonts w:ascii="Times New Roman" w:eastAsia="Times New Roman" w:hAnsi="Times New Roman" w:cs="Times New Roman"/>
          <w:sz w:val="24"/>
          <w:szCs w:val="24"/>
        </w:rPr>
        <w:t xml:space="preserve"> valid, documented viral load result obtained within the </w:t>
      </w:r>
      <w:r w:rsidR="00BF37A0" w:rsidRPr="00563037">
        <w:rPr>
          <w:rFonts w:ascii="Times New Roman" w:eastAsia="Times New Roman" w:hAnsi="Times New Roman" w:cs="Times New Roman"/>
          <w:sz w:val="24"/>
          <w:szCs w:val="24"/>
        </w:rPr>
        <w:t>period under review</w:t>
      </w:r>
      <w:r w:rsidRPr="00563037">
        <w:rPr>
          <w:rFonts w:ascii="Times New Roman" w:eastAsia="Times New Roman" w:hAnsi="Times New Roman" w:cs="Times New Roman"/>
          <w:sz w:val="24"/>
          <w:szCs w:val="24"/>
        </w:rPr>
        <w:t xml:space="preserve">. </w:t>
      </w:r>
    </w:p>
    <w:p w14:paraId="16E0E387" w14:textId="77777777" w:rsidR="00402BDA" w:rsidRPr="00563037" w:rsidRDefault="00402BDA" w:rsidP="00402BDA">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563037">
        <w:rPr>
          <w:rFonts w:ascii="Times New Roman" w:eastAsia="Times New Roman" w:hAnsi="Times New Roman" w:cs="Times New Roman"/>
          <w:b/>
          <w:bCs/>
          <w:sz w:val="24"/>
          <w:szCs w:val="24"/>
        </w:rPr>
        <w:t>Current ART Status:</w:t>
      </w:r>
      <w:r w:rsidRPr="00563037">
        <w:rPr>
          <w:rFonts w:ascii="Times New Roman" w:eastAsia="Times New Roman" w:hAnsi="Times New Roman" w:cs="Times New Roman"/>
          <w:sz w:val="24"/>
          <w:szCs w:val="24"/>
        </w:rPr>
        <w:t xml:space="preserve"> The record must indicate that the patient was actively engaged in care at the facility during th</w:t>
      </w:r>
      <w:r w:rsidR="00BF37A0" w:rsidRPr="00563037">
        <w:rPr>
          <w:rFonts w:ascii="Times New Roman" w:eastAsia="Times New Roman" w:hAnsi="Times New Roman" w:cs="Times New Roman"/>
          <w:sz w:val="24"/>
          <w:szCs w:val="24"/>
        </w:rPr>
        <w:t>e period</w:t>
      </w:r>
      <w:r w:rsidRPr="00563037">
        <w:rPr>
          <w:rFonts w:ascii="Times New Roman" w:eastAsia="Times New Roman" w:hAnsi="Times New Roman" w:cs="Times New Roman"/>
          <w:sz w:val="24"/>
          <w:szCs w:val="24"/>
        </w:rPr>
        <w:t>.</w:t>
      </w:r>
    </w:p>
    <w:p w14:paraId="4C857CAC" w14:textId="77777777" w:rsidR="00402BDA" w:rsidRPr="00402BDA" w:rsidRDefault="00402BDA" w:rsidP="00402BDA">
      <w:pPr>
        <w:spacing w:before="100" w:beforeAutospacing="1" w:after="100" w:afterAutospacing="1" w:line="480" w:lineRule="auto"/>
        <w:jc w:val="both"/>
        <w:rPr>
          <w:rFonts w:ascii="Times New Roman" w:eastAsia="Times New Roman" w:hAnsi="Times New Roman" w:cs="Times New Roman"/>
          <w:sz w:val="24"/>
          <w:szCs w:val="24"/>
        </w:rPr>
      </w:pPr>
      <w:r w:rsidRPr="00402BDA">
        <w:rPr>
          <w:rFonts w:ascii="Times New Roman" w:eastAsia="Times New Roman" w:hAnsi="Times New Roman" w:cs="Times New Roman"/>
          <w:b/>
          <w:bCs/>
          <w:sz w:val="24"/>
          <w:szCs w:val="24"/>
        </w:rPr>
        <w:lastRenderedPageBreak/>
        <w:t>Exclusion Criteria:</w:t>
      </w:r>
      <w:r w:rsidRPr="00402BDA">
        <w:rPr>
          <w:rFonts w:ascii="Times New Roman" w:eastAsia="Times New Roman" w:hAnsi="Times New Roman" w:cs="Times New Roman"/>
          <w:sz w:val="24"/>
          <w:szCs w:val="24"/>
        </w:rPr>
        <w:t xml:space="preserve"> Records were excluded from the investigation if they met any of the following conditions:</w:t>
      </w:r>
    </w:p>
    <w:p w14:paraId="380CA907" w14:textId="77777777" w:rsidR="00402BDA" w:rsidRPr="00402BDA" w:rsidRDefault="00402BDA" w:rsidP="00402BDA">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4"/>
          <w:szCs w:val="24"/>
        </w:rPr>
      </w:pPr>
      <w:r w:rsidRPr="00402BDA">
        <w:rPr>
          <w:rFonts w:ascii="Times New Roman" w:eastAsia="Times New Roman" w:hAnsi="Times New Roman" w:cs="Times New Roman"/>
          <w:b/>
          <w:bCs/>
          <w:sz w:val="24"/>
          <w:szCs w:val="24"/>
        </w:rPr>
        <w:t>Regimen Complexity:</w:t>
      </w:r>
      <w:r w:rsidRPr="00402BDA">
        <w:rPr>
          <w:rFonts w:ascii="Times New Roman" w:eastAsia="Times New Roman" w:hAnsi="Times New Roman" w:cs="Times New Roman"/>
          <w:sz w:val="24"/>
          <w:szCs w:val="24"/>
        </w:rPr>
        <w:t xml:space="preserve"> Patients receiving third line antiretroviral therapy regimens were excluded, as these populations represent distinct virologic resistance patterns outside the scope of this primary evaluation. </w:t>
      </w:r>
    </w:p>
    <w:p w14:paraId="58BD4383" w14:textId="77777777" w:rsidR="00402BDA" w:rsidRDefault="00402BDA" w:rsidP="00402BDA">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4"/>
          <w:szCs w:val="24"/>
        </w:rPr>
      </w:pPr>
      <w:r w:rsidRPr="00402BDA">
        <w:rPr>
          <w:rFonts w:ascii="Times New Roman" w:eastAsia="Times New Roman" w:hAnsi="Times New Roman" w:cs="Times New Roman"/>
          <w:b/>
          <w:bCs/>
          <w:sz w:val="24"/>
          <w:szCs w:val="24"/>
        </w:rPr>
        <w:t>Demographic Variance:</w:t>
      </w:r>
      <w:r w:rsidRPr="00402BDA">
        <w:rPr>
          <w:rFonts w:ascii="Times New Roman" w:eastAsia="Times New Roman" w:hAnsi="Times New Roman" w:cs="Times New Roman"/>
          <w:sz w:val="24"/>
          <w:szCs w:val="24"/>
        </w:rPr>
        <w:t xml:space="preserve"> Pediatric and adolescent patients below the age of 18 years were excluded. </w:t>
      </w:r>
    </w:p>
    <w:p w14:paraId="6FD3EDDA" w14:textId="77777777" w:rsidR="00402BDA" w:rsidRPr="00402BDA" w:rsidRDefault="00402BDA" w:rsidP="00402BDA">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4"/>
          <w:szCs w:val="24"/>
        </w:rPr>
      </w:pPr>
      <w:r w:rsidRPr="00402BDA">
        <w:rPr>
          <w:rFonts w:ascii="Times New Roman" w:eastAsia="Times New Roman" w:hAnsi="Times New Roman" w:cs="Times New Roman"/>
          <w:b/>
          <w:bCs/>
          <w:sz w:val="24"/>
          <w:szCs w:val="24"/>
        </w:rPr>
        <w:t>Data Integrity:</w:t>
      </w:r>
      <w:r w:rsidRPr="00402BDA">
        <w:rPr>
          <w:rFonts w:ascii="Times New Roman" w:eastAsia="Times New Roman" w:hAnsi="Times New Roman" w:cs="Times New Roman"/>
          <w:sz w:val="24"/>
          <w:szCs w:val="24"/>
        </w:rPr>
        <w:t xml:space="preserve"> Records with </w:t>
      </w:r>
      <w:r w:rsidR="006233A3">
        <w:rPr>
          <w:rFonts w:ascii="Times New Roman" w:eastAsia="Times New Roman" w:hAnsi="Times New Roman" w:cs="Times New Roman"/>
          <w:sz w:val="24"/>
          <w:szCs w:val="24"/>
        </w:rPr>
        <w:t xml:space="preserve">inconsistencies and </w:t>
      </w:r>
      <w:r w:rsidRPr="00402BDA">
        <w:rPr>
          <w:rFonts w:ascii="Times New Roman" w:eastAsia="Times New Roman" w:hAnsi="Times New Roman" w:cs="Times New Roman"/>
          <w:sz w:val="24"/>
          <w:szCs w:val="24"/>
        </w:rPr>
        <w:t>missing primary outcome variables that could not be verified through physical folder reviews were removed.</w:t>
      </w:r>
    </w:p>
    <w:p w14:paraId="3058A84D" w14:textId="77777777" w:rsidR="00402BDA" w:rsidRPr="00402BDA" w:rsidRDefault="00402BDA" w:rsidP="00402BDA">
      <w:pPr>
        <w:spacing w:before="100" w:beforeAutospacing="1" w:after="100" w:afterAutospacing="1" w:line="480" w:lineRule="auto"/>
        <w:jc w:val="both"/>
        <w:rPr>
          <w:rFonts w:ascii="Times New Roman" w:eastAsia="Times New Roman" w:hAnsi="Times New Roman" w:cs="Times New Roman"/>
          <w:sz w:val="24"/>
          <w:szCs w:val="24"/>
        </w:rPr>
      </w:pPr>
      <w:r w:rsidRPr="00402BDA">
        <w:rPr>
          <w:rFonts w:ascii="Times New Roman" w:eastAsia="Times New Roman" w:hAnsi="Times New Roman" w:cs="Times New Roman"/>
          <w:sz w:val="24"/>
          <w:szCs w:val="24"/>
        </w:rPr>
        <w:t xml:space="preserve">By applying these rigorous criteria across the entire study timeline, the study identified a stable serial sample suitable for evaluating both temporal trends and the structural factors associated with virologic success. This population depth provides the necessary statistical power for the planned </w:t>
      </w:r>
      <w:proofErr w:type="gramStart"/>
      <w:r w:rsidRPr="00402BDA">
        <w:rPr>
          <w:rFonts w:ascii="Times New Roman" w:eastAsia="Times New Roman" w:hAnsi="Times New Roman" w:cs="Times New Roman"/>
          <w:sz w:val="24"/>
          <w:szCs w:val="24"/>
        </w:rPr>
        <w:t>two level</w:t>
      </w:r>
      <w:proofErr w:type="gramEnd"/>
      <w:r w:rsidRPr="00402BDA">
        <w:rPr>
          <w:rFonts w:ascii="Times New Roman" w:eastAsia="Times New Roman" w:hAnsi="Times New Roman" w:cs="Times New Roman"/>
          <w:sz w:val="24"/>
          <w:szCs w:val="24"/>
        </w:rPr>
        <w:t xml:space="preserve"> mixed effects logistic regression (National Agency for the Control of AIDS, 2025; Tomescu et al., 2023).</w:t>
      </w:r>
    </w:p>
    <w:p w14:paraId="543D5F39" w14:textId="77777777" w:rsidR="00402BDA" w:rsidRPr="00402BDA" w:rsidRDefault="00402BDA" w:rsidP="00402BDA">
      <w:pPr>
        <w:spacing w:before="100" w:beforeAutospacing="1" w:after="100" w:afterAutospacing="1" w:line="480" w:lineRule="auto"/>
        <w:jc w:val="both"/>
        <w:rPr>
          <w:rFonts w:ascii="Times New Roman" w:eastAsia="Times New Roman" w:hAnsi="Times New Roman" w:cs="Times New Roman"/>
          <w:b/>
          <w:bCs/>
          <w:sz w:val="24"/>
          <w:szCs w:val="24"/>
        </w:rPr>
      </w:pPr>
      <w:r w:rsidRPr="00402BDA">
        <w:rPr>
          <w:rFonts w:ascii="Times New Roman" w:eastAsia="Times New Roman" w:hAnsi="Times New Roman" w:cs="Times New Roman"/>
          <w:b/>
          <w:bCs/>
          <w:sz w:val="24"/>
          <w:szCs w:val="24"/>
        </w:rPr>
        <w:t>3.3.4 Data Sources and Materials</w:t>
      </w:r>
    </w:p>
    <w:p w14:paraId="517AF1F6" w14:textId="77777777" w:rsidR="00402BDA" w:rsidRPr="00402BDA" w:rsidRDefault="00402BDA" w:rsidP="00402BDA">
      <w:pPr>
        <w:spacing w:before="100" w:beforeAutospacing="1" w:after="100" w:afterAutospacing="1" w:line="480" w:lineRule="auto"/>
        <w:jc w:val="both"/>
        <w:rPr>
          <w:rFonts w:ascii="Times New Roman" w:eastAsia="Times New Roman" w:hAnsi="Times New Roman" w:cs="Times New Roman"/>
          <w:sz w:val="24"/>
          <w:szCs w:val="24"/>
        </w:rPr>
      </w:pPr>
      <w:r w:rsidRPr="00402BDA">
        <w:rPr>
          <w:rFonts w:ascii="Times New Roman" w:eastAsia="Times New Roman" w:hAnsi="Times New Roman" w:cs="Times New Roman"/>
          <w:sz w:val="24"/>
          <w:szCs w:val="24"/>
        </w:rPr>
        <w:t>The primary data source for this investigation consisted of routine patient records extracted from the electronic medical record systems utilized across the 35 treatment sites. These facilities operate on standardized digital platforms, primarily the Open Medical Record System customized for the Nigerian HIV response.</w:t>
      </w:r>
    </w:p>
    <w:p w14:paraId="74A1458D" w14:textId="77777777" w:rsidR="00402BDA" w:rsidRPr="00402BDA" w:rsidRDefault="00402BDA" w:rsidP="00402BDA">
      <w:pPr>
        <w:spacing w:before="100" w:beforeAutospacing="1" w:after="100" w:afterAutospacing="1" w:line="480" w:lineRule="auto"/>
        <w:jc w:val="both"/>
        <w:rPr>
          <w:rFonts w:ascii="Times New Roman" w:eastAsia="Times New Roman" w:hAnsi="Times New Roman" w:cs="Times New Roman"/>
          <w:sz w:val="24"/>
          <w:szCs w:val="24"/>
        </w:rPr>
      </w:pPr>
      <w:r w:rsidRPr="00402BDA">
        <w:rPr>
          <w:rFonts w:ascii="Times New Roman" w:eastAsia="Times New Roman" w:hAnsi="Times New Roman" w:cs="Times New Roman"/>
          <w:sz w:val="24"/>
          <w:szCs w:val="24"/>
        </w:rPr>
        <w:t xml:space="preserve">Data extraction was conducted using structured </w:t>
      </w:r>
      <w:proofErr w:type="spellStart"/>
      <w:r w:rsidRPr="00402BDA">
        <w:rPr>
          <w:rFonts w:ascii="Times New Roman" w:eastAsia="Times New Roman" w:hAnsi="Times New Roman" w:cs="Times New Roman"/>
          <w:sz w:val="24"/>
          <w:szCs w:val="24"/>
        </w:rPr>
        <w:t>Structured</w:t>
      </w:r>
      <w:proofErr w:type="spellEnd"/>
      <w:r w:rsidRPr="00402BDA">
        <w:rPr>
          <w:rFonts w:ascii="Times New Roman" w:eastAsia="Times New Roman" w:hAnsi="Times New Roman" w:cs="Times New Roman"/>
          <w:sz w:val="24"/>
          <w:szCs w:val="24"/>
        </w:rPr>
        <w:t xml:space="preserve"> Query Language scripts designed to pull de</w:t>
      </w:r>
      <w:r w:rsidR="006233A3">
        <w:rPr>
          <w:rFonts w:ascii="Times New Roman" w:eastAsia="Times New Roman" w:hAnsi="Times New Roman" w:cs="Times New Roman"/>
          <w:sz w:val="24"/>
          <w:szCs w:val="24"/>
        </w:rPr>
        <w:t>-</w:t>
      </w:r>
      <w:r w:rsidRPr="00402BDA">
        <w:rPr>
          <w:rFonts w:ascii="Times New Roman" w:eastAsia="Times New Roman" w:hAnsi="Times New Roman" w:cs="Times New Roman"/>
          <w:sz w:val="24"/>
          <w:szCs w:val="24"/>
        </w:rPr>
        <w:t xml:space="preserve">identified data directly from the facility servers. The extraction protocol was executed to </w:t>
      </w:r>
      <w:r w:rsidRPr="00402BDA">
        <w:rPr>
          <w:rFonts w:ascii="Times New Roman" w:eastAsia="Times New Roman" w:hAnsi="Times New Roman" w:cs="Times New Roman"/>
          <w:sz w:val="24"/>
          <w:szCs w:val="24"/>
        </w:rPr>
        <w:lastRenderedPageBreak/>
        <w:t>capture discrete annual datasets representing the clinical reality for each year from 2019 through 202</w:t>
      </w:r>
      <w:r w:rsidR="00563037">
        <w:rPr>
          <w:rFonts w:ascii="Times New Roman" w:eastAsia="Times New Roman" w:hAnsi="Times New Roman" w:cs="Times New Roman"/>
          <w:sz w:val="24"/>
          <w:szCs w:val="24"/>
        </w:rPr>
        <w:t>4</w:t>
      </w:r>
      <w:r w:rsidRPr="00402BDA">
        <w:rPr>
          <w:rFonts w:ascii="Times New Roman" w:eastAsia="Times New Roman" w:hAnsi="Times New Roman" w:cs="Times New Roman"/>
          <w:sz w:val="24"/>
          <w:szCs w:val="24"/>
        </w:rPr>
        <w:t>. Variables were collected and categorized strictly into the two analytical levels defining this study:</w:t>
      </w:r>
    </w:p>
    <w:p w14:paraId="69F63498" w14:textId="77777777" w:rsidR="00402BDA" w:rsidRPr="00563037" w:rsidRDefault="00402BDA" w:rsidP="00402BDA">
      <w:pPr>
        <w:spacing w:before="100" w:beforeAutospacing="1" w:after="100" w:afterAutospacing="1" w:line="480" w:lineRule="auto"/>
        <w:jc w:val="both"/>
        <w:rPr>
          <w:rFonts w:ascii="Times New Roman" w:eastAsia="Times New Roman" w:hAnsi="Times New Roman" w:cs="Times New Roman"/>
          <w:sz w:val="24"/>
          <w:szCs w:val="24"/>
        </w:rPr>
      </w:pPr>
      <w:r w:rsidRPr="00402BDA">
        <w:rPr>
          <w:rFonts w:ascii="Times New Roman" w:eastAsia="Times New Roman" w:hAnsi="Times New Roman" w:cs="Times New Roman"/>
          <w:sz w:val="24"/>
          <w:szCs w:val="24"/>
        </w:rPr>
        <w:t xml:space="preserve">i. </w:t>
      </w:r>
      <w:r w:rsidRPr="00402BDA">
        <w:rPr>
          <w:rFonts w:ascii="Times New Roman" w:eastAsia="Times New Roman" w:hAnsi="Times New Roman" w:cs="Times New Roman"/>
          <w:b/>
          <w:bCs/>
          <w:sz w:val="24"/>
          <w:szCs w:val="24"/>
        </w:rPr>
        <w:t>Level 1 Variables (Patient and Clinical Characteristics):</w:t>
      </w:r>
      <w:r w:rsidRPr="00402BDA">
        <w:rPr>
          <w:rFonts w:ascii="Times New Roman" w:eastAsia="Times New Roman" w:hAnsi="Times New Roman" w:cs="Times New Roman"/>
          <w:sz w:val="24"/>
          <w:szCs w:val="24"/>
        </w:rPr>
        <w:t xml:space="preserve"> These include sociodemographic factors such as age, gender, marital status, and educational attainment. Clinical data points included current antiretroviral therapy regimen type, </w:t>
      </w:r>
      <w:r w:rsidRPr="00563037">
        <w:rPr>
          <w:rFonts w:ascii="Times New Roman" w:eastAsia="Times New Roman" w:hAnsi="Times New Roman" w:cs="Times New Roman"/>
          <w:sz w:val="24"/>
          <w:szCs w:val="24"/>
        </w:rPr>
        <w:t xml:space="preserve">World Health Organization clinical staging, differentiated service delivery model enrollment, multi month dispensing type, and the </w:t>
      </w:r>
      <w:r w:rsidR="006233A3" w:rsidRPr="00563037">
        <w:rPr>
          <w:rFonts w:ascii="Times New Roman" w:eastAsia="Times New Roman" w:hAnsi="Times New Roman" w:cs="Times New Roman"/>
          <w:sz w:val="24"/>
          <w:szCs w:val="24"/>
        </w:rPr>
        <w:t>baseline</w:t>
      </w:r>
      <w:r w:rsidRPr="00563037">
        <w:rPr>
          <w:rFonts w:ascii="Times New Roman" w:eastAsia="Times New Roman" w:hAnsi="Times New Roman" w:cs="Times New Roman"/>
          <w:sz w:val="24"/>
          <w:szCs w:val="24"/>
        </w:rPr>
        <w:t xml:space="preserve"> of viral load suppression for </w:t>
      </w:r>
      <w:r w:rsidR="006233A3" w:rsidRPr="00563037">
        <w:rPr>
          <w:rFonts w:ascii="Times New Roman" w:eastAsia="Times New Roman" w:hAnsi="Times New Roman" w:cs="Times New Roman"/>
          <w:sz w:val="24"/>
          <w:szCs w:val="24"/>
        </w:rPr>
        <w:t>each patient</w:t>
      </w:r>
      <w:r w:rsidRPr="00563037">
        <w:rPr>
          <w:rFonts w:ascii="Times New Roman" w:eastAsia="Times New Roman" w:hAnsi="Times New Roman" w:cs="Times New Roman"/>
          <w:sz w:val="24"/>
          <w:szCs w:val="24"/>
        </w:rPr>
        <w:t xml:space="preserve"> </w:t>
      </w:r>
    </w:p>
    <w:p w14:paraId="254CAD85" w14:textId="77777777" w:rsidR="00402BDA" w:rsidRPr="00563037" w:rsidRDefault="00402BDA" w:rsidP="00402BDA">
      <w:pPr>
        <w:spacing w:before="100" w:beforeAutospacing="1" w:after="100" w:afterAutospacing="1" w:line="480" w:lineRule="auto"/>
        <w:jc w:val="both"/>
        <w:rPr>
          <w:rFonts w:ascii="Times New Roman" w:eastAsia="Times New Roman" w:hAnsi="Times New Roman" w:cs="Times New Roman"/>
          <w:sz w:val="24"/>
          <w:szCs w:val="24"/>
        </w:rPr>
      </w:pPr>
      <w:r w:rsidRPr="00563037">
        <w:rPr>
          <w:rFonts w:ascii="Times New Roman" w:eastAsia="Times New Roman" w:hAnsi="Times New Roman" w:cs="Times New Roman"/>
          <w:sz w:val="24"/>
          <w:szCs w:val="24"/>
        </w:rPr>
        <w:t xml:space="preserve">ii. </w:t>
      </w:r>
      <w:r w:rsidRPr="00563037">
        <w:rPr>
          <w:rFonts w:ascii="Times New Roman" w:eastAsia="Times New Roman" w:hAnsi="Times New Roman" w:cs="Times New Roman"/>
          <w:b/>
          <w:bCs/>
          <w:sz w:val="24"/>
          <w:szCs w:val="24"/>
        </w:rPr>
        <w:t>Level 2 Variables (Facility Characteristics):</w:t>
      </w:r>
      <w:r w:rsidRPr="00563037">
        <w:rPr>
          <w:rFonts w:ascii="Times New Roman" w:eastAsia="Times New Roman" w:hAnsi="Times New Roman" w:cs="Times New Roman"/>
          <w:sz w:val="24"/>
          <w:szCs w:val="24"/>
        </w:rPr>
        <w:t xml:space="preserve"> These institutional </w:t>
      </w:r>
      <w:r w:rsidR="00563037" w:rsidRPr="00563037">
        <w:rPr>
          <w:rFonts w:ascii="Times New Roman" w:eastAsia="Times New Roman" w:hAnsi="Times New Roman" w:cs="Times New Roman"/>
          <w:sz w:val="24"/>
          <w:szCs w:val="24"/>
        </w:rPr>
        <w:t>characteristics included</w:t>
      </w:r>
      <w:r w:rsidRPr="00563037">
        <w:rPr>
          <w:rFonts w:ascii="Times New Roman" w:eastAsia="Times New Roman" w:hAnsi="Times New Roman" w:cs="Times New Roman"/>
          <w:sz w:val="24"/>
          <w:szCs w:val="24"/>
        </w:rPr>
        <w:t xml:space="preserve"> the specific </w:t>
      </w:r>
      <w:r w:rsidR="00563037">
        <w:rPr>
          <w:rFonts w:ascii="Times New Roman" w:eastAsia="Times New Roman" w:hAnsi="Times New Roman" w:cs="Times New Roman"/>
          <w:sz w:val="24"/>
          <w:szCs w:val="24"/>
        </w:rPr>
        <w:t xml:space="preserve">Facility </w:t>
      </w:r>
      <w:r w:rsidR="00563037" w:rsidRPr="00563037">
        <w:rPr>
          <w:rFonts w:ascii="Times New Roman" w:eastAsia="Times New Roman" w:hAnsi="Times New Roman" w:cs="Times New Roman"/>
          <w:sz w:val="24"/>
          <w:szCs w:val="24"/>
        </w:rPr>
        <w:t>tier</w:t>
      </w:r>
      <w:r w:rsidRPr="00563037">
        <w:rPr>
          <w:rFonts w:ascii="Times New Roman" w:eastAsia="Times New Roman" w:hAnsi="Times New Roman" w:cs="Times New Roman"/>
          <w:sz w:val="24"/>
          <w:szCs w:val="24"/>
        </w:rPr>
        <w:t>, ownership type, and geographic location.</w:t>
      </w:r>
    </w:p>
    <w:p w14:paraId="09A99C4A" w14:textId="77777777" w:rsidR="00402BDA" w:rsidRPr="00402BDA" w:rsidRDefault="00402BDA" w:rsidP="00402BDA">
      <w:pPr>
        <w:spacing w:before="100" w:beforeAutospacing="1" w:after="100" w:afterAutospacing="1" w:line="480" w:lineRule="auto"/>
        <w:jc w:val="both"/>
        <w:rPr>
          <w:rFonts w:ascii="Times New Roman" w:eastAsia="Times New Roman" w:hAnsi="Times New Roman" w:cs="Times New Roman"/>
          <w:sz w:val="24"/>
          <w:szCs w:val="24"/>
        </w:rPr>
      </w:pPr>
      <w:r w:rsidRPr="00402BDA">
        <w:rPr>
          <w:rFonts w:ascii="Times New Roman" w:eastAsia="Times New Roman" w:hAnsi="Times New Roman" w:cs="Times New Roman"/>
          <w:sz w:val="24"/>
          <w:szCs w:val="24"/>
        </w:rPr>
        <w:t>The National Data Repository was utilized as a secondary source to cross reference and validate the completeness of viral load results extracted from the local electronic systems, ensuring high data integrity across the mul</w:t>
      </w:r>
      <w:r>
        <w:rPr>
          <w:rFonts w:ascii="Times New Roman" w:eastAsia="Times New Roman" w:hAnsi="Times New Roman" w:cs="Times New Roman"/>
          <w:sz w:val="24"/>
          <w:szCs w:val="24"/>
        </w:rPr>
        <w:t>ti-</w:t>
      </w:r>
      <w:r w:rsidRPr="00402BDA">
        <w:rPr>
          <w:rFonts w:ascii="Times New Roman" w:eastAsia="Times New Roman" w:hAnsi="Times New Roman" w:cs="Times New Roman"/>
          <w:sz w:val="24"/>
          <w:szCs w:val="24"/>
        </w:rPr>
        <w:t xml:space="preserve">year analytical dataset </w:t>
      </w:r>
    </w:p>
    <w:p w14:paraId="4ADD759C" w14:textId="77777777" w:rsidR="00672DE6" w:rsidRPr="00672DE6" w:rsidRDefault="00672DE6" w:rsidP="00672DE6">
      <w:pPr>
        <w:spacing w:before="100" w:beforeAutospacing="1" w:after="100" w:afterAutospacing="1" w:line="480" w:lineRule="auto"/>
        <w:jc w:val="both"/>
        <w:rPr>
          <w:rFonts w:ascii="Times New Roman" w:eastAsia="Times New Roman" w:hAnsi="Times New Roman" w:cs="Times New Roman"/>
          <w:b/>
          <w:bCs/>
          <w:sz w:val="24"/>
          <w:szCs w:val="24"/>
        </w:rPr>
      </w:pPr>
      <w:r w:rsidRPr="00672DE6">
        <w:rPr>
          <w:rFonts w:ascii="Times New Roman" w:eastAsia="Times New Roman" w:hAnsi="Times New Roman" w:cs="Times New Roman"/>
          <w:b/>
          <w:bCs/>
          <w:sz w:val="24"/>
          <w:szCs w:val="24"/>
        </w:rPr>
        <w:t>3.3.5 Measurement of Variables</w:t>
      </w:r>
    </w:p>
    <w:p w14:paraId="2CF5BA63" w14:textId="77777777" w:rsidR="00672DE6" w:rsidRPr="00672DE6" w:rsidRDefault="00672DE6" w:rsidP="00672DE6">
      <w:pPr>
        <w:spacing w:before="100" w:beforeAutospacing="1" w:after="100" w:afterAutospacing="1" w:line="480" w:lineRule="auto"/>
        <w:jc w:val="both"/>
        <w:rPr>
          <w:rFonts w:ascii="Times New Roman" w:eastAsia="Times New Roman" w:hAnsi="Times New Roman" w:cs="Times New Roman"/>
          <w:bCs/>
          <w:sz w:val="24"/>
          <w:szCs w:val="24"/>
        </w:rPr>
      </w:pPr>
      <w:r w:rsidRPr="00672DE6">
        <w:rPr>
          <w:rFonts w:ascii="Times New Roman" w:eastAsia="Times New Roman" w:hAnsi="Times New Roman" w:cs="Times New Roman"/>
          <w:bCs/>
          <w:sz w:val="24"/>
          <w:szCs w:val="24"/>
        </w:rPr>
        <w:t>This subsection defines the operational measurement of the primary outcome and independent variables in strict accordance with national and international programmatic standards. Clear operationalization enhances internal validity, reproducibility, and comparability with other empirical studies conducted within Nigeria and similar high burden settings (National Agency for the Control of AIDS, 2025; World Health Organization, 2022).</w:t>
      </w:r>
    </w:p>
    <w:p w14:paraId="69FC4433" w14:textId="77777777" w:rsidR="00672DE6" w:rsidRPr="00672DE6" w:rsidRDefault="00672DE6" w:rsidP="00672DE6">
      <w:pPr>
        <w:spacing w:before="100" w:beforeAutospacing="1" w:after="100" w:afterAutospacing="1" w:line="480" w:lineRule="auto"/>
        <w:jc w:val="both"/>
        <w:rPr>
          <w:rFonts w:ascii="Times New Roman" w:eastAsia="Times New Roman" w:hAnsi="Times New Roman" w:cs="Times New Roman"/>
          <w:bCs/>
          <w:sz w:val="24"/>
          <w:szCs w:val="24"/>
        </w:rPr>
      </w:pPr>
      <w:r w:rsidRPr="00672DE6">
        <w:rPr>
          <w:rFonts w:ascii="Times New Roman" w:eastAsia="Times New Roman" w:hAnsi="Times New Roman" w:cs="Times New Roman"/>
          <w:b/>
          <w:bCs/>
          <w:sz w:val="24"/>
          <w:szCs w:val="24"/>
        </w:rPr>
        <w:lastRenderedPageBreak/>
        <w:t xml:space="preserve">Primary Outcome Variable: </w:t>
      </w:r>
      <w:r w:rsidRPr="00672DE6">
        <w:rPr>
          <w:rFonts w:ascii="Times New Roman" w:eastAsia="Times New Roman" w:hAnsi="Times New Roman" w:cs="Times New Roman"/>
          <w:bCs/>
          <w:sz w:val="24"/>
          <w:szCs w:val="24"/>
        </w:rPr>
        <w:t xml:space="preserve">The primary outcome of this investigation is </w:t>
      </w:r>
      <w:r w:rsidR="00C55042">
        <w:rPr>
          <w:rFonts w:ascii="Times New Roman" w:eastAsia="Times New Roman" w:hAnsi="Times New Roman" w:cs="Times New Roman"/>
          <w:bCs/>
          <w:sz w:val="24"/>
          <w:szCs w:val="24"/>
        </w:rPr>
        <w:t xml:space="preserve">the </w:t>
      </w:r>
      <w:r w:rsidRPr="00672DE6">
        <w:rPr>
          <w:rFonts w:ascii="Times New Roman" w:eastAsia="Times New Roman" w:hAnsi="Times New Roman" w:cs="Times New Roman"/>
          <w:bCs/>
          <w:sz w:val="24"/>
          <w:szCs w:val="24"/>
        </w:rPr>
        <w:t>Viral Load Suppression. In precise alignment with the World Health Organization programmatic definition, viral suppression is operationalized as a plasma HIV RNA level of fewer than 1000 copies per milliliter measured after a minimum of six months on antiretroviral therapy (World Health Organization, 2022). To align with the retrospective serial cross sectional design evaluating annual trends from 2019 to 2025, the most recent documented viral load result obtained within each respective annual review period is utilized for classification. For analytical purposes in the logistic regression model, this binary outcome variable is coded as follows:</w:t>
      </w:r>
    </w:p>
    <w:p w14:paraId="0DD1495F" w14:textId="77777777" w:rsidR="00672DE6" w:rsidRPr="00672DE6" w:rsidRDefault="00672DE6" w:rsidP="00672DE6">
      <w:pPr>
        <w:spacing w:before="100" w:beforeAutospacing="1" w:after="100" w:afterAutospacing="1" w:line="480" w:lineRule="auto"/>
        <w:jc w:val="both"/>
        <w:rPr>
          <w:rFonts w:ascii="Times New Roman" w:eastAsia="Times New Roman" w:hAnsi="Times New Roman" w:cs="Times New Roman"/>
          <w:bCs/>
          <w:sz w:val="24"/>
          <w:szCs w:val="24"/>
        </w:rPr>
      </w:pPr>
      <w:r w:rsidRPr="00672DE6">
        <w:rPr>
          <w:rFonts w:ascii="Times New Roman" w:eastAsia="Times New Roman" w:hAnsi="Times New Roman" w:cs="Times New Roman"/>
          <w:b/>
          <w:bCs/>
          <w:sz w:val="24"/>
          <w:szCs w:val="24"/>
        </w:rPr>
        <w:t xml:space="preserve">i. </w:t>
      </w:r>
      <w:r w:rsidRPr="00672DE6">
        <w:rPr>
          <w:rFonts w:ascii="Times New Roman" w:eastAsia="Times New Roman" w:hAnsi="Times New Roman" w:cs="Times New Roman"/>
          <w:bCs/>
          <w:sz w:val="24"/>
          <w:szCs w:val="24"/>
        </w:rPr>
        <w:t>1 = Suppressed (viral load fewer than 1000 copies per milliliter)</w:t>
      </w:r>
    </w:p>
    <w:p w14:paraId="30F88A1E" w14:textId="77777777" w:rsidR="00672DE6" w:rsidRPr="00672DE6" w:rsidRDefault="00672DE6" w:rsidP="00672DE6">
      <w:pPr>
        <w:spacing w:before="100" w:beforeAutospacing="1" w:after="100" w:afterAutospacing="1" w:line="480" w:lineRule="auto"/>
        <w:jc w:val="both"/>
        <w:rPr>
          <w:rFonts w:ascii="Times New Roman" w:eastAsia="Times New Roman" w:hAnsi="Times New Roman" w:cs="Times New Roman"/>
          <w:bCs/>
          <w:sz w:val="24"/>
          <w:szCs w:val="24"/>
        </w:rPr>
      </w:pPr>
      <w:r w:rsidRPr="00672DE6">
        <w:rPr>
          <w:rFonts w:ascii="Times New Roman" w:eastAsia="Times New Roman" w:hAnsi="Times New Roman" w:cs="Times New Roman"/>
          <w:b/>
          <w:bCs/>
          <w:sz w:val="24"/>
          <w:szCs w:val="24"/>
        </w:rPr>
        <w:t xml:space="preserve">ii. </w:t>
      </w:r>
      <w:r w:rsidRPr="00672DE6">
        <w:rPr>
          <w:rFonts w:ascii="Times New Roman" w:eastAsia="Times New Roman" w:hAnsi="Times New Roman" w:cs="Times New Roman"/>
          <w:bCs/>
          <w:sz w:val="24"/>
          <w:szCs w:val="24"/>
        </w:rPr>
        <w:t>0 = Unsuppressed (viral load of 1000 copies per milliliter or greater)</w:t>
      </w:r>
    </w:p>
    <w:p w14:paraId="49D77B1D" w14:textId="77777777" w:rsidR="00672DE6" w:rsidRPr="00672DE6" w:rsidRDefault="00672DE6" w:rsidP="00672DE6">
      <w:pPr>
        <w:spacing w:before="100" w:beforeAutospacing="1" w:after="100" w:afterAutospacing="1" w:line="480" w:lineRule="auto"/>
        <w:jc w:val="both"/>
        <w:rPr>
          <w:rFonts w:ascii="Times New Roman" w:eastAsia="Times New Roman" w:hAnsi="Times New Roman" w:cs="Times New Roman"/>
          <w:bCs/>
          <w:sz w:val="24"/>
          <w:szCs w:val="24"/>
        </w:rPr>
      </w:pPr>
      <w:r w:rsidRPr="00672DE6">
        <w:rPr>
          <w:rFonts w:ascii="Times New Roman" w:eastAsia="Times New Roman" w:hAnsi="Times New Roman" w:cs="Times New Roman"/>
          <w:b/>
          <w:bCs/>
          <w:sz w:val="24"/>
          <w:szCs w:val="24"/>
        </w:rPr>
        <w:t xml:space="preserve">Independent Variables: </w:t>
      </w:r>
      <w:r w:rsidRPr="00672DE6">
        <w:rPr>
          <w:rFonts w:ascii="Times New Roman" w:eastAsia="Times New Roman" w:hAnsi="Times New Roman" w:cs="Times New Roman"/>
          <w:bCs/>
          <w:sz w:val="24"/>
          <w:szCs w:val="24"/>
        </w:rPr>
        <w:t xml:space="preserve">To satisfy the requirements of the </w:t>
      </w:r>
      <w:proofErr w:type="gramStart"/>
      <w:r w:rsidRPr="00672DE6">
        <w:rPr>
          <w:rFonts w:ascii="Times New Roman" w:eastAsia="Times New Roman" w:hAnsi="Times New Roman" w:cs="Times New Roman"/>
          <w:bCs/>
          <w:sz w:val="24"/>
          <w:szCs w:val="24"/>
        </w:rPr>
        <w:t>two level</w:t>
      </w:r>
      <w:proofErr w:type="gramEnd"/>
      <w:r w:rsidRPr="00672DE6">
        <w:rPr>
          <w:rFonts w:ascii="Times New Roman" w:eastAsia="Times New Roman" w:hAnsi="Times New Roman" w:cs="Times New Roman"/>
          <w:bCs/>
          <w:sz w:val="24"/>
          <w:szCs w:val="24"/>
        </w:rPr>
        <w:t xml:space="preserve"> mixed effects analytical framework, the independent variables are strictly operationalized into two distinct hierarchical domains to account for the nesting of patients within clinics:</w:t>
      </w:r>
    </w:p>
    <w:p w14:paraId="6A9AD5AF" w14:textId="77777777" w:rsidR="00672DE6" w:rsidRPr="00672DE6" w:rsidRDefault="00672DE6" w:rsidP="00672DE6">
      <w:pPr>
        <w:spacing w:before="100" w:beforeAutospacing="1" w:after="100" w:afterAutospacing="1" w:line="480" w:lineRule="auto"/>
        <w:jc w:val="both"/>
        <w:rPr>
          <w:rFonts w:ascii="Times New Roman" w:eastAsia="Times New Roman" w:hAnsi="Times New Roman" w:cs="Times New Roman"/>
          <w:b/>
          <w:bCs/>
          <w:sz w:val="24"/>
          <w:szCs w:val="24"/>
        </w:rPr>
      </w:pPr>
      <w:r w:rsidRPr="00672DE6">
        <w:rPr>
          <w:rFonts w:ascii="Times New Roman" w:eastAsia="Times New Roman" w:hAnsi="Times New Roman" w:cs="Times New Roman"/>
          <w:b/>
          <w:bCs/>
          <w:sz w:val="24"/>
          <w:szCs w:val="24"/>
        </w:rPr>
        <w:t>Level 1 Variables (Patient and Clinical Characteristics):</w:t>
      </w:r>
    </w:p>
    <w:p w14:paraId="510485B9" w14:textId="77777777" w:rsidR="00672DE6" w:rsidRPr="00672DE6" w:rsidRDefault="00672DE6" w:rsidP="00672DE6">
      <w:pPr>
        <w:spacing w:before="100" w:beforeAutospacing="1" w:after="100" w:afterAutospacing="1" w:line="480" w:lineRule="auto"/>
        <w:jc w:val="both"/>
        <w:rPr>
          <w:rFonts w:ascii="Times New Roman" w:eastAsia="Times New Roman" w:hAnsi="Times New Roman" w:cs="Times New Roman"/>
          <w:bCs/>
          <w:sz w:val="24"/>
          <w:szCs w:val="24"/>
        </w:rPr>
      </w:pPr>
      <w:r w:rsidRPr="00672DE6">
        <w:rPr>
          <w:rFonts w:ascii="Times New Roman" w:eastAsia="Times New Roman" w:hAnsi="Times New Roman" w:cs="Times New Roman"/>
          <w:bCs/>
          <w:sz w:val="24"/>
          <w:szCs w:val="24"/>
        </w:rPr>
        <w:t xml:space="preserve">This level captures the individual sociodemographic and clinical attributes nested within the facilities. Age is extracted as a continuous variable in years calculated at each annual </w:t>
      </w:r>
      <w:proofErr w:type="gramStart"/>
      <w:r w:rsidRPr="00672DE6">
        <w:rPr>
          <w:rFonts w:ascii="Times New Roman" w:eastAsia="Times New Roman" w:hAnsi="Times New Roman" w:cs="Times New Roman"/>
          <w:bCs/>
          <w:sz w:val="24"/>
          <w:szCs w:val="24"/>
        </w:rPr>
        <w:t>cross sectional</w:t>
      </w:r>
      <w:proofErr w:type="gramEnd"/>
      <w:r w:rsidRPr="00672DE6">
        <w:rPr>
          <w:rFonts w:ascii="Times New Roman" w:eastAsia="Times New Roman" w:hAnsi="Times New Roman" w:cs="Times New Roman"/>
          <w:bCs/>
          <w:sz w:val="24"/>
          <w:szCs w:val="24"/>
        </w:rPr>
        <w:t xml:space="preserve"> snapshot and subsequently categorized into standard adult age bands (for example, 18 to 24, 25 to 34, 35 to 49, and 50 plus) to identify specific demographic vulnerabilities. Gender is coded binarily. Marital status and educational attainment are categorized exactly as captured in the electronic medical record. Clinical characteristics include the World Health Organization clinical stage at treatment initiation, categorized from Stage I to Stage IV. Treatment history variables </w:t>
      </w:r>
      <w:r w:rsidRPr="00672DE6">
        <w:rPr>
          <w:rFonts w:ascii="Times New Roman" w:eastAsia="Times New Roman" w:hAnsi="Times New Roman" w:cs="Times New Roman"/>
          <w:bCs/>
          <w:sz w:val="24"/>
          <w:szCs w:val="24"/>
        </w:rPr>
        <w:lastRenderedPageBreak/>
        <w:t xml:space="preserve">include differentiated service delivery model enrollment, multi month dispensing type (for example, three </w:t>
      </w:r>
      <w:proofErr w:type="gramStart"/>
      <w:r w:rsidRPr="00672DE6">
        <w:rPr>
          <w:rFonts w:ascii="Times New Roman" w:eastAsia="Times New Roman" w:hAnsi="Times New Roman" w:cs="Times New Roman"/>
          <w:bCs/>
          <w:sz w:val="24"/>
          <w:szCs w:val="24"/>
        </w:rPr>
        <w:t>month</w:t>
      </w:r>
      <w:proofErr w:type="gramEnd"/>
      <w:r w:rsidRPr="00672DE6">
        <w:rPr>
          <w:rFonts w:ascii="Times New Roman" w:eastAsia="Times New Roman" w:hAnsi="Times New Roman" w:cs="Times New Roman"/>
          <w:bCs/>
          <w:sz w:val="24"/>
          <w:szCs w:val="24"/>
        </w:rPr>
        <w:t xml:space="preserve"> versus six month dispensing</w:t>
      </w:r>
      <w:r w:rsidR="00BB7C72">
        <w:rPr>
          <w:rFonts w:ascii="Times New Roman" w:eastAsia="Times New Roman" w:hAnsi="Times New Roman" w:cs="Times New Roman"/>
          <w:bCs/>
          <w:sz w:val="24"/>
          <w:szCs w:val="24"/>
        </w:rPr>
        <w:t xml:space="preserve"> and others</w:t>
      </w:r>
      <w:r w:rsidRPr="00672DE6">
        <w:rPr>
          <w:rFonts w:ascii="Times New Roman" w:eastAsia="Times New Roman" w:hAnsi="Times New Roman" w:cs="Times New Roman"/>
          <w:bCs/>
          <w:sz w:val="24"/>
          <w:szCs w:val="24"/>
        </w:rPr>
        <w:t>), and the total duration on antiretroviral therapy, calculated in continuous years from the date of treatment initiation to the respective annual snapshot date.</w:t>
      </w:r>
    </w:p>
    <w:p w14:paraId="358ADA4E" w14:textId="77777777" w:rsidR="00672DE6" w:rsidRPr="00672DE6" w:rsidRDefault="00672DE6" w:rsidP="00672DE6">
      <w:pPr>
        <w:spacing w:before="100" w:beforeAutospacing="1" w:after="100" w:afterAutospacing="1" w:line="480" w:lineRule="auto"/>
        <w:jc w:val="both"/>
        <w:rPr>
          <w:rFonts w:ascii="Times New Roman" w:eastAsia="Times New Roman" w:hAnsi="Times New Roman" w:cs="Times New Roman"/>
          <w:b/>
          <w:bCs/>
          <w:sz w:val="24"/>
          <w:szCs w:val="24"/>
        </w:rPr>
      </w:pPr>
      <w:r w:rsidRPr="00672DE6">
        <w:rPr>
          <w:rFonts w:ascii="Times New Roman" w:eastAsia="Times New Roman" w:hAnsi="Times New Roman" w:cs="Times New Roman"/>
          <w:b/>
          <w:bCs/>
          <w:sz w:val="24"/>
          <w:szCs w:val="24"/>
        </w:rPr>
        <w:t>Level 2 Variables (Facility Characteristics):</w:t>
      </w:r>
    </w:p>
    <w:p w14:paraId="2AE5C2D8" w14:textId="77777777" w:rsidR="00672DE6" w:rsidRPr="00672DE6" w:rsidRDefault="00672DE6" w:rsidP="00672DE6">
      <w:pPr>
        <w:spacing w:before="100" w:beforeAutospacing="1" w:after="100" w:afterAutospacing="1" w:line="480" w:lineRule="auto"/>
        <w:jc w:val="both"/>
        <w:rPr>
          <w:rFonts w:ascii="Times New Roman" w:eastAsia="Times New Roman" w:hAnsi="Times New Roman" w:cs="Times New Roman"/>
          <w:bCs/>
          <w:sz w:val="24"/>
          <w:szCs w:val="24"/>
        </w:rPr>
      </w:pPr>
      <w:r w:rsidRPr="00672DE6">
        <w:rPr>
          <w:rFonts w:ascii="Times New Roman" w:eastAsia="Times New Roman" w:hAnsi="Times New Roman" w:cs="Times New Roman"/>
          <w:bCs/>
          <w:sz w:val="24"/>
          <w:szCs w:val="24"/>
        </w:rPr>
        <w:t>This level captures the institutional environment where the patients receive care, directly accounting for the clustering effect in the regression model. Facility tier is classified hierarchically as primary, secondary, or tertiary. Ownership structure is categorized as public, private, or faith based. Finally, the geographic location of the facility is designated as urban or rural to evaluate spatial disparities in care delivery across Plateau State.</w:t>
      </w:r>
    </w:p>
    <w:p w14:paraId="4B70B082" w14:textId="77777777" w:rsidR="00672DE6" w:rsidRDefault="00672DE6" w:rsidP="00672DE6">
      <w:pPr>
        <w:spacing w:before="100" w:beforeAutospacing="1" w:after="100" w:afterAutospacing="1" w:line="480" w:lineRule="auto"/>
        <w:jc w:val="both"/>
        <w:rPr>
          <w:rFonts w:ascii="Times New Roman" w:eastAsia="Times New Roman" w:hAnsi="Times New Roman" w:cs="Times New Roman"/>
          <w:bCs/>
          <w:sz w:val="24"/>
          <w:szCs w:val="24"/>
        </w:rPr>
      </w:pPr>
      <w:r w:rsidRPr="00672DE6">
        <w:rPr>
          <w:rFonts w:ascii="Times New Roman" w:eastAsia="Times New Roman" w:hAnsi="Times New Roman" w:cs="Times New Roman"/>
          <w:bCs/>
          <w:sz w:val="24"/>
          <w:szCs w:val="24"/>
        </w:rPr>
        <w:t>Table 3.2 presents the comprehensive summary of the measurement, categorization, and analytical coding of all key study variables.</w:t>
      </w:r>
    </w:p>
    <w:p w14:paraId="3D30557A" w14:textId="77777777" w:rsidR="00563037" w:rsidRDefault="00563037" w:rsidP="00672DE6">
      <w:pPr>
        <w:spacing w:before="100" w:beforeAutospacing="1" w:after="100" w:afterAutospacing="1" w:line="480" w:lineRule="auto"/>
        <w:jc w:val="both"/>
        <w:rPr>
          <w:rFonts w:ascii="Times New Roman" w:eastAsia="Times New Roman" w:hAnsi="Times New Roman" w:cs="Times New Roman"/>
          <w:bCs/>
          <w:sz w:val="24"/>
          <w:szCs w:val="24"/>
        </w:rPr>
      </w:pPr>
    </w:p>
    <w:p w14:paraId="024BF288" w14:textId="77777777" w:rsidR="00563037" w:rsidRDefault="00563037" w:rsidP="00672DE6">
      <w:pPr>
        <w:spacing w:before="100" w:beforeAutospacing="1" w:after="100" w:afterAutospacing="1" w:line="480" w:lineRule="auto"/>
        <w:jc w:val="both"/>
        <w:rPr>
          <w:rFonts w:ascii="Times New Roman" w:eastAsia="Times New Roman" w:hAnsi="Times New Roman" w:cs="Times New Roman"/>
          <w:bCs/>
          <w:sz w:val="24"/>
          <w:szCs w:val="24"/>
        </w:rPr>
      </w:pPr>
    </w:p>
    <w:p w14:paraId="36A3EA47" w14:textId="77777777" w:rsidR="00563037" w:rsidRDefault="00563037" w:rsidP="00672DE6">
      <w:pPr>
        <w:spacing w:before="100" w:beforeAutospacing="1" w:after="100" w:afterAutospacing="1" w:line="480" w:lineRule="auto"/>
        <w:jc w:val="both"/>
        <w:rPr>
          <w:rFonts w:ascii="Times New Roman" w:eastAsia="Times New Roman" w:hAnsi="Times New Roman" w:cs="Times New Roman"/>
          <w:bCs/>
          <w:sz w:val="24"/>
          <w:szCs w:val="24"/>
        </w:rPr>
      </w:pPr>
    </w:p>
    <w:p w14:paraId="495F7957" w14:textId="77777777" w:rsidR="00563037" w:rsidRDefault="00563037" w:rsidP="00672DE6">
      <w:pPr>
        <w:spacing w:before="100" w:beforeAutospacing="1" w:after="100" w:afterAutospacing="1" w:line="480" w:lineRule="auto"/>
        <w:jc w:val="both"/>
        <w:rPr>
          <w:rFonts w:ascii="Times New Roman" w:eastAsia="Times New Roman" w:hAnsi="Times New Roman" w:cs="Times New Roman"/>
          <w:bCs/>
          <w:sz w:val="24"/>
          <w:szCs w:val="24"/>
        </w:rPr>
      </w:pPr>
    </w:p>
    <w:p w14:paraId="6EBEDD63" w14:textId="77777777" w:rsidR="00563037" w:rsidRDefault="00563037" w:rsidP="00672DE6">
      <w:pPr>
        <w:spacing w:before="100" w:beforeAutospacing="1" w:after="100" w:afterAutospacing="1" w:line="480" w:lineRule="auto"/>
        <w:jc w:val="both"/>
        <w:rPr>
          <w:rFonts w:ascii="Times New Roman" w:eastAsia="Times New Roman" w:hAnsi="Times New Roman" w:cs="Times New Roman"/>
          <w:bCs/>
          <w:sz w:val="24"/>
          <w:szCs w:val="24"/>
        </w:rPr>
      </w:pPr>
    </w:p>
    <w:p w14:paraId="2B40168D" w14:textId="77777777" w:rsidR="00563037" w:rsidRDefault="00563037" w:rsidP="00672DE6">
      <w:pPr>
        <w:spacing w:before="100" w:beforeAutospacing="1" w:after="100" w:afterAutospacing="1" w:line="480" w:lineRule="auto"/>
        <w:jc w:val="both"/>
        <w:rPr>
          <w:rFonts w:ascii="Times New Roman" w:eastAsia="Times New Roman" w:hAnsi="Times New Roman" w:cs="Times New Roman"/>
          <w:bCs/>
          <w:sz w:val="24"/>
          <w:szCs w:val="24"/>
        </w:rPr>
      </w:pPr>
    </w:p>
    <w:p w14:paraId="54ADF52A"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lastRenderedPageBreak/>
        <w:t>T</w:t>
      </w:r>
      <w:r w:rsidRPr="00563037">
        <w:rPr>
          <w:rFonts w:ascii="Times New Roman" w:hAnsi="Times New Roman" w:cs="Times New Roman"/>
          <w:b/>
        </w:rPr>
        <w:t>able 3.2: Operational Definition of Key Study Variables</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148"/>
        <w:gridCol w:w="2194"/>
        <w:gridCol w:w="2935"/>
        <w:gridCol w:w="3083"/>
      </w:tblGrid>
      <w:tr w:rsidR="009E6130" w:rsidRPr="00563037" w14:paraId="296DB1AF" w14:textId="77777777" w:rsidTr="00E75D16">
        <w:trPr>
          <w:tblHeader/>
          <w:tblCellSpacing w:w="15" w:type="dxa"/>
        </w:trPr>
        <w:tc>
          <w:tcPr>
            <w:tcW w:w="0" w:type="auto"/>
            <w:vAlign w:val="center"/>
            <w:hideMark/>
          </w:tcPr>
          <w:p w14:paraId="30A33336"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Variable Category</w:t>
            </w:r>
          </w:p>
        </w:tc>
        <w:tc>
          <w:tcPr>
            <w:tcW w:w="2164" w:type="dxa"/>
            <w:vAlign w:val="center"/>
            <w:hideMark/>
          </w:tcPr>
          <w:p w14:paraId="7FF0681E"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Variable</w:t>
            </w:r>
          </w:p>
        </w:tc>
        <w:tc>
          <w:tcPr>
            <w:tcW w:w="2905" w:type="dxa"/>
            <w:vAlign w:val="center"/>
            <w:hideMark/>
          </w:tcPr>
          <w:p w14:paraId="44D74E5E"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Measurement Definition</w:t>
            </w:r>
          </w:p>
        </w:tc>
        <w:tc>
          <w:tcPr>
            <w:tcW w:w="0" w:type="auto"/>
            <w:vAlign w:val="center"/>
            <w:hideMark/>
          </w:tcPr>
          <w:p w14:paraId="12E65593"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Coding for Analysis</w:t>
            </w:r>
          </w:p>
        </w:tc>
      </w:tr>
      <w:tr w:rsidR="009E6130" w:rsidRPr="00563037" w14:paraId="167A8E15" w14:textId="77777777" w:rsidTr="00E75D16">
        <w:trPr>
          <w:tblCellSpacing w:w="15" w:type="dxa"/>
        </w:trPr>
        <w:tc>
          <w:tcPr>
            <w:tcW w:w="0" w:type="auto"/>
            <w:tcBorders>
              <w:top w:val="single" w:sz="4" w:space="0" w:color="auto"/>
            </w:tcBorders>
            <w:vAlign w:val="center"/>
            <w:hideMark/>
          </w:tcPr>
          <w:p w14:paraId="704652C6"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Outcome</w:t>
            </w:r>
          </w:p>
        </w:tc>
        <w:tc>
          <w:tcPr>
            <w:tcW w:w="2164" w:type="dxa"/>
            <w:tcBorders>
              <w:top w:val="single" w:sz="4" w:space="0" w:color="auto"/>
            </w:tcBorders>
            <w:vAlign w:val="center"/>
            <w:hideMark/>
          </w:tcPr>
          <w:p w14:paraId="54E26BB7" w14:textId="77777777" w:rsidR="00672DE6" w:rsidRPr="00563037" w:rsidRDefault="00BB7C72" w:rsidP="00563037">
            <w:pPr>
              <w:spacing w:after="0" w:line="240" w:lineRule="auto"/>
              <w:rPr>
                <w:rFonts w:ascii="Times New Roman" w:hAnsi="Times New Roman" w:cs="Times New Roman"/>
              </w:rPr>
            </w:pPr>
            <w:r w:rsidRPr="00563037">
              <w:rPr>
                <w:rFonts w:ascii="Times New Roman" w:hAnsi="Times New Roman" w:cs="Times New Roman"/>
              </w:rPr>
              <w:t>Most recent documented VL</w:t>
            </w:r>
            <w:r w:rsidR="00E75D16" w:rsidRPr="00563037">
              <w:rPr>
                <w:rFonts w:ascii="Times New Roman" w:hAnsi="Times New Roman" w:cs="Times New Roman"/>
              </w:rPr>
              <w:t xml:space="preserve"> </w:t>
            </w:r>
            <w:r w:rsidRPr="00563037">
              <w:rPr>
                <w:rFonts w:ascii="Times New Roman" w:hAnsi="Times New Roman" w:cs="Times New Roman"/>
              </w:rPr>
              <w:t>result</w:t>
            </w:r>
          </w:p>
        </w:tc>
        <w:tc>
          <w:tcPr>
            <w:tcW w:w="2905" w:type="dxa"/>
            <w:tcBorders>
              <w:top w:val="single" w:sz="4" w:space="0" w:color="auto"/>
            </w:tcBorders>
            <w:vAlign w:val="center"/>
            <w:hideMark/>
          </w:tcPr>
          <w:p w14:paraId="0D4B3A01" w14:textId="77777777" w:rsidR="00672DE6" w:rsidRPr="00563037" w:rsidRDefault="009E6130" w:rsidP="00563037">
            <w:pPr>
              <w:spacing w:after="0" w:line="240" w:lineRule="auto"/>
              <w:rPr>
                <w:rFonts w:ascii="Times New Roman" w:hAnsi="Times New Roman" w:cs="Times New Roman"/>
              </w:rPr>
            </w:pPr>
            <w:r w:rsidRPr="00563037">
              <w:rPr>
                <w:rFonts w:ascii="Times New Roman" w:hAnsi="Times New Roman" w:cs="Times New Roman"/>
              </w:rPr>
              <w:t xml:space="preserve">Last </w:t>
            </w:r>
            <w:r w:rsidR="00672DE6" w:rsidRPr="00563037">
              <w:rPr>
                <w:rFonts w:ascii="Times New Roman" w:hAnsi="Times New Roman" w:cs="Times New Roman"/>
              </w:rPr>
              <w:t xml:space="preserve">Plasma HIV RNA result </w:t>
            </w:r>
          </w:p>
        </w:tc>
        <w:tc>
          <w:tcPr>
            <w:tcW w:w="0" w:type="auto"/>
            <w:tcBorders>
              <w:top w:val="single" w:sz="4" w:space="0" w:color="auto"/>
            </w:tcBorders>
            <w:vAlign w:val="center"/>
            <w:hideMark/>
          </w:tcPr>
          <w:p w14:paraId="19FCE8C5"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1 = Suppressed (&lt; 1000 copies/mL)</w:t>
            </w:r>
            <w:r w:rsidR="009E6130" w:rsidRPr="00563037">
              <w:rPr>
                <w:rFonts w:ascii="Times New Roman" w:hAnsi="Times New Roman" w:cs="Times New Roman"/>
              </w:rPr>
              <w:t xml:space="preserve">; </w:t>
            </w:r>
            <w:r w:rsidRPr="00563037">
              <w:rPr>
                <w:rFonts w:ascii="Times New Roman" w:hAnsi="Times New Roman" w:cs="Times New Roman"/>
              </w:rPr>
              <w:t>0 = Unsuppressed (≥ 1000 copies/mL)</w:t>
            </w:r>
          </w:p>
        </w:tc>
      </w:tr>
      <w:tr w:rsidR="009E6130" w:rsidRPr="00563037" w14:paraId="47CB63CD" w14:textId="77777777" w:rsidTr="00E75D16">
        <w:trPr>
          <w:tblCellSpacing w:w="15" w:type="dxa"/>
        </w:trPr>
        <w:tc>
          <w:tcPr>
            <w:tcW w:w="0" w:type="auto"/>
            <w:vAlign w:val="center"/>
            <w:hideMark/>
          </w:tcPr>
          <w:p w14:paraId="76A97E2A"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Level 1</w:t>
            </w:r>
          </w:p>
        </w:tc>
        <w:tc>
          <w:tcPr>
            <w:tcW w:w="2164" w:type="dxa"/>
            <w:vAlign w:val="center"/>
            <w:hideMark/>
          </w:tcPr>
          <w:p w14:paraId="5F59F67C"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Age</w:t>
            </w:r>
          </w:p>
        </w:tc>
        <w:tc>
          <w:tcPr>
            <w:tcW w:w="2905" w:type="dxa"/>
            <w:vAlign w:val="center"/>
            <w:hideMark/>
          </w:tcPr>
          <w:p w14:paraId="1951DC2D"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Age in years at the time of the annual snapshot</w:t>
            </w:r>
          </w:p>
        </w:tc>
        <w:tc>
          <w:tcPr>
            <w:tcW w:w="0" w:type="auto"/>
            <w:vAlign w:val="center"/>
            <w:hideMark/>
          </w:tcPr>
          <w:p w14:paraId="747857C0"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Continuous; Categorical (18 to 24, 25 to 34, 35 to 49, ≥ 50)</w:t>
            </w:r>
          </w:p>
        </w:tc>
      </w:tr>
      <w:tr w:rsidR="009E6130" w:rsidRPr="00563037" w14:paraId="4F7EACB5" w14:textId="77777777" w:rsidTr="00E75D16">
        <w:trPr>
          <w:tblCellSpacing w:w="15" w:type="dxa"/>
        </w:trPr>
        <w:tc>
          <w:tcPr>
            <w:tcW w:w="0" w:type="auto"/>
            <w:vAlign w:val="center"/>
            <w:hideMark/>
          </w:tcPr>
          <w:p w14:paraId="60C07D79"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Level 1</w:t>
            </w:r>
          </w:p>
        </w:tc>
        <w:tc>
          <w:tcPr>
            <w:tcW w:w="2164" w:type="dxa"/>
            <w:vAlign w:val="center"/>
            <w:hideMark/>
          </w:tcPr>
          <w:p w14:paraId="539A682B"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Gender</w:t>
            </w:r>
          </w:p>
        </w:tc>
        <w:tc>
          <w:tcPr>
            <w:tcW w:w="2905" w:type="dxa"/>
            <w:vAlign w:val="center"/>
            <w:hideMark/>
          </w:tcPr>
          <w:p w14:paraId="659B11F6"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Biological sex recorded in the medical record</w:t>
            </w:r>
          </w:p>
        </w:tc>
        <w:tc>
          <w:tcPr>
            <w:tcW w:w="0" w:type="auto"/>
            <w:vAlign w:val="center"/>
            <w:hideMark/>
          </w:tcPr>
          <w:p w14:paraId="090CEA21"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1 = Female, 0 = Male</w:t>
            </w:r>
          </w:p>
        </w:tc>
      </w:tr>
      <w:tr w:rsidR="009E6130" w:rsidRPr="00563037" w14:paraId="4E70AD9F" w14:textId="77777777" w:rsidTr="00E75D16">
        <w:trPr>
          <w:tblCellSpacing w:w="15" w:type="dxa"/>
        </w:trPr>
        <w:tc>
          <w:tcPr>
            <w:tcW w:w="0" w:type="auto"/>
            <w:vAlign w:val="center"/>
            <w:hideMark/>
          </w:tcPr>
          <w:p w14:paraId="49B488D9"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Level 1</w:t>
            </w:r>
          </w:p>
        </w:tc>
        <w:tc>
          <w:tcPr>
            <w:tcW w:w="2164" w:type="dxa"/>
            <w:vAlign w:val="center"/>
            <w:hideMark/>
          </w:tcPr>
          <w:p w14:paraId="2DF2D8A8"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Marital Status</w:t>
            </w:r>
          </w:p>
        </w:tc>
        <w:tc>
          <w:tcPr>
            <w:tcW w:w="2905" w:type="dxa"/>
            <w:vAlign w:val="center"/>
            <w:hideMark/>
          </w:tcPr>
          <w:p w14:paraId="586E671E"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Current marital status</w:t>
            </w:r>
          </w:p>
        </w:tc>
        <w:tc>
          <w:tcPr>
            <w:tcW w:w="0" w:type="auto"/>
            <w:vAlign w:val="center"/>
            <w:hideMark/>
          </w:tcPr>
          <w:p w14:paraId="1E76CBAF"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Single, Married, Divorced, Widowed</w:t>
            </w:r>
          </w:p>
        </w:tc>
      </w:tr>
      <w:tr w:rsidR="009E6130" w:rsidRPr="00563037" w14:paraId="683E4613" w14:textId="77777777" w:rsidTr="00E75D16">
        <w:trPr>
          <w:tblCellSpacing w:w="15" w:type="dxa"/>
        </w:trPr>
        <w:tc>
          <w:tcPr>
            <w:tcW w:w="0" w:type="auto"/>
            <w:vAlign w:val="center"/>
            <w:hideMark/>
          </w:tcPr>
          <w:p w14:paraId="53C19DAE"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Level 1</w:t>
            </w:r>
          </w:p>
        </w:tc>
        <w:tc>
          <w:tcPr>
            <w:tcW w:w="2164" w:type="dxa"/>
            <w:vAlign w:val="center"/>
            <w:hideMark/>
          </w:tcPr>
          <w:p w14:paraId="45CAEBC9"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Educational Attainment</w:t>
            </w:r>
          </w:p>
        </w:tc>
        <w:tc>
          <w:tcPr>
            <w:tcW w:w="2905" w:type="dxa"/>
            <w:vAlign w:val="center"/>
            <w:hideMark/>
          </w:tcPr>
          <w:p w14:paraId="14C4541D"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Highest level of formal education completed</w:t>
            </w:r>
          </w:p>
        </w:tc>
        <w:tc>
          <w:tcPr>
            <w:tcW w:w="0" w:type="auto"/>
            <w:vAlign w:val="center"/>
            <w:hideMark/>
          </w:tcPr>
          <w:p w14:paraId="4ADBAB0F"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None, Primary, Secondary, Tertiary</w:t>
            </w:r>
          </w:p>
        </w:tc>
      </w:tr>
      <w:tr w:rsidR="009E6130" w:rsidRPr="00563037" w14:paraId="2618804D" w14:textId="77777777" w:rsidTr="00E75D16">
        <w:trPr>
          <w:tblCellSpacing w:w="15" w:type="dxa"/>
        </w:trPr>
        <w:tc>
          <w:tcPr>
            <w:tcW w:w="0" w:type="auto"/>
            <w:vAlign w:val="center"/>
            <w:hideMark/>
          </w:tcPr>
          <w:p w14:paraId="381328C2"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Level 1</w:t>
            </w:r>
          </w:p>
        </w:tc>
        <w:tc>
          <w:tcPr>
            <w:tcW w:w="2164" w:type="dxa"/>
            <w:vAlign w:val="center"/>
            <w:hideMark/>
          </w:tcPr>
          <w:p w14:paraId="520F7CDB"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WHO Clinical Stage</w:t>
            </w:r>
          </w:p>
        </w:tc>
        <w:tc>
          <w:tcPr>
            <w:tcW w:w="2905" w:type="dxa"/>
            <w:vAlign w:val="center"/>
            <w:hideMark/>
          </w:tcPr>
          <w:p w14:paraId="3735CA5B"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Clinical staging at the time of treatment initiation</w:t>
            </w:r>
          </w:p>
        </w:tc>
        <w:tc>
          <w:tcPr>
            <w:tcW w:w="0" w:type="auto"/>
            <w:vAlign w:val="center"/>
            <w:hideMark/>
          </w:tcPr>
          <w:p w14:paraId="25A0D502"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Stage I, Stage II, Stage III, Stage IV</w:t>
            </w:r>
          </w:p>
        </w:tc>
      </w:tr>
      <w:tr w:rsidR="009E6130" w:rsidRPr="00563037" w14:paraId="2C6E9852" w14:textId="77777777" w:rsidTr="00E75D16">
        <w:trPr>
          <w:tblCellSpacing w:w="15" w:type="dxa"/>
        </w:trPr>
        <w:tc>
          <w:tcPr>
            <w:tcW w:w="0" w:type="auto"/>
            <w:vAlign w:val="center"/>
            <w:hideMark/>
          </w:tcPr>
          <w:p w14:paraId="14FEC3E5"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Level 1</w:t>
            </w:r>
          </w:p>
        </w:tc>
        <w:tc>
          <w:tcPr>
            <w:tcW w:w="2164" w:type="dxa"/>
            <w:vAlign w:val="center"/>
            <w:hideMark/>
          </w:tcPr>
          <w:p w14:paraId="0CADEB55"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Duration on ART</w:t>
            </w:r>
          </w:p>
        </w:tc>
        <w:tc>
          <w:tcPr>
            <w:tcW w:w="2905" w:type="dxa"/>
            <w:vAlign w:val="center"/>
            <w:hideMark/>
          </w:tcPr>
          <w:p w14:paraId="0729C5C5"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 xml:space="preserve">Time from initiation to the </w:t>
            </w:r>
            <w:r w:rsidR="00E75D16" w:rsidRPr="00563037">
              <w:rPr>
                <w:rFonts w:ascii="Times New Roman" w:hAnsi="Times New Roman" w:cs="Times New Roman"/>
              </w:rPr>
              <w:t xml:space="preserve">last drug pick-up </w:t>
            </w:r>
            <w:r w:rsidRPr="00563037">
              <w:rPr>
                <w:rFonts w:ascii="Times New Roman" w:hAnsi="Times New Roman" w:cs="Times New Roman"/>
              </w:rPr>
              <w:t>date</w:t>
            </w:r>
          </w:p>
        </w:tc>
        <w:tc>
          <w:tcPr>
            <w:tcW w:w="0" w:type="auto"/>
            <w:vAlign w:val="center"/>
            <w:hideMark/>
          </w:tcPr>
          <w:p w14:paraId="6894B848"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Continuous (years)</w:t>
            </w:r>
          </w:p>
        </w:tc>
      </w:tr>
      <w:tr w:rsidR="009E6130" w:rsidRPr="00563037" w14:paraId="1004CEB7" w14:textId="77777777" w:rsidTr="00E75D16">
        <w:trPr>
          <w:tblCellSpacing w:w="15" w:type="dxa"/>
        </w:trPr>
        <w:tc>
          <w:tcPr>
            <w:tcW w:w="0" w:type="auto"/>
            <w:vAlign w:val="center"/>
            <w:hideMark/>
          </w:tcPr>
          <w:p w14:paraId="29D6466D"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Level 1</w:t>
            </w:r>
          </w:p>
        </w:tc>
        <w:tc>
          <w:tcPr>
            <w:tcW w:w="2164" w:type="dxa"/>
            <w:vAlign w:val="center"/>
            <w:hideMark/>
          </w:tcPr>
          <w:p w14:paraId="1C5885C3"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DSD Model</w:t>
            </w:r>
          </w:p>
        </w:tc>
        <w:tc>
          <w:tcPr>
            <w:tcW w:w="2905" w:type="dxa"/>
            <w:vAlign w:val="center"/>
            <w:hideMark/>
          </w:tcPr>
          <w:p w14:paraId="0B104C3B"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Enrollment in Differentiated Service Delivery</w:t>
            </w:r>
          </w:p>
        </w:tc>
        <w:tc>
          <w:tcPr>
            <w:tcW w:w="0" w:type="auto"/>
            <w:vAlign w:val="center"/>
            <w:hideMark/>
          </w:tcPr>
          <w:p w14:paraId="0B49245E" w14:textId="77777777" w:rsidR="00672DE6" w:rsidRPr="00563037" w:rsidRDefault="009E6130" w:rsidP="00563037">
            <w:pPr>
              <w:spacing w:after="0" w:line="240" w:lineRule="auto"/>
              <w:rPr>
                <w:rFonts w:ascii="Times New Roman" w:hAnsi="Times New Roman" w:cs="Times New Roman"/>
              </w:rPr>
            </w:pPr>
            <w:r w:rsidRPr="00563037">
              <w:rPr>
                <w:rFonts w:ascii="Times New Roman" w:hAnsi="Times New Roman" w:cs="Times New Roman"/>
              </w:rPr>
              <w:t>Decentralized drug delivery</w:t>
            </w:r>
            <w:r w:rsidR="00672DE6" w:rsidRPr="00563037">
              <w:rPr>
                <w:rFonts w:ascii="Times New Roman" w:hAnsi="Times New Roman" w:cs="Times New Roman"/>
              </w:rPr>
              <w:t xml:space="preserve">, </w:t>
            </w:r>
            <w:r w:rsidRPr="00563037">
              <w:rPr>
                <w:rFonts w:ascii="Times New Roman" w:hAnsi="Times New Roman" w:cs="Times New Roman"/>
              </w:rPr>
              <w:t>facility dispensing</w:t>
            </w:r>
          </w:p>
        </w:tc>
      </w:tr>
      <w:tr w:rsidR="009E6130" w:rsidRPr="00563037" w14:paraId="3FE09FC0" w14:textId="77777777" w:rsidTr="00E75D16">
        <w:trPr>
          <w:tblCellSpacing w:w="15" w:type="dxa"/>
        </w:trPr>
        <w:tc>
          <w:tcPr>
            <w:tcW w:w="0" w:type="auto"/>
            <w:vAlign w:val="center"/>
            <w:hideMark/>
          </w:tcPr>
          <w:p w14:paraId="237B0E89"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Level 1</w:t>
            </w:r>
          </w:p>
        </w:tc>
        <w:tc>
          <w:tcPr>
            <w:tcW w:w="2164" w:type="dxa"/>
            <w:vAlign w:val="center"/>
            <w:hideMark/>
          </w:tcPr>
          <w:p w14:paraId="42E95F42"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MMD Type</w:t>
            </w:r>
          </w:p>
        </w:tc>
        <w:tc>
          <w:tcPr>
            <w:tcW w:w="2905" w:type="dxa"/>
            <w:vAlign w:val="center"/>
            <w:hideMark/>
          </w:tcPr>
          <w:p w14:paraId="0DF83761"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Multi month dispensing medication supply duration</w:t>
            </w:r>
          </w:p>
        </w:tc>
        <w:tc>
          <w:tcPr>
            <w:tcW w:w="0" w:type="auto"/>
            <w:vAlign w:val="center"/>
            <w:hideMark/>
          </w:tcPr>
          <w:p w14:paraId="067133E6" w14:textId="77777777" w:rsidR="00672DE6" w:rsidRPr="00563037" w:rsidRDefault="009E6130" w:rsidP="00563037">
            <w:pPr>
              <w:spacing w:after="0" w:line="240" w:lineRule="auto"/>
              <w:rPr>
                <w:rFonts w:ascii="Times New Roman" w:hAnsi="Times New Roman" w:cs="Times New Roman"/>
              </w:rPr>
            </w:pPr>
            <w:r w:rsidRPr="00563037">
              <w:rPr>
                <w:rFonts w:ascii="Times New Roman" w:hAnsi="Times New Roman" w:cs="Times New Roman"/>
              </w:rPr>
              <w:t>MMD3, MMD6, others (1,2,4,5, months)</w:t>
            </w:r>
          </w:p>
        </w:tc>
      </w:tr>
      <w:tr w:rsidR="009E6130" w:rsidRPr="00563037" w14:paraId="0B16E13E" w14:textId="77777777" w:rsidTr="00E75D16">
        <w:trPr>
          <w:tblCellSpacing w:w="15" w:type="dxa"/>
        </w:trPr>
        <w:tc>
          <w:tcPr>
            <w:tcW w:w="0" w:type="auto"/>
            <w:vAlign w:val="center"/>
          </w:tcPr>
          <w:p w14:paraId="275D4E23" w14:textId="77777777" w:rsidR="009E6130" w:rsidRPr="00563037" w:rsidRDefault="009E6130" w:rsidP="00563037">
            <w:pPr>
              <w:spacing w:after="0" w:line="240" w:lineRule="auto"/>
              <w:rPr>
                <w:rFonts w:ascii="Times New Roman" w:hAnsi="Times New Roman" w:cs="Times New Roman"/>
              </w:rPr>
            </w:pPr>
            <w:r w:rsidRPr="00563037">
              <w:rPr>
                <w:rFonts w:ascii="Times New Roman" w:hAnsi="Times New Roman" w:cs="Times New Roman"/>
              </w:rPr>
              <w:t>Level 1</w:t>
            </w:r>
          </w:p>
        </w:tc>
        <w:tc>
          <w:tcPr>
            <w:tcW w:w="2164" w:type="dxa"/>
            <w:vAlign w:val="center"/>
          </w:tcPr>
          <w:p w14:paraId="418B4FD5" w14:textId="77777777" w:rsidR="009E6130" w:rsidRPr="00563037" w:rsidRDefault="009E6130" w:rsidP="00563037">
            <w:pPr>
              <w:spacing w:after="0" w:line="240" w:lineRule="auto"/>
              <w:rPr>
                <w:rFonts w:ascii="Times New Roman" w:hAnsi="Times New Roman" w:cs="Times New Roman"/>
              </w:rPr>
            </w:pPr>
            <w:r w:rsidRPr="00563037">
              <w:rPr>
                <w:rFonts w:ascii="Times New Roman" w:hAnsi="Times New Roman" w:cs="Times New Roman"/>
              </w:rPr>
              <w:t>Baseline VL</w:t>
            </w:r>
          </w:p>
        </w:tc>
        <w:tc>
          <w:tcPr>
            <w:tcW w:w="2905" w:type="dxa"/>
            <w:vAlign w:val="center"/>
          </w:tcPr>
          <w:p w14:paraId="18828449" w14:textId="77777777" w:rsidR="009E6130" w:rsidRPr="00563037" w:rsidRDefault="009E6130" w:rsidP="00563037">
            <w:pPr>
              <w:spacing w:after="0" w:line="240" w:lineRule="auto"/>
              <w:rPr>
                <w:rFonts w:ascii="Times New Roman" w:hAnsi="Times New Roman" w:cs="Times New Roman"/>
              </w:rPr>
            </w:pPr>
            <w:proofErr w:type="gramStart"/>
            <w:r w:rsidRPr="00563037">
              <w:rPr>
                <w:rFonts w:ascii="Times New Roman" w:hAnsi="Times New Roman" w:cs="Times New Roman"/>
              </w:rPr>
              <w:t>First  Plasma</w:t>
            </w:r>
            <w:proofErr w:type="gramEnd"/>
            <w:r w:rsidRPr="00563037">
              <w:rPr>
                <w:rFonts w:ascii="Times New Roman" w:hAnsi="Times New Roman" w:cs="Times New Roman"/>
              </w:rPr>
              <w:t xml:space="preserve"> HIV RNA result</w:t>
            </w:r>
          </w:p>
        </w:tc>
        <w:tc>
          <w:tcPr>
            <w:tcW w:w="0" w:type="auto"/>
            <w:vAlign w:val="center"/>
          </w:tcPr>
          <w:p w14:paraId="62199931" w14:textId="77777777" w:rsidR="009E6130" w:rsidRPr="00563037" w:rsidRDefault="009E6130" w:rsidP="00563037">
            <w:pPr>
              <w:spacing w:after="0" w:line="240" w:lineRule="auto"/>
              <w:rPr>
                <w:rFonts w:ascii="Times New Roman" w:hAnsi="Times New Roman" w:cs="Times New Roman"/>
              </w:rPr>
            </w:pPr>
            <w:r w:rsidRPr="00563037">
              <w:rPr>
                <w:rFonts w:ascii="Times New Roman" w:hAnsi="Times New Roman" w:cs="Times New Roman"/>
              </w:rPr>
              <w:t>1 = Suppressed (&lt; 1000 copies/mL); 0 = Unsuppressed (≥ 1000 copies/mL)</w:t>
            </w:r>
          </w:p>
        </w:tc>
      </w:tr>
      <w:tr w:rsidR="009E6130" w:rsidRPr="00563037" w14:paraId="6899129E" w14:textId="77777777" w:rsidTr="00E75D16">
        <w:trPr>
          <w:tblCellSpacing w:w="15" w:type="dxa"/>
        </w:trPr>
        <w:tc>
          <w:tcPr>
            <w:tcW w:w="0" w:type="auto"/>
            <w:vAlign w:val="center"/>
            <w:hideMark/>
          </w:tcPr>
          <w:p w14:paraId="07CBC558"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Level 2</w:t>
            </w:r>
          </w:p>
        </w:tc>
        <w:tc>
          <w:tcPr>
            <w:tcW w:w="2164" w:type="dxa"/>
            <w:vAlign w:val="center"/>
            <w:hideMark/>
          </w:tcPr>
          <w:p w14:paraId="2F5E6ED4"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Facility Tier</w:t>
            </w:r>
          </w:p>
        </w:tc>
        <w:tc>
          <w:tcPr>
            <w:tcW w:w="2905" w:type="dxa"/>
            <w:vAlign w:val="center"/>
            <w:hideMark/>
          </w:tcPr>
          <w:p w14:paraId="54CE74C9"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Designated level of clinical care</w:t>
            </w:r>
          </w:p>
        </w:tc>
        <w:tc>
          <w:tcPr>
            <w:tcW w:w="0" w:type="auto"/>
            <w:vAlign w:val="center"/>
            <w:hideMark/>
          </w:tcPr>
          <w:p w14:paraId="0F631E96"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Primary, Secondary, Tertiary</w:t>
            </w:r>
          </w:p>
        </w:tc>
      </w:tr>
      <w:tr w:rsidR="009E6130" w:rsidRPr="00563037" w14:paraId="11229D07" w14:textId="77777777" w:rsidTr="00E75D16">
        <w:trPr>
          <w:tblCellSpacing w:w="15" w:type="dxa"/>
        </w:trPr>
        <w:tc>
          <w:tcPr>
            <w:tcW w:w="0" w:type="auto"/>
            <w:vAlign w:val="center"/>
            <w:hideMark/>
          </w:tcPr>
          <w:p w14:paraId="536C2518"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Level 2</w:t>
            </w:r>
          </w:p>
        </w:tc>
        <w:tc>
          <w:tcPr>
            <w:tcW w:w="2164" w:type="dxa"/>
            <w:vAlign w:val="center"/>
            <w:hideMark/>
          </w:tcPr>
          <w:p w14:paraId="76D7E08F"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Ownership</w:t>
            </w:r>
          </w:p>
        </w:tc>
        <w:tc>
          <w:tcPr>
            <w:tcW w:w="2905" w:type="dxa"/>
            <w:vAlign w:val="center"/>
            <w:hideMark/>
          </w:tcPr>
          <w:p w14:paraId="52CEBBCB"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Administrative control and funding structure</w:t>
            </w:r>
          </w:p>
        </w:tc>
        <w:tc>
          <w:tcPr>
            <w:tcW w:w="0" w:type="auto"/>
            <w:vAlign w:val="center"/>
            <w:hideMark/>
          </w:tcPr>
          <w:p w14:paraId="60073FAC"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Public, Private, Faith based</w:t>
            </w:r>
          </w:p>
        </w:tc>
      </w:tr>
      <w:tr w:rsidR="009E6130" w:rsidRPr="00563037" w14:paraId="692E21C0" w14:textId="77777777" w:rsidTr="00E75D16">
        <w:trPr>
          <w:tblCellSpacing w:w="15" w:type="dxa"/>
        </w:trPr>
        <w:tc>
          <w:tcPr>
            <w:tcW w:w="0" w:type="auto"/>
            <w:vAlign w:val="center"/>
            <w:hideMark/>
          </w:tcPr>
          <w:p w14:paraId="77EECC76"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Level 2</w:t>
            </w:r>
          </w:p>
        </w:tc>
        <w:tc>
          <w:tcPr>
            <w:tcW w:w="2164" w:type="dxa"/>
            <w:vAlign w:val="center"/>
            <w:hideMark/>
          </w:tcPr>
          <w:p w14:paraId="1F26D08B"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Location</w:t>
            </w:r>
          </w:p>
        </w:tc>
        <w:tc>
          <w:tcPr>
            <w:tcW w:w="2905" w:type="dxa"/>
            <w:vAlign w:val="center"/>
            <w:hideMark/>
          </w:tcPr>
          <w:p w14:paraId="2F1B19C5"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Geographic placement of the facility</w:t>
            </w:r>
          </w:p>
        </w:tc>
        <w:tc>
          <w:tcPr>
            <w:tcW w:w="0" w:type="auto"/>
            <w:vAlign w:val="center"/>
            <w:hideMark/>
          </w:tcPr>
          <w:p w14:paraId="3DB87A07"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Urban, Rural</w:t>
            </w:r>
          </w:p>
        </w:tc>
      </w:tr>
    </w:tbl>
    <w:p w14:paraId="29D1C055" w14:textId="77777777" w:rsidR="00672DE6" w:rsidRPr="00563037" w:rsidRDefault="00672DE6" w:rsidP="00563037">
      <w:pPr>
        <w:spacing w:after="0" w:line="240" w:lineRule="auto"/>
        <w:rPr>
          <w:rFonts w:ascii="Times New Roman" w:hAnsi="Times New Roman" w:cs="Times New Roman"/>
        </w:rPr>
      </w:pPr>
      <w:r w:rsidRPr="00563037">
        <w:rPr>
          <w:rFonts w:ascii="Times New Roman" w:hAnsi="Times New Roman" w:cs="Times New Roman"/>
        </w:rPr>
        <w:t>Source: Developed by the Researcher in accordance with World Health Organization (2022) and National Agency for the Control of AIDS (2025) guidelines.</w:t>
      </w:r>
    </w:p>
    <w:p w14:paraId="6ECC40D6" w14:textId="77777777" w:rsidR="004815E6" w:rsidRPr="004815E6" w:rsidRDefault="004815E6" w:rsidP="004815E6">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4815E6">
        <w:rPr>
          <w:rFonts w:ascii="Times New Roman" w:eastAsia="Times New Roman" w:hAnsi="Times New Roman" w:cs="Times New Roman"/>
          <w:b/>
          <w:bCs/>
          <w:sz w:val="24"/>
          <w:szCs w:val="24"/>
        </w:rPr>
        <w:t>3.3.6 Data Analysis Plan</w:t>
      </w:r>
    </w:p>
    <w:p w14:paraId="2CE04848" w14:textId="77777777" w:rsidR="00C33C37" w:rsidRPr="00C33C37" w:rsidRDefault="00C33C37" w:rsidP="00C33C37">
      <w:pPr>
        <w:spacing w:before="100" w:beforeAutospacing="1" w:after="100" w:afterAutospacing="1" w:line="480" w:lineRule="auto"/>
        <w:jc w:val="both"/>
        <w:rPr>
          <w:rFonts w:ascii="Times New Roman" w:eastAsia="Times New Roman" w:hAnsi="Times New Roman" w:cs="Times New Roman"/>
          <w:sz w:val="24"/>
          <w:szCs w:val="24"/>
        </w:rPr>
      </w:pPr>
      <w:r w:rsidRPr="00C33C37">
        <w:rPr>
          <w:rFonts w:ascii="Times New Roman" w:eastAsia="Times New Roman" w:hAnsi="Times New Roman" w:cs="Times New Roman"/>
          <w:sz w:val="24"/>
          <w:szCs w:val="24"/>
        </w:rPr>
        <w:t>The data analysis for this investigation was structured into four sequential phases to ensure a rigorous evaluation of the factors associated with viral load suppression. All data preparation, management, and statistical procedures were performed using R statistical software, version 4.3.2 (R Core Team, 2023). For the final multivariable models, statistical significance was defined at a two-tailed p-value of less than 0.05, and all confidence intervals were reported at the 95% level.</w:t>
      </w:r>
    </w:p>
    <w:p w14:paraId="3341B36B" w14:textId="77777777" w:rsidR="00C33C37" w:rsidRPr="00C33C37" w:rsidRDefault="00C33C37" w:rsidP="00C33C37">
      <w:pPr>
        <w:spacing w:before="100" w:beforeAutospacing="1" w:after="100" w:afterAutospacing="1" w:line="480" w:lineRule="auto"/>
        <w:jc w:val="both"/>
        <w:rPr>
          <w:rFonts w:ascii="Times New Roman" w:eastAsia="Times New Roman" w:hAnsi="Times New Roman" w:cs="Times New Roman"/>
          <w:sz w:val="24"/>
          <w:szCs w:val="24"/>
        </w:rPr>
      </w:pPr>
      <w:r w:rsidRPr="00C33C37">
        <w:rPr>
          <w:rFonts w:ascii="Times New Roman" w:eastAsia="Times New Roman" w:hAnsi="Times New Roman" w:cs="Times New Roman"/>
          <w:b/>
          <w:bCs/>
          <w:sz w:val="24"/>
          <w:szCs w:val="24"/>
        </w:rPr>
        <w:lastRenderedPageBreak/>
        <w:t>Phase One: Descriptive Statistics:</w:t>
      </w:r>
      <w:r w:rsidRPr="00C33C37">
        <w:rPr>
          <w:rFonts w:ascii="Times New Roman" w:eastAsia="Times New Roman" w:hAnsi="Times New Roman" w:cs="Times New Roman"/>
          <w:sz w:val="24"/>
          <w:szCs w:val="24"/>
        </w:rPr>
        <w:t xml:space="preserve"> The initial phase focused on the demographic and clinical profiling of the study population, conducted utilizing the </w:t>
      </w:r>
      <w:proofErr w:type="spellStart"/>
      <w:r w:rsidRPr="00A31EAD">
        <w:rPr>
          <w:rFonts w:ascii="Times New Roman" w:eastAsia="Times New Roman" w:hAnsi="Times New Roman" w:cs="Times New Roman"/>
          <w:i/>
          <w:sz w:val="24"/>
          <w:szCs w:val="24"/>
        </w:rPr>
        <w:t>tidyverse</w:t>
      </w:r>
      <w:proofErr w:type="spellEnd"/>
      <w:r w:rsidRPr="00C33C37">
        <w:rPr>
          <w:rFonts w:ascii="Times New Roman" w:eastAsia="Times New Roman" w:hAnsi="Times New Roman" w:cs="Times New Roman"/>
          <w:sz w:val="24"/>
          <w:szCs w:val="24"/>
        </w:rPr>
        <w:t xml:space="preserve"> package suite. Categorical variables, including gender, marital status, and facility ownership, were summarized using frequencies and percentages. This stage provided the foundational baseline characteristics of the 7,029 patients and the 35 selected facilities captured across the annual snapshots spanning 2019 to 2025.</w:t>
      </w:r>
    </w:p>
    <w:p w14:paraId="7A8CF1B9" w14:textId="77777777" w:rsidR="00C33C37" w:rsidRPr="00C33C37" w:rsidRDefault="00C33C37" w:rsidP="00C33C37">
      <w:pPr>
        <w:spacing w:before="100" w:beforeAutospacing="1" w:after="100" w:afterAutospacing="1" w:line="480" w:lineRule="auto"/>
        <w:jc w:val="both"/>
        <w:rPr>
          <w:rFonts w:ascii="Times New Roman" w:eastAsia="Times New Roman" w:hAnsi="Times New Roman" w:cs="Times New Roman"/>
          <w:sz w:val="24"/>
          <w:szCs w:val="24"/>
        </w:rPr>
      </w:pPr>
      <w:r w:rsidRPr="00C33C37">
        <w:rPr>
          <w:rFonts w:ascii="Times New Roman" w:eastAsia="Times New Roman" w:hAnsi="Times New Roman" w:cs="Times New Roman"/>
          <w:b/>
          <w:bCs/>
          <w:sz w:val="24"/>
          <w:szCs w:val="24"/>
        </w:rPr>
        <w:t>Phase Two: Bivariate Analysis</w:t>
      </w:r>
      <w:r w:rsidRPr="00C33C37">
        <w:rPr>
          <w:rFonts w:ascii="Times New Roman" w:eastAsia="Times New Roman" w:hAnsi="Times New Roman" w:cs="Times New Roman"/>
          <w:sz w:val="24"/>
          <w:szCs w:val="24"/>
        </w:rPr>
        <w:t xml:space="preserve"> In the second phase, bivariate associations between the independent variables and the primary outcome of </w:t>
      </w:r>
      <w:r w:rsidR="00825D1D">
        <w:rPr>
          <w:rFonts w:ascii="Times New Roman" w:eastAsia="Times New Roman" w:hAnsi="Times New Roman" w:cs="Times New Roman"/>
          <w:sz w:val="24"/>
          <w:szCs w:val="24"/>
        </w:rPr>
        <w:t>most recent documented viral load result</w:t>
      </w:r>
      <w:r w:rsidRPr="00C33C37">
        <w:rPr>
          <w:rFonts w:ascii="Times New Roman" w:eastAsia="Times New Roman" w:hAnsi="Times New Roman" w:cs="Times New Roman"/>
          <w:sz w:val="24"/>
          <w:szCs w:val="24"/>
        </w:rPr>
        <w:t xml:space="preserve"> were evaluated using univariable logistic regression to generate crude odds ratios (</w:t>
      </w:r>
      <w:proofErr w:type="spellStart"/>
      <w:r w:rsidRPr="00C33C37">
        <w:rPr>
          <w:rFonts w:ascii="Times New Roman" w:eastAsia="Times New Roman" w:hAnsi="Times New Roman" w:cs="Times New Roman"/>
          <w:sz w:val="24"/>
          <w:szCs w:val="24"/>
        </w:rPr>
        <w:t>cOR</w:t>
      </w:r>
      <w:proofErr w:type="spellEnd"/>
      <w:r w:rsidRPr="00C33C37">
        <w:rPr>
          <w:rFonts w:ascii="Times New Roman" w:eastAsia="Times New Roman" w:hAnsi="Times New Roman" w:cs="Times New Roman"/>
          <w:sz w:val="24"/>
          <w:szCs w:val="24"/>
        </w:rPr>
        <w:t>). Variables demonstrating a p-value of less than 0.25 in this bivariate screening were advanced to the final multivariable models. This specific entry threshold was utilized to ensure that potentially important confounders were not prematurely excluded prior to the multilevel analysis.</w:t>
      </w:r>
    </w:p>
    <w:p w14:paraId="0C224EF4" w14:textId="77777777" w:rsidR="00C33C37" w:rsidRPr="00C33C37" w:rsidRDefault="00C33C37" w:rsidP="00C33C37">
      <w:pPr>
        <w:spacing w:before="100" w:beforeAutospacing="1" w:after="100" w:afterAutospacing="1" w:line="480" w:lineRule="auto"/>
        <w:jc w:val="both"/>
        <w:rPr>
          <w:rFonts w:ascii="Times New Roman" w:eastAsia="Times New Roman" w:hAnsi="Times New Roman" w:cs="Times New Roman"/>
          <w:sz w:val="24"/>
          <w:szCs w:val="24"/>
        </w:rPr>
      </w:pPr>
      <w:r w:rsidRPr="00C33C37">
        <w:rPr>
          <w:rFonts w:ascii="Times New Roman" w:eastAsia="Times New Roman" w:hAnsi="Times New Roman" w:cs="Times New Roman"/>
          <w:b/>
          <w:bCs/>
          <w:sz w:val="24"/>
          <w:szCs w:val="24"/>
        </w:rPr>
        <w:t>Phase Three: The Null Model:</w:t>
      </w:r>
      <w:r w:rsidRPr="00C33C37">
        <w:rPr>
          <w:rFonts w:ascii="Times New Roman" w:eastAsia="Times New Roman" w:hAnsi="Times New Roman" w:cs="Times New Roman"/>
          <w:sz w:val="24"/>
          <w:szCs w:val="24"/>
        </w:rPr>
        <w:t xml:space="preserve"> Prior to the inclusion of fixed effects, a null (intercept-only) model was fitted. This phase was critical for partitioning the total variance in viral load suppression between the individual patient level (Level 1) and the facility level (Level 2). From this model, the Intraclass Correlation Coefficient (ICC) and the </w:t>
      </w:r>
      <w:r w:rsidR="005F381E">
        <w:rPr>
          <w:rFonts w:ascii="Times New Roman" w:eastAsia="Times New Roman" w:hAnsi="Times New Roman" w:cs="Times New Roman"/>
          <w:sz w:val="24"/>
          <w:szCs w:val="24"/>
        </w:rPr>
        <w:t xml:space="preserve">Median </w:t>
      </w:r>
      <w:r w:rsidRPr="00C33C37">
        <w:rPr>
          <w:rFonts w:ascii="Times New Roman" w:eastAsia="Times New Roman" w:hAnsi="Times New Roman" w:cs="Times New Roman"/>
          <w:sz w:val="24"/>
          <w:szCs w:val="24"/>
        </w:rPr>
        <w:t>Odds Ratio (</w:t>
      </w:r>
      <w:r w:rsidR="005F381E">
        <w:rPr>
          <w:rFonts w:ascii="Times New Roman" w:eastAsia="Times New Roman" w:hAnsi="Times New Roman" w:cs="Times New Roman"/>
          <w:sz w:val="24"/>
          <w:szCs w:val="24"/>
        </w:rPr>
        <w:t>M</w:t>
      </w:r>
      <w:r w:rsidRPr="00C33C37">
        <w:rPr>
          <w:rFonts w:ascii="Times New Roman" w:eastAsia="Times New Roman" w:hAnsi="Times New Roman" w:cs="Times New Roman"/>
          <w:sz w:val="24"/>
          <w:szCs w:val="24"/>
        </w:rPr>
        <w:t>OR) were calculated to quantify the exact proportion of outcome variance attributable to institutional clustering, formally justifying the use of hierarchical modeling.</w:t>
      </w:r>
    </w:p>
    <w:p w14:paraId="1B3BAD27" w14:textId="77777777" w:rsidR="004815E6" w:rsidRPr="004815E6" w:rsidRDefault="00C33C37" w:rsidP="00C33C37">
      <w:pPr>
        <w:spacing w:before="100" w:beforeAutospacing="1" w:after="100" w:afterAutospacing="1" w:line="480" w:lineRule="auto"/>
        <w:jc w:val="both"/>
        <w:rPr>
          <w:rFonts w:ascii="Times New Roman" w:eastAsia="Times New Roman" w:hAnsi="Times New Roman" w:cs="Times New Roman"/>
          <w:sz w:val="24"/>
          <w:szCs w:val="24"/>
        </w:rPr>
      </w:pPr>
      <w:r w:rsidRPr="00C33C37">
        <w:rPr>
          <w:rFonts w:ascii="Times New Roman" w:eastAsia="Times New Roman" w:hAnsi="Times New Roman" w:cs="Times New Roman"/>
          <w:b/>
          <w:bCs/>
          <w:sz w:val="24"/>
          <w:szCs w:val="24"/>
        </w:rPr>
        <w:t>Phase Four: Multilevel Mixed-Effects Modeling:</w:t>
      </w:r>
      <w:r w:rsidRPr="00C33C37">
        <w:rPr>
          <w:rFonts w:ascii="Times New Roman" w:eastAsia="Times New Roman" w:hAnsi="Times New Roman" w:cs="Times New Roman"/>
          <w:sz w:val="24"/>
          <w:szCs w:val="24"/>
        </w:rPr>
        <w:t xml:space="preserve"> The final phase utilized a two-level mixed-effects logistic regression framework to determine the independent determinants of virologic success. Patients (Level 1 predictors) were nested within health facilities (Level 2 predictors). These multivariable models were executed using the </w:t>
      </w:r>
      <w:proofErr w:type="spellStart"/>
      <w:r w:rsidRPr="00C33C37">
        <w:rPr>
          <w:rFonts w:ascii="Times New Roman" w:eastAsia="Times New Roman" w:hAnsi="Times New Roman" w:cs="Times New Roman"/>
          <w:sz w:val="24"/>
          <w:szCs w:val="24"/>
        </w:rPr>
        <w:t>glmer</w:t>
      </w:r>
      <w:proofErr w:type="spellEnd"/>
      <w:r w:rsidRPr="00C33C37">
        <w:rPr>
          <w:rFonts w:ascii="Times New Roman" w:eastAsia="Times New Roman" w:hAnsi="Times New Roman" w:cs="Times New Roman"/>
          <w:sz w:val="24"/>
          <w:szCs w:val="24"/>
        </w:rPr>
        <w:t xml:space="preserve"> function within the lme4 package, </w:t>
      </w:r>
      <w:r w:rsidRPr="00C33C37">
        <w:rPr>
          <w:rFonts w:ascii="Times New Roman" w:eastAsia="Times New Roman" w:hAnsi="Times New Roman" w:cs="Times New Roman"/>
          <w:sz w:val="24"/>
          <w:szCs w:val="24"/>
        </w:rPr>
        <w:lastRenderedPageBreak/>
        <w:t>version 1.1-35 (Bates et al., 2015). Two models were fitted: Model 1 contained only individual-level fixed effects with a random intercept for facility, while Model 2 included both individual and facility-level fixed effects. Model fit was evaluated and compared using the Akaike Information Criterion (AIC) and the Likelihood Ratio Test to identify the most parsimonious explanation for the observed virologic outcomes.</w:t>
      </w:r>
    </w:p>
    <w:p w14:paraId="5B6E61B8" w14:textId="77777777" w:rsidR="00C33C37" w:rsidRPr="00C33C37" w:rsidRDefault="00C33C37" w:rsidP="00C33C37">
      <w:pPr>
        <w:spacing w:before="100" w:beforeAutospacing="1" w:after="100" w:afterAutospacing="1" w:line="480" w:lineRule="auto"/>
        <w:jc w:val="both"/>
        <w:rPr>
          <w:rFonts w:ascii="Times New Roman" w:eastAsia="Times New Roman" w:hAnsi="Times New Roman" w:cs="Times New Roman"/>
          <w:sz w:val="24"/>
          <w:szCs w:val="24"/>
        </w:rPr>
      </w:pPr>
      <w:r w:rsidRPr="00C33C37">
        <w:rPr>
          <w:rFonts w:ascii="Times New Roman" w:eastAsia="Times New Roman" w:hAnsi="Times New Roman" w:cs="Times New Roman"/>
          <w:b/>
          <w:bCs/>
          <w:sz w:val="24"/>
          <w:szCs w:val="24"/>
        </w:rPr>
        <w:t>3.3.7 Data Quality Assurance</w:t>
      </w:r>
    </w:p>
    <w:p w14:paraId="34A7C4A8" w14:textId="77777777" w:rsidR="00C33C37" w:rsidRPr="00C33C37" w:rsidRDefault="00C33C37" w:rsidP="00C33C37">
      <w:pPr>
        <w:spacing w:before="100" w:beforeAutospacing="1" w:after="100" w:afterAutospacing="1" w:line="480" w:lineRule="auto"/>
        <w:jc w:val="both"/>
        <w:rPr>
          <w:rFonts w:ascii="Times New Roman" w:eastAsia="Times New Roman" w:hAnsi="Times New Roman" w:cs="Times New Roman"/>
          <w:sz w:val="24"/>
          <w:szCs w:val="24"/>
        </w:rPr>
      </w:pPr>
      <w:r w:rsidRPr="00C33C37">
        <w:rPr>
          <w:rFonts w:ascii="Times New Roman" w:eastAsia="Times New Roman" w:hAnsi="Times New Roman" w:cs="Times New Roman"/>
          <w:sz w:val="24"/>
          <w:szCs w:val="24"/>
        </w:rPr>
        <w:t>The integrity of the serial cross-sectional dataset was maintained through a rigorous data quality assurance protocol designed to mitigate the errors inherent in routine clinical records. To resolve the challenge of missing viral load data, a systematic reconciliation process was executed, cross-referencing local electronic entries with the National Data Repository. When discrepancies persisted, records were subjected to primary verification against physical patient folders at the respective facility sites (Ochieng et al., 2021). To prevent the duplicate counting of patients transferring within the hub-and-spoke network, records were systematically deduplicated utilizing unique integrated circuit provider identification numbers.</w:t>
      </w:r>
    </w:p>
    <w:p w14:paraId="233041B1" w14:textId="77777777" w:rsidR="004815E6" w:rsidRPr="004815E6" w:rsidRDefault="00C33C37" w:rsidP="00C33C37">
      <w:pPr>
        <w:spacing w:before="100" w:beforeAutospacing="1" w:after="100" w:afterAutospacing="1" w:line="480" w:lineRule="auto"/>
        <w:jc w:val="both"/>
        <w:rPr>
          <w:rFonts w:ascii="Times New Roman" w:eastAsia="Times New Roman" w:hAnsi="Times New Roman" w:cs="Times New Roman"/>
          <w:sz w:val="24"/>
          <w:szCs w:val="24"/>
        </w:rPr>
      </w:pPr>
      <w:r w:rsidRPr="00C33C37">
        <w:rPr>
          <w:rFonts w:ascii="Times New Roman" w:eastAsia="Times New Roman" w:hAnsi="Times New Roman" w:cs="Times New Roman"/>
          <w:sz w:val="24"/>
          <w:szCs w:val="24"/>
        </w:rPr>
        <w:t>Furthermore, algorithmic data cleaning was performed within the R statistical environment to detect and resolve outliers or biologically implausible values in critical variables, such as clinical staging parameters and pharmacy refill dates. To validate the integrity of the digital extraction process, a secondary manual audit was conducted on a randomized five percent subset of the extracted records. Collectively, these stringent measures ensured that the final analytical cohort of 7,029 records was robust, complete, and accurately reflective of point-in-time clinical realities within the Plateau State health system, thereby maximizing the internal validity of the multilevel analysis.</w:t>
      </w:r>
    </w:p>
    <w:p w14:paraId="0D54E2EB" w14:textId="77777777" w:rsidR="004815E6" w:rsidRPr="004815E6" w:rsidRDefault="004815E6" w:rsidP="004815E6">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4815E6">
        <w:rPr>
          <w:rFonts w:ascii="Times New Roman" w:eastAsia="Times New Roman" w:hAnsi="Times New Roman" w:cs="Times New Roman"/>
          <w:b/>
          <w:bCs/>
          <w:sz w:val="24"/>
          <w:szCs w:val="24"/>
        </w:rPr>
        <w:lastRenderedPageBreak/>
        <w:t>3.3.8 Ethical Considerations</w:t>
      </w:r>
    </w:p>
    <w:p w14:paraId="0C920D04" w14:textId="77777777" w:rsidR="004815E6" w:rsidRPr="004815E6" w:rsidRDefault="004815E6" w:rsidP="004815E6">
      <w:pPr>
        <w:spacing w:before="100" w:beforeAutospacing="1" w:after="100" w:afterAutospacing="1" w:line="480" w:lineRule="auto"/>
        <w:jc w:val="both"/>
        <w:rPr>
          <w:rFonts w:ascii="Times New Roman" w:eastAsia="Times New Roman" w:hAnsi="Times New Roman" w:cs="Times New Roman"/>
          <w:sz w:val="24"/>
          <w:szCs w:val="24"/>
        </w:rPr>
      </w:pPr>
      <w:r w:rsidRPr="004815E6">
        <w:rPr>
          <w:rFonts w:ascii="Times New Roman" w:eastAsia="Times New Roman" w:hAnsi="Times New Roman" w:cs="Times New Roman"/>
          <w:sz w:val="24"/>
          <w:szCs w:val="24"/>
        </w:rPr>
        <w:t>The investigation was conducted in strict accordance with the ethical principles outlined in the Declaration of Helsinki and the National Code for Health Research Ethics in Nigeria. Primary ethical approval was sought and obtained from the Plateau State Health Research Ethics Committee (Protocol Number: PSHREC 2025 084). Since the study utilized retrospective, de identified data extracted from existing electronic medical records, the requirement for individual informed consent was waived by the committee, provided that no personally identifiable information was exported from the facility servers.</w:t>
      </w:r>
    </w:p>
    <w:p w14:paraId="5A0A1C68" w14:textId="77777777" w:rsidR="004815E6" w:rsidRDefault="004815E6" w:rsidP="004815E6">
      <w:pPr>
        <w:spacing w:before="100" w:beforeAutospacing="1" w:after="100" w:afterAutospacing="1" w:line="480" w:lineRule="auto"/>
        <w:jc w:val="both"/>
        <w:rPr>
          <w:rFonts w:ascii="Times New Roman" w:eastAsia="Times New Roman" w:hAnsi="Times New Roman" w:cs="Times New Roman"/>
          <w:sz w:val="24"/>
          <w:szCs w:val="24"/>
        </w:rPr>
      </w:pPr>
      <w:r w:rsidRPr="004815E6">
        <w:rPr>
          <w:rFonts w:ascii="Times New Roman" w:eastAsia="Times New Roman" w:hAnsi="Times New Roman" w:cs="Times New Roman"/>
          <w:sz w:val="24"/>
          <w:szCs w:val="24"/>
        </w:rPr>
        <w:t>To ensure absolute confidentiality, all patient names, addresses, and phone numbers were removed at the point of extraction and replaced with unique study codes. The resulting anonymized dataset was stored on a password protected, encrypted drive accessible only to the principal investigator. No facility level results were reported in a manner that could lead to the stigmatization of specific sites or patient populations. These protocols guaranteed that the research balanced the need for public health evidence with the fundamental right to patient privacy during the ongoing transition toward domestic sustainability in the Nigerian HIV response.</w:t>
      </w:r>
    </w:p>
    <w:p w14:paraId="50F0A656" w14:textId="77777777" w:rsidR="001024DD" w:rsidRDefault="001024DD" w:rsidP="004815E6">
      <w:pPr>
        <w:spacing w:before="100" w:beforeAutospacing="1" w:after="100" w:afterAutospacing="1" w:line="480" w:lineRule="auto"/>
        <w:jc w:val="both"/>
        <w:rPr>
          <w:rFonts w:ascii="Times New Roman" w:eastAsia="Times New Roman" w:hAnsi="Times New Roman" w:cs="Times New Roman"/>
          <w:sz w:val="24"/>
          <w:szCs w:val="24"/>
        </w:rPr>
      </w:pPr>
    </w:p>
    <w:p w14:paraId="3B2A01F1" w14:textId="77777777" w:rsidR="001024DD" w:rsidRDefault="001024DD" w:rsidP="004815E6">
      <w:pPr>
        <w:spacing w:before="100" w:beforeAutospacing="1" w:after="100" w:afterAutospacing="1" w:line="480" w:lineRule="auto"/>
        <w:jc w:val="both"/>
        <w:rPr>
          <w:rFonts w:ascii="Times New Roman" w:eastAsia="Times New Roman" w:hAnsi="Times New Roman" w:cs="Times New Roman"/>
          <w:sz w:val="24"/>
          <w:szCs w:val="24"/>
        </w:rPr>
      </w:pPr>
    </w:p>
    <w:p w14:paraId="55994614" w14:textId="77777777" w:rsidR="001024DD" w:rsidRDefault="001024DD" w:rsidP="004815E6">
      <w:pPr>
        <w:spacing w:before="100" w:beforeAutospacing="1" w:after="100" w:afterAutospacing="1" w:line="480" w:lineRule="auto"/>
        <w:jc w:val="both"/>
        <w:rPr>
          <w:rFonts w:ascii="Times New Roman" w:eastAsia="Times New Roman" w:hAnsi="Times New Roman" w:cs="Times New Roman"/>
          <w:sz w:val="24"/>
          <w:szCs w:val="24"/>
        </w:rPr>
      </w:pPr>
    </w:p>
    <w:p w14:paraId="74224AB3" w14:textId="77777777" w:rsidR="001024DD" w:rsidRDefault="001024DD" w:rsidP="004815E6">
      <w:pPr>
        <w:spacing w:before="100" w:beforeAutospacing="1" w:after="100" w:afterAutospacing="1" w:line="480" w:lineRule="auto"/>
        <w:jc w:val="both"/>
        <w:rPr>
          <w:rFonts w:ascii="Times New Roman" w:eastAsia="Times New Roman" w:hAnsi="Times New Roman" w:cs="Times New Roman"/>
          <w:sz w:val="24"/>
          <w:szCs w:val="24"/>
        </w:rPr>
      </w:pPr>
    </w:p>
    <w:p w14:paraId="6298A245" w14:textId="77777777" w:rsidR="001024DD" w:rsidRDefault="001024DD" w:rsidP="004815E6">
      <w:pPr>
        <w:spacing w:before="100" w:beforeAutospacing="1" w:after="100" w:afterAutospacing="1" w:line="480" w:lineRule="auto"/>
        <w:jc w:val="both"/>
        <w:rPr>
          <w:rFonts w:ascii="Times New Roman" w:eastAsia="Times New Roman" w:hAnsi="Times New Roman" w:cs="Times New Roman"/>
          <w:sz w:val="24"/>
          <w:szCs w:val="24"/>
        </w:rPr>
      </w:pPr>
    </w:p>
    <w:p w14:paraId="14962AFA" w14:textId="77777777" w:rsidR="003163B4" w:rsidRPr="007E520D" w:rsidRDefault="003163B4" w:rsidP="004C5CC9">
      <w:pPr>
        <w:spacing w:before="100" w:beforeAutospacing="1" w:after="100" w:afterAutospacing="1" w:line="360" w:lineRule="auto"/>
        <w:jc w:val="center"/>
        <w:outlineLvl w:val="3"/>
        <w:rPr>
          <w:rFonts w:ascii="Times New Roman" w:eastAsia="Times New Roman" w:hAnsi="Times New Roman" w:cs="Times New Roman"/>
          <w:b/>
          <w:bCs/>
          <w:sz w:val="24"/>
          <w:szCs w:val="24"/>
        </w:rPr>
      </w:pPr>
      <w:r w:rsidRPr="0047461C">
        <w:rPr>
          <w:rFonts w:ascii="Times New Roman" w:eastAsia="Times New Roman" w:hAnsi="Times New Roman" w:cs="Times New Roman"/>
          <w:b/>
          <w:bCs/>
          <w:sz w:val="24"/>
          <w:szCs w:val="24"/>
        </w:rPr>
        <w:lastRenderedPageBreak/>
        <w:t>CHAPTER FOUR</w:t>
      </w:r>
    </w:p>
    <w:p w14:paraId="5FFB809A" w14:textId="77777777" w:rsidR="003163B4" w:rsidRPr="0047461C" w:rsidRDefault="003163B4" w:rsidP="004C5CC9">
      <w:pPr>
        <w:spacing w:before="100" w:beforeAutospacing="1" w:after="100" w:afterAutospacing="1" w:line="360" w:lineRule="auto"/>
        <w:jc w:val="center"/>
        <w:outlineLvl w:val="3"/>
        <w:rPr>
          <w:rFonts w:ascii="Times New Roman" w:eastAsia="Times New Roman" w:hAnsi="Times New Roman" w:cs="Times New Roman"/>
          <w:b/>
          <w:bCs/>
          <w:sz w:val="24"/>
          <w:szCs w:val="24"/>
        </w:rPr>
      </w:pPr>
      <w:r w:rsidRPr="0047461C">
        <w:rPr>
          <w:rFonts w:ascii="Times New Roman" w:eastAsia="Times New Roman" w:hAnsi="Times New Roman" w:cs="Times New Roman"/>
          <w:b/>
          <w:bCs/>
          <w:sz w:val="24"/>
          <w:szCs w:val="24"/>
        </w:rPr>
        <w:t>OVERALL OUTCOMES</w:t>
      </w:r>
    </w:p>
    <w:p w14:paraId="4E816E3C" w14:textId="77777777" w:rsidR="003163B4" w:rsidRPr="007E520D" w:rsidRDefault="003163B4" w:rsidP="003163B4">
      <w:pPr>
        <w:spacing w:before="100" w:beforeAutospacing="1" w:after="100" w:afterAutospacing="1" w:line="480" w:lineRule="auto"/>
        <w:jc w:val="both"/>
        <w:rPr>
          <w:rFonts w:ascii="Times New Roman" w:eastAsia="Times New Roman" w:hAnsi="Times New Roman" w:cs="Times New Roman"/>
          <w:sz w:val="24"/>
          <w:szCs w:val="24"/>
        </w:rPr>
      </w:pPr>
      <w:r w:rsidRPr="007E520D">
        <w:rPr>
          <w:rFonts w:ascii="Times New Roman" w:eastAsia="Times New Roman" w:hAnsi="Times New Roman" w:cs="Times New Roman"/>
          <w:b/>
          <w:bCs/>
          <w:sz w:val="24"/>
          <w:szCs w:val="24"/>
        </w:rPr>
        <w:t>4.0 Introduction</w:t>
      </w:r>
    </w:p>
    <w:p w14:paraId="566EC8EA" w14:textId="77777777" w:rsidR="003163B4" w:rsidRPr="007E520D" w:rsidRDefault="003163B4" w:rsidP="003163B4">
      <w:pPr>
        <w:spacing w:before="100" w:beforeAutospacing="1" w:after="100" w:afterAutospacing="1" w:line="480" w:lineRule="auto"/>
        <w:jc w:val="both"/>
        <w:rPr>
          <w:rFonts w:ascii="Times New Roman" w:eastAsia="Times New Roman" w:hAnsi="Times New Roman" w:cs="Times New Roman"/>
          <w:sz w:val="24"/>
          <w:szCs w:val="24"/>
        </w:rPr>
      </w:pPr>
      <w:r w:rsidRPr="007E520D">
        <w:rPr>
          <w:rFonts w:ascii="Times New Roman" w:eastAsia="Times New Roman" w:hAnsi="Times New Roman" w:cs="Times New Roman"/>
          <w:sz w:val="24"/>
          <w:szCs w:val="24"/>
        </w:rPr>
        <w:t>This chapter presents the analytical strategy applied to evaluate the determinants of viral load suppression and reports the empirical findings systematically across four sequential phases. The analysis was designed to translate the theoretical constructs of the two-level adapted Social-Ecological Model, established in Chapter One, into statistically testable parameters. The chapter is divided into two primary sections. Section 4.1 details the data preparation procedures, variable classification decisions, sparse cell management, and statistical modeling techniques applied prior to analysis. Section 4.2 presents the empirical findings, beginning with descriptive profiling of the study population and culminating in the variance partitioning results of the two-level mixed-effects logistic regression. All findings reported herein constitute the pure empirical record of this investigation and provide the evidential foundation for the interpretive analysis presented in Chapter Five.</w:t>
      </w:r>
    </w:p>
    <w:p w14:paraId="731EA008" w14:textId="77777777" w:rsidR="003163B4" w:rsidRDefault="003163B4" w:rsidP="003163B4">
      <w:pPr>
        <w:spacing w:before="100" w:beforeAutospacing="1" w:after="100" w:afterAutospacing="1" w:line="480" w:lineRule="auto"/>
        <w:jc w:val="both"/>
        <w:rPr>
          <w:rFonts w:ascii="Times New Roman" w:eastAsia="Times New Roman" w:hAnsi="Times New Roman" w:cs="Times New Roman"/>
          <w:b/>
          <w:bCs/>
          <w:sz w:val="24"/>
          <w:szCs w:val="24"/>
        </w:rPr>
      </w:pPr>
      <w:r w:rsidRPr="007E520D">
        <w:rPr>
          <w:rFonts w:ascii="Times New Roman" w:eastAsia="Times New Roman" w:hAnsi="Times New Roman" w:cs="Times New Roman"/>
          <w:b/>
          <w:bCs/>
          <w:sz w:val="24"/>
          <w:szCs w:val="24"/>
        </w:rPr>
        <w:t xml:space="preserve">4.1 </w:t>
      </w:r>
      <w:r w:rsidR="002A09EA" w:rsidRPr="007E520D">
        <w:rPr>
          <w:rFonts w:ascii="Times New Roman" w:eastAsia="Times New Roman" w:hAnsi="Times New Roman" w:cs="Times New Roman"/>
          <w:b/>
          <w:bCs/>
          <w:sz w:val="24"/>
          <w:szCs w:val="24"/>
        </w:rPr>
        <w:t>Strategy and Techniques</w:t>
      </w:r>
    </w:p>
    <w:p w14:paraId="78EE49BD" w14:textId="77777777" w:rsidR="003163B4" w:rsidRPr="00450BB4" w:rsidRDefault="003163B4" w:rsidP="003163B4">
      <w:pPr>
        <w:spacing w:before="100" w:beforeAutospacing="1" w:after="100" w:afterAutospacing="1" w:line="480" w:lineRule="auto"/>
        <w:jc w:val="both"/>
        <w:rPr>
          <w:rFonts w:ascii="Times New Roman" w:eastAsia="Times New Roman" w:hAnsi="Times New Roman" w:cs="Times New Roman"/>
          <w:sz w:val="24"/>
          <w:szCs w:val="24"/>
        </w:rPr>
      </w:pPr>
      <w:r w:rsidRPr="00450BB4">
        <w:rPr>
          <w:rFonts w:ascii="Times New Roman" w:eastAsia="Times New Roman" w:hAnsi="Times New Roman" w:cs="Times New Roman"/>
          <w:sz w:val="24"/>
          <w:szCs w:val="24"/>
        </w:rPr>
        <w:t>This section delineates the precise methodological procedures and statistical protocols employed to transition the raw clinical dataset into the final empirical models. It comprehensively details the data preparation, variable classification decisions, and sparse cell management executed prior to the formal analytical sequence.</w:t>
      </w:r>
    </w:p>
    <w:p w14:paraId="688FDB28" w14:textId="77777777" w:rsidR="003163B4" w:rsidRDefault="003163B4" w:rsidP="003163B4">
      <w:pPr>
        <w:spacing w:before="100" w:beforeAutospacing="1" w:after="100" w:afterAutospacing="1" w:line="480" w:lineRule="auto"/>
        <w:jc w:val="both"/>
        <w:rPr>
          <w:rFonts w:ascii="Times New Roman" w:eastAsia="Times New Roman" w:hAnsi="Times New Roman" w:cs="Times New Roman"/>
          <w:b/>
          <w:bCs/>
          <w:sz w:val="24"/>
          <w:szCs w:val="24"/>
        </w:rPr>
      </w:pPr>
    </w:p>
    <w:p w14:paraId="71D78557" w14:textId="77777777" w:rsidR="003163B4" w:rsidRPr="007E520D" w:rsidRDefault="003163B4" w:rsidP="003163B4">
      <w:pPr>
        <w:spacing w:before="100" w:beforeAutospacing="1" w:after="100" w:afterAutospacing="1" w:line="480" w:lineRule="auto"/>
        <w:jc w:val="both"/>
        <w:rPr>
          <w:rFonts w:ascii="Times New Roman" w:eastAsia="Times New Roman" w:hAnsi="Times New Roman" w:cs="Times New Roman"/>
          <w:sz w:val="24"/>
          <w:szCs w:val="24"/>
        </w:rPr>
      </w:pPr>
      <w:r w:rsidRPr="007E520D">
        <w:rPr>
          <w:rFonts w:ascii="Times New Roman" w:eastAsia="Times New Roman" w:hAnsi="Times New Roman" w:cs="Times New Roman"/>
          <w:b/>
          <w:bCs/>
          <w:sz w:val="24"/>
          <w:szCs w:val="24"/>
        </w:rPr>
        <w:lastRenderedPageBreak/>
        <w:t>4.1.1 Data Preparation and Quality Verification</w:t>
      </w:r>
    </w:p>
    <w:p w14:paraId="74234573" w14:textId="77777777" w:rsidR="003163B4" w:rsidRPr="007E520D" w:rsidRDefault="003163B4" w:rsidP="003163B4">
      <w:pPr>
        <w:spacing w:before="100" w:beforeAutospacing="1" w:after="100" w:afterAutospacing="1" w:line="480" w:lineRule="auto"/>
        <w:jc w:val="both"/>
        <w:rPr>
          <w:rFonts w:ascii="Times New Roman" w:eastAsia="Times New Roman" w:hAnsi="Times New Roman" w:cs="Times New Roman"/>
          <w:sz w:val="24"/>
          <w:szCs w:val="24"/>
        </w:rPr>
      </w:pPr>
      <w:r w:rsidRPr="007E520D">
        <w:rPr>
          <w:rFonts w:ascii="Times New Roman" w:eastAsia="Times New Roman" w:hAnsi="Times New Roman" w:cs="Times New Roman"/>
          <w:sz w:val="24"/>
          <w:szCs w:val="24"/>
        </w:rPr>
        <w:t>Following extraction from the electronic medical record systems of the 35 selected treatment facilities, several pre-analysis data management procedures were executed on the dataset prior to any statistical modeling. The total number of eligible patient records was confirmed as 7,029, representing adults actively receiving antiretroviral therapy across all participating sites within the study period of 2019 to 202</w:t>
      </w:r>
      <w:r w:rsidR="00F03693">
        <w:rPr>
          <w:rFonts w:ascii="Times New Roman" w:eastAsia="Times New Roman" w:hAnsi="Times New Roman" w:cs="Times New Roman"/>
          <w:sz w:val="24"/>
          <w:szCs w:val="24"/>
        </w:rPr>
        <w:t>4</w:t>
      </w:r>
      <w:r w:rsidRPr="007E520D">
        <w:rPr>
          <w:rFonts w:ascii="Times New Roman" w:eastAsia="Times New Roman" w:hAnsi="Times New Roman" w:cs="Times New Roman"/>
          <w:sz w:val="24"/>
          <w:szCs w:val="24"/>
        </w:rPr>
        <w:t>. Data completeness was verified by cross-referencing extracted entries with the National Data Repository. This verification confirmed that no missing values were present across all defined analytical variables following initial dataset cleaning, and no records required exclusion on the basis of missing data.</w:t>
      </w:r>
    </w:p>
    <w:p w14:paraId="082C4DE2" w14:textId="77777777" w:rsidR="003163B4" w:rsidRPr="007E520D" w:rsidRDefault="003163B4" w:rsidP="003163B4">
      <w:pPr>
        <w:spacing w:before="100" w:beforeAutospacing="1" w:after="100" w:afterAutospacing="1" w:line="480" w:lineRule="auto"/>
        <w:jc w:val="both"/>
        <w:rPr>
          <w:rFonts w:ascii="Times New Roman" w:eastAsia="Times New Roman" w:hAnsi="Times New Roman" w:cs="Times New Roman"/>
          <w:sz w:val="24"/>
          <w:szCs w:val="24"/>
        </w:rPr>
      </w:pPr>
      <w:r w:rsidRPr="007E520D">
        <w:rPr>
          <w:rFonts w:ascii="Times New Roman" w:eastAsia="Times New Roman" w:hAnsi="Times New Roman" w:cs="Times New Roman"/>
          <w:sz w:val="24"/>
          <w:szCs w:val="24"/>
        </w:rPr>
        <w:t>Two variable-level preparation steps were executed. First, the WHO clinical staging variable was reformatted from its native electronic medical record extraction label to a standardized categorical format compatible with the statistical software environment. Secon</w:t>
      </w:r>
      <w:r>
        <w:rPr>
          <w:rFonts w:ascii="Times New Roman" w:eastAsia="Times New Roman" w:hAnsi="Times New Roman" w:cs="Times New Roman"/>
          <w:sz w:val="24"/>
          <w:szCs w:val="24"/>
        </w:rPr>
        <w:t>d, the primary outcome variable ‘</w:t>
      </w:r>
      <w:r w:rsidRPr="007E520D">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ast Viral Load Suppression Rate’ </w:t>
      </w:r>
      <w:r w:rsidRPr="007E520D">
        <w:rPr>
          <w:rFonts w:ascii="Times New Roman" w:eastAsia="Times New Roman" w:hAnsi="Times New Roman" w:cs="Times New Roman"/>
          <w:sz w:val="24"/>
          <w:szCs w:val="24"/>
        </w:rPr>
        <w:t xml:space="preserve">was recoded to align the binary outcome with the positive programmatic framing of the study. Suppressed status, defined as a plasma HIV RNA concentration of fewer than 1,000 copies per </w:t>
      </w:r>
      <w:proofErr w:type="spellStart"/>
      <w:r w:rsidRPr="007E520D">
        <w:rPr>
          <w:rFonts w:ascii="Times New Roman" w:eastAsia="Times New Roman" w:hAnsi="Times New Roman" w:cs="Times New Roman"/>
          <w:sz w:val="24"/>
          <w:szCs w:val="24"/>
        </w:rPr>
        <w:t>millilitre</w:t>
      </w:r>
      <w:proofErr w:type="spellEnd"/>
      <w:r w:rsidRPr="007E520D">
        <w:rPr>
          <w:rFonts w:ascii="Times New Roman" w:eastAsia="Times New Roman" w:hAnsi="Times New Roman" w:cs="Times New Roman"/>
          <w:sz w:val="24"/>
          <w:szCs w:val="24"/>
        </w:rPr>
        <w:t xml:space="preserve">, was coded as 1. Unsuppressed status, defined as a plasma HIV RNA concentration of 1,000 copies per </w:t>
      </w:r>
      <w:proofErr w:type="spellStart"/>
      <w:r w:rsidRPr="007E520D">
        <w:rPr>
          <w:rFonts w:ascii="Times New Roman" w:eastAsia="Times New Roman" w:hAnsi="Times New Roman" w:cs="Times New Roman"/>
          <w:sz w:val="24"/>
          <w:szCs w:val="24"/>
        </w:rPr>
        <w:t>millilitre</w:t>
      </w:r>
      <w:proofErr w:type="spellEnd"/>
      <w:r w:rsidRPr="007E520D">
        <w:rPr>
          <w:rFonts w:ascii="Times New Roman" w:eastAsia="Times New Roman" w:hAnsi="Times New Roman" w:cs="Times New Roman"/>
          <w:sz w:val="24"/>
          <w:szCs w:val="24"/>
        </w:rPr>
        <w:t xml:space="preserve"> or greater, was coded as 0. Additionally, t</w:t>
      </w:r>
      <w:r>
        <w:rPr>
          <w:rFonts w:ascii="Times New Roman" w:eastAsia="Times New Roman" w:hAnsi="Times New Roman" w:cs="Times New Roman"/>
          <w:sz w:val="24"/>
          <w:szCs w:val="24"/>
        </w:rPr>
        <w:t>he baseline viral load variable ‘</w:t>
      </w:r>
      <w:r w:rsidRPr="007E520D">
        <w:rPr>
          <w:rFonts w:ascii="Times New Roman" w:eastAsia="Times New Roman" w:hAnsi="Times New Roman" w:cs="Times New Roman"/>
          <w:sz w:val="24"/>
          <w:szCs w:val="24"/>
        </w:rPr>
        <w:t>Baseline Viral Load Status</w:t>
      </w:r>
      <w:r>
        <w:rPr>
          <w:rFonts w:ascii="Times New Roman" w:eastAsia="Times New Roman" w:hAnsi="Times New Roman" w:cs="Times New Roman"/>
          <w:sz w:val="24"/>
          <w:szCs w:val="24"/>
        </w:rPr>
        <w:t xml:space="preserve">’ </w:t>
      </w:r>
      <w:r w:rsidRPr="007E520D">
        <w:rPr>
          <w:rFonts w:ascii="Times New Roman" w:eastAsia="Times New Roman" w:hAnsi="Times New Roman" w:cs="Times New Roman"/>
          <w:sz w:val="24"/>
          <w:szCs w:val="24"/>
        </w:rPr>
        <w:t>was confirmed as a Level 1 clinical covariate, explicitly recoded (0 = baseline suppressed, 1 = baseline unsuppressed), and retained throughout all analytical phases as a mandatory clinical control variable given its established influence on treatment trajectory.</w:t>
      </w:r>
    </w:p>
    <w:p w14:paraId="26B48961" w14:textId="77777777" w:rsidR="003163B4" w:rsidRDefault="003163B4" w:rsidP="003163B4">
      <w:pPr>
        <w:spacing w:before="100" w:beforeAutospacing="1" w:after="100" w:afterAutospacing="1" w:line="480" w:lineRule="auto"/>
        <w:jc w:val="both"/>
        <w:rPr>
          <w:rFonts w:ascii="Times New Roman" w:eastAsia="Times New Roman" w:hAnsi="Times New Roman" w:cs="Times New Roman"/>
          <w:b/>
          <w:bCs/>
          <w:sz w:val="24"/>
          <w:szCs w:val="24"/>
        </w:rPr>
      </w:pPr>
    </w:p>
    <w:p w14:paraId="77072381" w14:textId="77777777" w:rsidR="003163B4" w:rsidRPr="007E520D" w:rsidRDefault="003163B4" w:rsidP="003163B4">
      <w:pPr>
        <w:spacing w:before="100" w:beforeAutospacing="1" w:after="100" w:afterAutospacing="1" w:line="480" w:lineRule="auto"/>
        <w:jc w:val="both"/>
        <w:rPr>
          <w:rFonts w:ascii="Times New Roman" w:eastAsia="Times New Roman" w:hAnsi="Times New Roman" w:cs="Times New Roman"/>
          <w:sz w:val="24"/>
          <w:szCs w:val="24"/>
        </w:rPr>
      </w:pPr>
      <w:r w:rsidRPr="007E520D">
        <w:rPr>
          <w:rFonts w:ascii="Times New Roman" w:eastAsia="Times New Roman" w:hAnsi="Times New Roman" w:cs="Times New Roman"/>
          <w:b/>
          <w:bCs/>
          <w:sz w:val="24"/>
          <w:szCs w:val="24"/>
        </w:rPr>
        <w:lastRenderedPageBreak/>
        <w:t>4.1.2 Variable Classification and Reference Category Decisions</w:t>
      </w:r>
    </w:p>
    <w:p w14:paraId="67EA00D3" w14:textId="77777777" w:rsidR="003163B4" w:rsidRPr="007E520D" w:rsidRDefault="003163B4" w:rsidP="003163B4">
      <w:pPr>
        <w:spacing w:before="100" w:beforeAutospacing="1" w:after="100" w:afterAutospacing="1" w:line="480" w:lineRule="auto"/>
        <w:jc w:val="both"/>
        <w:rPr>
          <w:rFonts w:ascii="Times New Roman" w:eastAsia="Times New Roman" w:hAnsi="Times New Roman" w:cs="Times New Roman"/>
          <w:sz w:val="24"/>
          <w:szCs w:val="24"/>
        </w:rPr>
      </w:pPr>
      <w:r w:rsidRPr="007E520D">
        <w:rPr>
          <w:rFonts w:ascii="Times New Roman" w:eastAsia="Times New Roman" w:hAnsi="Times New Roman" w:cs="Times New Roman"/>
          <w:sz w:val="24"/>
          <w:szCs w:val="24"/>
        </w:rPr>
        <w:t>Prior to model fitting, all categorical variables were dummy-coded, and reference categories were explicitly designated based on epidemiological literature and frequency distribution to ensure stable and interpretable odds ratios. These decisions were finalized before any model was run and are documented in Table 4.1.</w:t>
      </w:r>
    </w:p>
    <w:p w14:paraId="172E8D53" w14:textId="77777777" w:rsidR="003163B4" w:rsidRPr="007E520D" w:rsidRDefault="003163B4" w:rsidP="003163B4">
      <w:pPr>
        <w:spacing w:before="100" w:beforeAutospacing="1" w:after="0" w:line="480" w:lineRule="auto"/>
        <w:jc w:val="both"/>
        <w:rPr>
          <w:rFonts w:ascii="Times New Roman" w:eastAsia="Times New Roman" w:hAnsi="Times New Roman" w:cs="Times New Roman"/>
          <w:sz w:val="24"/>
          <w:szCs w:val="24"/>
        </w:rPr>
      </w:pPr>
      <w:r w:rsidRPr="007E520D">
        <w:rPr>
          <w:rFonts w:ascii="Times New Roman" w:eastAsia="Times New Roman" w:hAnsi="Times New Roman" w:cs="Times New Roman"/>
          <w:b/>
          <w:bCs/>
          <w:sz w:val="24"/>
          <w:szCs w:val="24"/>
        </w:rPr>
        <w:t>Table 4.1: Variable Classification and Reference Category Designations</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853"/>
        <w:gridCol w:w="1666"/>
        <w:gridCol w:w="982"/>
        <w:gridCol w:w="1540"/>
        <w:gridCol w:w="4319"/>
      </w:tblGrid>
      <w:tr w:rsidR="003163B4" w:rsidRPr="007E520D" w14:paraId="4CD49195" w14:textId="77777777" w:rsidTr="00496CBB">
        <w:trPr>
          <w:tblHeader/>
          <w:tblCellSpacing w:w="15" w:type="dxa"/>
        </w:trPr>
        <w:tc>
          <w:tcPr>
            <w:tcW w:w="0" w:type="auto"/>
            <w:vAlign w:val="center"/>
            <w:hideMark/>
          </w:tcPr>
          <w:p w14:paraId="6FF0677D"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b/>
                <w:bCs/>
                <w:sz w:val="20"/>
                <w:szCs w:val="20"/>
              </w:rPr>
              <w:t>Domain</w:t>
            </w:r>
          </w:p>
        </w:tc>
        <w:tc>
          <w:tcPr>
            <w:tcW w:w="0" w:type="auto"/>
            <w:vAlign w:val="center"/>
            <w:hideMark/>
          </w:tcPr>
          <w:p w14:paraId="74BF2B68"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b/>
                <w:bCs/>
                <w:sz w:val="20"/>
                <w:szCs w:val="20"/>
              </w:rPr>
              <w:t>Variable</w:t>
            </w:r>
          </w:p>
        </w:tc>
        <w:tc>
          <w:tcPr>
            <w:tcW w:w="0" w:type="auto"/>
            <w:vAlign w:val="center"/>
            <w:hideMark/>
          </w:tcPr>
          <w:p w14:paraId="64F11E81"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b/>
                <w:bCs/>
                <w:sz w:val="20"/>
                <w:szCs w:val="20"/>
              </w:rPr>
              <w:t>Level</w:t>
            </w:r>
          </w:p>
        </w:tc>
        <w:tc>
          <w:tcPr>
            <w:tcW w:w="0" w:type="auto"/>
            <w:vAlign w:val="center"/>
            <w:hideMark/>
          </w:tcPr>
          <w:p w14:paraId="112C2018"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b/>
                <w:bCs/>
                <w:sz w:val="20"/>
                <w:szCs w:val="20"/>
              </w:rPr>
              <w:t>Reference Category</w:t>
            </w:r>
          </w:p>
        </w:tc>
        <w:tc>
          <w:tcPr>
            <w:tcW w:w="0" w:type="auto"/>
            <w:vAlign w:val="center"/>
            <w:hideMark/>
          </w:tcPr>
          <w:p w14:paraId="64D7FB67"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b/>
                <w:bCs/>
                <w:sz w:val="20"/>
                <w:szCs w:val="20"/>
              </w:rPr>
              <w:t>Justification</w:t>
            </w:r>
          </w:p>
        </w:tc>
      </w:tr>
      <w:tr w:rsidR="003163B4" w:rsidRPr="007E520D" w14:paraId="61F81AE5" w14:textId="77777777" w:rsidTr="00496CBB">
        <w:trPr>
          <w:tblCellSpacing w:w="15" w:type="dxa"/>
        </w:trPr>
        <w:tc>
          <w:tcPr>
            <w:tcW w:w="0" w:type="auto"/>
            <w:tcBorders>
              <w:top w:val="single" w:sz="4" w:space="0" w:color="auto"/>
            </w:tcBorders>
            <w:vAlign w:val="center"/>
            <w:hideMark/>
          </w:tcPr>
          <w:p w14:paraId="11E1E1F0"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b/>
                <w:bCs/>
                <w:sz w:val="20"/>
                <w:szCs w:val="20"/>
              </w:rPr>
              <w:t>Outcome</w:t>
            </w:r>
          </w:p>
        </w:tc>
        <w:tc>
          <w:tcPr>
            <w:tcW w:w="0" w:type="auto"/>
            <w:tcBorders>
              <w:top w:val="single" w:sz="4" w:space="0" w:color="auto"/>
            </w:tcBorders>
            <w:vAlign w:val="center"/>
            <w:hideMark/>
          </w:tcPr>
          <w:p w14:paraId="21A581BE"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Viral Load Suppression</w:t>
            </w:r>
          </w:p>
        </w:tc>
        <w:tc>
          <w:tcPr>
            <w:tcW w:w="0" w:type="auto"/>
            <w:tcBorders>
              <w:top w:val="single" w:sz="4" w:space="0" w:color="auto"/>
            </w:tcBorders>
            <w:vAlign w:val="center"/>
            <w:hideMark/>
          </w:tcPr>
          <w:p w14:paraId="656F096C"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Binary</w:t>
            </w:r>
          </w:p>
        </w:tc>
        <w:tc>
          <w:tcPr>
            <w:tcW w:w="0" w:type="auto"/>
            <w:tcBorders>
              <w:top w:val="single" w:sz="4" w:space="0" w:color="auto"/>
            </w:tcBorders>
            <w:vAlign w:val="center"/>
            <w:hideMark/>
          </w:tcPr>
          <w:p w14:paraId="6FC9654C"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0 (Unsuppressed)</w:t>
            </w:r>
          </w:p>
        </w:tc>
        <w:tc>
          <w:tcPr>
            <w:tcW w:w="0" w:type="auto"/>
            <w:tcBorders>
              <w:top w:val="single" w:sz="4" w:space="0" w:color="auto"/>
            </w:tcBorders>
            <w:vAlign w:val="center"/>
            <w:hideMark/>
          </w:tcPr>
          <w:p w14:paraId="1C40187C"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Standard baseline for logistic regression predicting suppression.</w:t>
            </w:r>
          </w:p>
        </w:tc>
      </w:tr>
      <w:tr w:rsidR="003163B4" w:rsidRPr="007E520D" w14:paraId="079E2BB4" w14:textId="77777777" w:rsidTr="00496CBB">
        <w:trPr>
          <w:tblCellSpacing w:w="15" w:type="dxa"/>
        </w:trPr>
        <w:tc>
          <w:tcPr>
            <w:tcW w:w="0" w:type="auto"/>
            <w:vAlign w:val="center"/>
            <w:hideMark/>
          </w:tcPr>
          <w:p w14:paraId="062CB8D5"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b/>
                <w:bCs/>
                <w:sz w:val="20"/>
                <w:szCs w:val="20"/>
              </w:rPr>
              <w:t>Level 1</w:t>
            </w:r>
          </w:p>
        </w:tc>
        <w:tc>
          <w:tcPr>
            <w:tcW w:w="0" w:type="auto"/>
            <w:vAlign w:val="center"/>
            <w:hideMark/>
          </w:tcPr>
          <w:p w14:paraId="7CBB7D98"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Age Group</w:t>
            </w:r>
          </w:p>
        </w:tc>
        <w:tc>
          <w:tcPr>
            <w:tcW w:w="0" w:type="auto"/>
            <w:vAlign w:val="center"/>
            <w:hideMark/>
          </w:tcPr>
          <w:p w14:paraId="3FCE3597"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Categorical</w:t>
            </w:r>
          </w:p>
        </w:tc>
        <w:tc>
          <w:tcPr>
            <w:tcW w:w="0" w:type="auto"/>
            <w:vAlign w:val="center"/>
            <w:hideMark/>
          </w:tcPr>
          <w:p w14:paraId="64EAC7FB"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45+ years</w:t>
            </w:r>
          </w:p>
        </w:tc>
        <w:tc>
          <w:tcPr>
            <w:tcW w:w="0" w:type="auto"/>
            <w:vAlign w:val="center"/>
            <w:hideMark/>
          </w:tcPr>
          <w:p w14:paraId="1E06D821"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Epidemiologically established as the demographic most likely to achieve suppression.</w:t>
            </w:r>
          </w:p>
        </w:tc>
      </w:tr>
      <w:tr w:rsidR="003163B4" w:rsidRPr="007E520D" w14:paraId="5E6E3636" w14:textId="77777777" w:rsidTr="00496CBB">
        <w:trPr>
          <w:tblCellSpacing w:w="15" w:type="dxa"/>
        </w:trPr>
        <w:tc>
          <w:tcPr>
            <w:tcW w:w="0" w:type="auto"/>
            <w:vAlign w:val="center"/>
            <w:hideMark/>
          </w:tcPr>
          <w:p w14:paraId="59FF5754"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b/>
                <w:bCs/>
                <w:sz w:val="20"/>
                <w:szCs w:val="20"/>
              </w:rPr>
              <w:t>Level 1</w:t>
            </w:r>
          </w:p>
        </w:tc>
        <w:tc>
          <w:tcPr>
            <w:tcW w:w="0" w:type="auto"/>
            <w:vAlign w:val="center"/>
            <w:hideMark/>
          </w:tcPr>
          <w:p w14:paraId="33C62189"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Sex</w:t>
            </w:r>
          </w:p>
        </w:tc>
        <w:tc>
          <w:tcPr>
            <w:tcW w:w="0" w:type="auto"/>
            <w:vAlign w:val="center"/>
            <w:hideMark/>
          </w:tcPr>
          <w:p w14:paraId="53014D73"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Binary</w:t>
            </w:r>
          </w:p>
        </w:tc>
        <w:tc>
          <w:tcPr>
            <w:tcW w:w="0" w:type="auto"/>
            <w:vAlign w:val="center"/>
            <w:hideMark/>
          </w:tcPr>
          <w:p w14:paraId="740515F5"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Male</w:t>
            </w:r>
          </w:p>
        </w:tc>
        <w:tc>
          <w:tcPr>
            <w:tcW w:w="0" w:type="auto"/>
            <w:vAlign w:val="center"/>
            <w:hideMark/>
          </w:tcPr>
          <w:p w14:paraId="02284867"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Establishes a baseline to evaluate documented vulnerabilities.</w:t>
            </w:r>
          </w:p>
        </w:tc>
      </w:tr>
      <w:tr w:rsidR="003163B4" w:rsidRPr="007E520D" w14:paraId="26EE8456" w14:textId="77777777" w:rsidTr="00496CBB">
        <w:trPr>
          <w:tblCellSpacing w:w="15" w:type="dxa"/>
        </w:trPr>
        <w:tc>
          <w:tcPr>
            <w:tcW w:w="0" w:type="auto"/>
            <w:vAlign w:val="center"/>
            <w:hideMark/>
          </w:tcPr>
          <w:p w14:paraId="4522A88F"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b/>
                <w:bCs/>
                <w:sz w:val="20"/>
                <w:szCs w:val="20"/>
              </w:rPr>
              <w:t>Level 1</w:t>
            </w:r>
          </w:p>
        </w:tc>
        <w:tc>
          <w:tcPr>
            <w:tcW w:w="0" w:type="auto"/>
            <w:vAlign w:val="center"/>
            <w:hideMark/>
          </w:tcPr>
          <w:p w14:paraId="5DA958DA"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Marital Status</w:t>
            </w:r>
          </w:p>
        </w:tc>
        <w:tc>
          <w:tcPr>
            <w:tcW w:w="0" w:type="auto"/>
            <w:vAlign w:val="center"/>
            <w:hideMark/>
          </w:tcPr>
          <w:p w14:paraId="44C29A68"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Categorical</w:t>
            </w:r>
          </w:p>
        </w:tc>
        <w:tc>
          <w:tcPr>
            <w:tcW w:w="0" w:type="auto"/>
            <w:vAlign w:val="center"/>
            <w:hideMark/>
          </w:tcPr>
          <w:p w14:paraId="78AA613E"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Married</w:t>
            </w:r>
          </w:p>
        </w:tc>
        <w:tc>
          <w:tcPr>
            <w:tcW w:w="0" w:type="auto"/>
            <w:vAlign w:val="center"/>
            <w:hideMark/>
          </w:tcPr>
          <w:p w14:paraId="3B618315"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Most frequent category; theoretically protective social structure.</w:t>
            </w:r>
          </w:p>
        </w:tc>
      </w:tr>
      <w:tr w:rsidR="003163B4" w:rsidRPr="007E520D" w14:paraId="461B9496" w14:textId="77777777" w:rsidTr="00496CBB">
        <w:trPr>
          <w:tblCellSpacing w:w="15" w:type="dxa"/>
        </w:trPr>
        <w:tc>
          <w:tcPr>
            <w:tcW w:w="0" w:type="auto"/>
            <w:vAlign w:val="center"/>
            <w:hideMark/>
          </w:tcPr>
          <w:p w14:paraId="2757AA90"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b/>
                <w:bCs/>
                <w:sz w:val="20"/>
                <w:szCs w:val="20"/>
              </w:rPr>
              <w:t>Level 1</w:t>
            </w:r>
          </w:p>
        </w:tc>
        <w:tc>
          <w:tcPr>
            <w:tcW w:w="0" w:type="auto"/>
            <w:vAlign w:val="center"/>
            <w:hideMark/>
          </w:tcPr>
          <w:p w14:paraId="69372F8D"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Educational Attainment</w:t>
            </w:r>
          </w:p>
        </w:tc>
        <w:tc>
          <w:tcPr>
            <w:tcW w:w="0" w:type="auto"/>
            <w:vAlign w:val="center"/>
            <w:hideMark/>
          </w:tcPr>
          <w:p w14:paraId="05281AE1"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Categorical</w:t>
            </w:r>
          </w:p>
        </w:tc>
        <w:tc>
          <w:tcPr>
            <w:tcW w:w="0" w:type="auto"/>
            <w:vAlign w:val="center"/>
            <w:hideMark/>
          </w:tcPr>
          <w:p w14:paraId="6E9BD75E"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No formal education</w:t>
            </w:r>
          </w:p>
        </w:tc>
        <w:tc>
          <w:tcPr>
            <w:tcW w:w="0" w:type="auto"/>
            <w:vAlign w:val="center"/>
            <w:hideMark/>
          </w:tcPr>
          <w:p w14:paraId="6BA222BD"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Policy-relevant baseline; progressive ORs show the benefit of education.</w:t>
            </w:r>
          </w:p>
        </w:tc>
      </w:tr>
      <w:tr w:rsidR="003163B4" w:rsidRPr="007E520D" w14:paraId="6DEE8AB0" w14:textId="77777777" w:rsidTr="00496CBB">
        <w:trPr>
          <w:tblCellSpacing w:w="15" w:type="dxa"/>
        </w:trPr>
        <w:tc>
          <w:tcPr>
            <w:tcW w:w="0" w:type="auto"/>
            <w:vAlign w:val="center"/>
            <w:hideMark/>
          </w:tcPr>
          <w:p w14:paraId="2B2015EF"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b/>
                <w:bCs/>
                <w:sz w:val="20"/>
                <w:szCs w:val="20"/>
              </w:rPr>
              <w:t>Level 1</w:t>
            </w:r>
          </w:p>
        </w:tc>
        <w:tc>
          <w:tcPr>
            <w:tcW w:w="0" w:type="auto"/>
            <w:vAlign w:val="center"/>
            <w:hideMark/>
          </w:tcPr>
          <w:p w14:paraId="08F64AB1"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Employment Status</w:t>
            </w:r>
          </w:p>
        </w:tc>
        <w:tc>
          <w:tcPr>
            <w:tcW w:w="0" w:type="auto"/>
            <w:vAlign w:val="center"/>
            <w:hideMark/>
          </w:tcPr>
          <w:p w14:paraId="6B9C2C1C"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Binary</w:t>
            </w:r>
          </w:p>
        </w:tc>
        <w:tc>
          <w:tcPr>
            <w:tcW w:w="0" w:type="auto"/>
            <w:vAlign w:val="center"/>
            <w:hideMark/>
          </w:tcPr>
          <w:p w14:paraId="615516C5"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Employed</w:t>
            </w:r>
          </w:p>
        </w:tc>
        <w:tc>
          <w:tcPr>
            <w:tcW w:w="0" w:type="auto"/>
            <w:vAlign w:val="center"/>
            <w:hideMark/>
          </w:tcPr>
          <w:p w14:paraId="1857734A"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Baseline for evaluating the impact of employment on adherence capacity.</w:t>
            </w:r>
          </w:p>
        </w:tc>
      </w:tr>
      <w:tr w:rsidR="003163B4" w:rsidRPr="007E520D" w14:paraId="52BC5421" w14:textId="77777777" w:rsidTr="00496CBB">
        <w:trPr>
          <w:tblCellSpacing w:w="15" w:type="dxa"/>
        </w:trPr>
        <w:tc>
          <w:tcPr>
            <w:tcW w:w="0" w:type="auto"/>
            <w:vAlign w:val="center"/>
            <w:hideMark/>
          </w:tcPr>
          <w:p w14:paraId="734B739A"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b/>
                <w:bCs/>
                <w:sz w:val="20"/>
                <w:szCs w:val="20"/>
              </w:rPr>
              <w:t>Level 1</w:t>
            </w:r>
          </w:p>
        </w:tc>
        <w:tc>
          <w:tcPr>
            <w:tcW w:w="0" w:type="auto"/>
            <w:vAlign w:val="center"/>
            <w:hideMark/>
          </w:tcPr>
          <w:p w14:paraId="309EC9EA"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WHO Clinical Stage</w:t>
            </w:r>
          </w:p>
        </w:tc>
        <w:tc>
          <w:tcPr>
            <w:tcW w:w="0" w:type="auto"/>
            <w:vAlign w:val="center"/>
            <w:hideMark/>
          </w:tcPr>
          <w:p w14:paraId="56B4F04C"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Categorical</w:t>
            </w:r>
          </w:p>
        </w:tc>
        <w:tc>
          <w:tcPr>
            <w:tcW w:w="0" w:type="auto"/>
            <w:vAlign w:val="center"/>
            <w:hideMark/>
          </w:tcPr>
          <w:p w14:paraId="767368BA"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Stage I</w:t>
            </w:r>
          </w:p>
        </w:tc>
        <w:tc>
          <w:tcPr>
            <w:tcW w:w="0" w:type="auto"/>
            <w:vAlign w:val="center"/>
            <w:hideMark/>
          </w:tcPr>
          <w:p w14:paraId="44858E99"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Asymptomatic baseline at ART initiation.</w:t>
            </w:r>
          </w:p>
        </w:tc>
      </w:tr>
      <w:tr w:rsidR="003163B4" w:rsidRPr="007E520D" w14:paraId="472ED4A4" w14:textId="77777777" w:rsidTr="00496CBB">
        <w:trPr>
          <w:tblCellSpacing w:w="15" w:type="dxa"/>
        </w:trPr>
        <w:tc>
          <w:tcPr>
            <w:tcW w:w="0" w:type="auto"/>
            <w:vAlign w:val="center"/>
            <w:hideMark/>
          </w:tcPr>
          <w:p w14:paraId="1DF459F2"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b/>
                <w:bCs/>
                <w:sz w:val="20"/>
                <w:szCs w:val="20"/>
              </w:rPr>
              <w:t>Level 1</w:t>
            </w:r>
          </w:p>
        </w:tc>
        <w:tc>
          <w:tcPr>
            <w:tcW w:w="0" w:type="auto"/>
            <w:vAlign w:val="center"/>
            <w:hideMark/>
          </w:tcPr>
          <w:p w14:paraId="422B583B"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ART Regimen Type</w:t>
            </w:r>
          </w:p>
        </w:tc>
        <w:tc>
          <w:tcPr>
            <w:tcW w:w="0" w:type="auto"/>
            <w:vAlign w:val="center"/>
            <w:hideMark/>
          </w:tcPr>
          <w:p w14:paraId="13E49592"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Binary</w:t>
            </w:r>
          </w:p>
        </w:tc>
        <w:tc>
          <w:tcPr>
            <w:tcW w:w="0" w:type="auto"/>
            <w:vAlign w:val="center"/>
            <w:hideMark/>
          </w:tcPr>
          <w:p w14:paraId="434AB61D"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DTG-based</w:t>
            </w:r>
          </w:p>
        </w:tc>
        <w:tc>
          <w:tcPr>
            <w:tcW w:w="0" w:type="auto"/>
            <w:vAlign w:val="center"/>
            <w:hideMark/>
          </w:tcPr>
          <w:p w14:paraId="24395998"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Current programmatic gold standard for first-line therapy.</w:t>
            </w:r>
          </w:p>
        </w:tc>
      </w:tr>
      <w:tr w:rsidR="003163B4" w:rsidRPr="007E520D" w14:paraId="22F97AD3" w14:textId="77777777" w:rsidTr="00496CBB">
        <w:trPr>
          <w:tblCellSpacing w:w="15" w:type="dxa"/>
        </w:trPr>
        <w:tc>
          <w:tcPr>
            <w:tcW w:w="0" w:type="auto"/>
            <w:vAlign w:val="center"/>
            <w:hideMark/>
          </w:tcPr>
          <w:p w14:paraId="6AA068CC"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b/>
                <w:bCs/>
                <w:sz w:val="20"/>
                <w:szCs w:val="20"/>
              </w:rPr>
              <w:t>Level 1</w:t>
            </w:r>
          </w:p>
        </w:tc>
        <w:tc>
          <w:tcPr>
            <w:tcW w:w="0" w:type="auto"/>
            <w:vAlign w:val="center"/>
            <w:hideMark/>
          </w:tcPr>
          <w:p w14:paraId="26E1566B"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Duration on ART</w:t>
            </w:r>
          </w:p>
        </w:tc>
        <w:tc>
          <w:tcPr>
            <w:tcW w:w="0" w:type="auto"/>
            <w:vAlign w:val="center"/>
            <w:hideMark/>
          </w:tcPr>
          <w:p w14:paraId="2DBD0776"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Categorical</w:t>
            </w:r>
          </w:p>
        </w:tc>
        <w:tc>
          <w:tcPr>
            <w:tcW w:w="0" w:type="auto"/>
            <w:vAlign w:val="center"/>
            <w:hideMark/>
          </w:tcPr>
          <w:p w14:paraId="47D4035F"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1–2 years</w:t>
            </w:r>
          </w:p>
        </w:tc>
        <w:tc>
          <w:tcPr>
            <w:tcW w:w="0" w:type="auto"/>
            <w:vAlign w:val="center"/>
            <w:hideMark/>
          </w:tcPr>
          <w:p w14:paraId="2B92349F"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Shortest duration; allows detection of the treatment duration effect.</w:t>
            </w:r>
          </w:p>
        </w:tc>
      </w:tr>
      <w:tr w:rsidR="003163B4" w:rsidRPr="007E520D" w14:paraId="10DD3155" w14:textId="77777777" w:rsidTr="00496CBB">
        <w:trPr>
          <w:tblCellSpacing w:w="15" w:type="dxa"/>
        </w:trPr>
        <w:tc>
          <w:tcPr>
            <w:tcW w:w="0" w:type="auto"/>
            <w:vAlign w:val="center"/>
            <w:hideMark/>
          </w:tcPr>
          <w:p w14:paraId="57E9B9EE"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b/>
                <w:bCs/>
                <w:sz w:val="20"/>
                <w:szCs w:val="20"/>
              </w:rPr>
              <w:t>Level 1</w:t>
            </w:r>
          </w:p>
        </w:tc>
        <w:tc>
          <w:tcPr>
            <w:tcW w:w="0" w:type="auto"/>
            <w:vAlign w:val="center"/>
            <w:hideMark/>
          </w:tcPr>
          <w:p w14:paraId="3C8ED207"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MMD Category</w:t>
            </w:r>
          </w:p>
        </w:tc>
        <w:tc>
          <w:tcPr>
            <w:tcW w:w="0" w:type="auto"/>
            <w:vAlign w:val="center"/>
            <w:hideMark/>
          </w:tcPr>
          <w:p w14:paraId="4E1C25F7"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Categorical</w:t>
            </w:r>
          </w:p>
        </w:tc>
        <w:tc>
          <w:tcPr>
            <w:tcW w:w="0" w:type="auto"/>
            <w:vAlign w:val="center"/>
            <w:hideMark/>
          </w:tcPr>
          <w:p w14:paraId="28E96340"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MMD 3 months</w:t>
            </w:r>
          </w:p>
        </w:tc>
        <w:tc>
          <w:tcPr>
            <w:tcW w:w="0" w:type="auto"/>
            <w:vAlign w:val="center"/>
            <w:hideMark/>
          </w:tcPr>
          <w:p w14:paraId="1C916505"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Less intensive dispensing interval; allows detection of MMD 6 benefit.</w:t>
            </w:r>
          </w:p>
        </w:tc>
      </w:tr>
      <w:tr w:rsidR="003163B4" w:rsidRPr="007E520D" w14:paraId="45FA1E72" w14:textId="77777777" w:rsidTr="00496CBB">
        <w:trPr>
          <w:tblCellSpacing w:w="15" w:type="dxa"/>
        </w:trPr>
        <w:tc>
          <w:tcPr>
            <w:tcW w:w="0" w:type="auto"/>
            <w:vAlign w:val="center"/>
            <w:hideMark/>
          </w:tcPr>
          <w:p w14:paraId="10BA4C6B"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b/>
                <w:bCs/>
                <w:sz w:val="20"/>
                <w:szCs w:val="20"/>
              </w:rPr>
              <w:t>Level 1</w:t>
            </w:r>
          </w:p>
        </w:tc>
        <w:tc>
          <w:tcPr>
            <w:tcW w:w="0" w:type="auto"/>
            <w:vAlign w:val="center"/>
            <w:hideMark/>
          </w:tcPr>
          <w:p w14:paraId="561263BC"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DSD Model</w:t>
            </w:r>
          </w:p>
        </w:tc>
        <w:tc>
          <w:tcPr>
            <w:tcW w:w="0" w:type="auto"/>
            <w:vAlign w:val="center"/>
            <w:hideMark/>
          </w:tcPr>
          <w:p w14:paraId="1A890C59"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Binary</w:t>
            </w:r>
          </w:p>
        </w:tc>
        <w:tc>
          <w:tcPr>
            <w:tcW w:w="0" w:type="auto"/>
            <w:vAlign w:val="center"/>
            <w:hideMark/>
          </w:tcPr>
          <w:p w14:paraId="16AB7F23"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Facility Dispensing</w:t>
            </w:r>
          </w:p>
        </w:tc>
        <w:tc>
          <w:tcPr>
            <w:tcW w:w="0" w:type="auto"/>
            <w:vAlign w:val="center"/>
            <w:hideMark/>
          </w:tcPr>
          <w:p w14:paraId="4C391C29"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The dominant and standard mode of drug distribution.</w:t>
            </w:r>
          </w:p>
        </w:tc>
      </w:tr>
      <w:tr w:rsidR="003163B4" w:rsidRPr="007E520D" w14:paraId="6E5ADB6C" w14:textId="77777777" w:rsidTr="00496CBB">
        <w:trPr>
          <w:tblCellSpacing w:w="15" w:type="dxa"/>
        </w:trPr>
        <w:tc>
          <w:tcPr>
            <w:tcW w:w="0" w:type="auto"/>
            <w:vAlign w:val="center"/>
            <w:hideMark/>
          </w:tcPr>
          <w:p w14:paraId="276ED52E"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b/>
                <w:bCs/>
                <w:sz w:val="20"/>
                <w:szCs w:val="20"/>
              </w:rPr>
              <w:t>Level 1</w:t>
            </w:r>
          </w:p>
        </w:tc>
        <w:tc>
          <w:tcPr>
            <w:tcW w:w="0" w:type="auto"/>
            <w:vAlign w:val="center"/>
            <w:hideMark/>
          </w:tcPr>
          <w:p w14:paraId="61F5106A"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Baseline Viral Load Status</w:t>
            </w:r>
          </w:p>
        </w:tc>
        <w:tc>
          <w:tcPr>
            <w:tcW w:w="0" w:type="auto"/>
            <w:vAlign w:val="center"/>
            <w:hideMark/>
          </w:tcPr>
          <w:p w14:paraId="11839005"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Binary</w:t>
            </w:r>
          </w:p>
        </w:tc>
        <w:tc>
          <w:tcPr>
            <w:tcW w:w="0" w:type="auto"/>
            <w:vAlign w:val="center"/>
            <w:hideMark/>
          </w:tcPr>
          <w:p w14:paraId="7F38DDAA"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Suppressed</w:t>
            </w:r>
          </w:p>
        </w:tc>
        <w:tc>
          <w:tcPr>
            <w:tcW w:w="0" w:type="auto"/>
            <w:vAlign w:val="center"/>
            <w:hideMark/>
          </w:tcPr>
          <w:p w14:paraId="439CB865"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Clinically established protective baseline for treatment trajectory.</w:t>
            </w:r>
          </w:p>
        </w:tc>
      </w:tr>
      <w:tr w:rsidR="003163B4" w:rsidRPr="007E520D" w14:paraId="52BF0679" w14:textId="77777777" w:rsidTr="00496CBB">
        <w:trPr>
          <w:tblCellSpacing w:w="15" w:type="dxa"/>
        </w:trPr>
        <w:tc>
          <w:tcPr>
            <w:tcW w:w="0" w:type="auto"/>
            <w:vAlign w:val="center"/>
            <w:hideMark/>
          </w:tcPr>
          <w:p w14:paraId="2EA0AB2E"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b/>
                <w:bCs/>
                <w:sz w:val="20"/>
                <w:szCs w:val="20"/>
              </w:rPr>
              <w:t>Level 2</w:t>
            </w:r>
          </w:p>
        </w:tc>
        <w:tc>
          <w:tcPr>
            <w:tcW w:w="0" w:type="auto"/>
            <w:vAlign w:val="center"/>
            <w:hideMark/>
          </w:tcPr>
          <w:p w14:paraId="64D3E1BE"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Facility Location</w:t>
            </w:r>
          </w:p>
        </w:tc>
        <w:tc>
          <w:tcPr>
            <w:tcW w:w="0" w:type="auto"/>
            <w:vAlign w:val="center"/>
            <w:hideMark/>
          </w:tcPr>
          <w:p w14:paraId="2F8834A7"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Binary</w:t>
            </w:r>
          </w:p>
        </w:tc>
        <w:tc>
          <w:tcPr>
            <w:tcW w:w="0" w:type="auto"/>
            <w:vAlign w:val="center"/>
            <w:hideMark/>
          </w:tcPr>
          <w:p w14:paraId="1758C376"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Urban</w:t>
            </w:r>
          </w:p>
        </w:tc>
        <w:tc>
          <w:tcPr>
            <w:tcW w:w="0" w:type="auto"/>
            <w:vAlign w:val="center"/>
            <w:hideMark/>
          </w:tcPr>
          <w:p w14:paraId="434F42B6"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Expected superior laboratory and logistical access.</w:t>
            </w:r>
          </w:p>
        </w:tc>
      </w:tr>
      <w:tr w:rsidR="003163B4" w:rsidRPr="007E520D" w14:paraId="3CC97903" w14:textId="77777777" w:rsidTr="00496CBB">
        <w:trPr>
          <w:tblCellSpacing w:w="15" w:type="dxa"/>
        </w:trPr>
        <w:tc>
          <w:tcPr>
            <w:tcW w:w="0" w:type="auto"/>
            <w:vAlign w:val="center"/>
            <w:hideMark/>
          </w:tcPr>
          <w:p w14:paraId="05683F4E"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b/>
                <w:bCs/>
                <w:sz w:val="20"/>
                <w:szCs w:val="20"/>
              </w:rPr>
              <w:t>Level 2</w:t>
            </w:r>
          </w:p>
        </w:tc>
        <w:tc>
          <w:tcPr>
            <w:tcW w:w="0" w:type="auto"/>
            <w:vAlign w:val="center"/>
            <w:hideMark/>
          </w:tcPr>
          <w:p w14:paraId="0B5143AB"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Facility Ownership</w:t>
            </w:r>
          </w:p>
        </w:tc>
        <w:tc>
          <w:tcPr>
            <w:tcW w:w="0" w:type="auto"/>
            <w:vAlign w:val="center"/>
            <w:hideMark/>
          </w:tcPr>
          <w:p w14:paraId="479DB0AA"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Binary</w:t>
            </w:r>
          </w:p>
        </w:tc>
        <w:tc>
          <w:tcPr>
            <w:tcW w:w="0" w:type="auto"/>
            <w:vAlign w:val="center"/>
            <w:hideMark/>
          </w:tcPr>
          <w:p w14:paraId="078F56C8"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Public</w:t>
            </w:r>
          </w:p>
        </w:tc>
        <w:tc>
          <w:tcPr>
            <w:tcW w:w="0" w:type="auto"/>
            <w:vAlign w:val="center"/>
            <w:hideMark/>
          </w:tcPr>
          <w:p w14:paraId="2100F526"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Standard government-funded service delivery baseline.</w:t>
            </w:r>
          </w:p>
        </w:tc>
      </w:tr>
      <w:tr w:rsidR="003163B4" w:rsidRPr="007E520D" w14:paraId="74442BE3" w14:textId="77777777" w:rsidTr="00496CBB">
        <w:trPr>
          <w:tblCellSpacing w:w="15" w:type="dxa"/>
        </w:trPr>
        <w:tc>
          <w:tcPr>
            <w:tcW w:w="0" w:type="auto"/>
            <w:vAlign w:val="center"/>
            <w:hideMark/>
          </w:tcPr>
          <w:p w14:paraId="18344980"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b/>
                <w:bCs/>
                <w:sz w:val="20"/>
                <w:szCs w:val="20"/>
              </w:rPr>
              <w:t>Level 2</w:t>
            </w:r>
          </w:p>
        </w:tc>
        <w:tc>
          <w:tcPr>
            <w:tcW w:w="0" w:type="auto"/>
            <w:vAlign w:val="center"/>
            <w:hideMark/>
          </w:tcPr>
          <w:p w14:paraId="28F46C13"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Facility Tier</w:t>
            </w:r>
          </w:p>
        </w:tc>
        <w:tc>
          <w:tcPr>
            <w:tcW w:w="0" w:type="auto"/>
            <w:vAlign w:val="center"/>
            <w:hideMark/>
          </w:tcPr>
          <w:p w14:paraId="43E2CDB3"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Binary</w:t>
            </w:r>
          </w:p>
        </w:tc>
        <w:tc>
          <w:tcPr>
            <w:tcW w:w="0" w:type="auto"/>
            <w:vAlign w:val="center"/>
            <w:hideMark/>
          </w:tcPr>
          <w:p w14:paraId="6EFA19BA"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Non-tertiary</w:t>
            </w:r>
          </w:p>
        </w:tc>
        <w:tc>
          <w:tcPr>
            <w:tcW w:w="0" w:type="auto"/>
            <w:vAlign w:val="center"/>
            <w:hideMark/>
          </w:tcPr>
          <w:p w14:paraId="0BB9DC46" w14:textId="77777777" w:rsidR="003163B4" w:rsidRPr="007E520D" w:rsidRDefault="003163B4" w:rsidP="00496CBB">
            <w:pPr>
              <w:spacing w:after="0" w:line="240" w:lineRule="auto"/>
              <w:jc w:val="both"/>
              <w:rPr>
                <w:rFonts w:ascii="Times New Roman" w:eastAsia="Times New Roman" w:hAnsi="Times New Roman" w:cs="Times New Roman"/>
                <w:sz w:val="20"/>
                <w:szCs w:val="20"/>
              </w:rPr>
            </w:pPr>
            <w:r w:rsidRPr="007E520D">
              <w:rPr>
                <w:rFonts w:ascii="Times New Roman" w:eastAsia="Times New Roman" w:hAnsi="Times New Roman" w:cs="Times New Roman"/>
                <w:sz w:val="20"/>
                <w:szCs w:val="20"/>
              </w:rPr>
              <w:t>Merged reference category following sparse cell management.</w:t>
            </w:r>
          </w:p>
        </w:tc>
      </w:tr>
    </w:tbl>
    <w:p w14:paraId="7654A816" w14:textId="77777777" w:rsidR="003163B4" w:rsidRPr="00450BB4" w:rsidRDefault="003163B4" w:rsidP="003163B4">
      <w:pPr>
        <w:spacing w:after="100" w:afterAutospacing="1" w:line="480" w:lineRule="auto"/>
        <w:jc w:val="both"/>
        <w:rPr>
          <w:rFonts w:ascii="Times New Roman" w:eastAsia="Times New Roman" w:hAnsi="Times New Roman" w:cs="Times New Roman"/>
          <w:bCs/>
          <w:sz w:val="24"/>
          <w:szCs w:val="24"/>
        </w:rPr>
      </w:pPr>
      <w:r w:rsidRPr="00450BB4">
        <w:rPr>
          <w:rFonts w:ascii="Times New Roman" w:eastAsia="Times New Roman" w:hAnsi="Times New Roman" w:cs="Times New Roman"/>
          <w:b/>
          <w:bCs/>
          <w:sz w:val="24"/>
          <w:szCs w:val="24"/>
        </w:rPr>
        <w:t xml:space="preserve">Source: </w:t>
      </w:r>
      <w:r w:rsidRPr="00450BB4">
        <w:rPr>
          <w:rFonts w:ascii="Times New Roman" w:eastAsia="Times New Roman" w:hAnsi="Times New Roman" w:cs="Times New Roman"/>
          <w:bCs/>
          <w:sz w:val="24"/>
          <w:szCs w:val="24"/>
        </w:rPr>
        <w:t>Researcher’s Analytical Design (2026)</w:t>
      </w:r>
    </w:p>
    <w:p w14:paraId="28C14150" w14:textId="77777777" w:rsidR="003163B4" w:rsidRPr="007E520D" w:rsidRDefault="003163B4" w:rsidP="003163B4">
      <w:pPr>
        <w:spacing w:before="100" w:beforeAutospacing="1" w:after="100" w:afterAutospacing="1" w:line="480" w:lineRule="auto"/>
        <w:jc w:val="both"/>
        <w:rPr>
          <w:rFonts w:ascii="Times New Roman" w:eastAsia="Times New Roman" w:hAnsi="Times New Roman" w:cs="Times New Roman"/>
          <w:sz w:val="24"/>
          <w:szCs w:val="24"/>
        </w:rPr>
      </w:pPr>
      <w:r w:rsidRPr="007E520D">
        <w:rPr>
          <w:rFonts w:ascii="Times New Roman" w:eastAsia="Times New Roman" w:hAnsi="Times New Roman" w:cs="Times New Roman"/>
          <w:b/>
          <w:bCs/>
          <w:sz w:val="24"/>
          <w:szCs w:val="24"/>
        </w:rPr>
        <w:lastRenderedPageBreak/>
        <w:t>4.1.3 Handling of Sparse Cells and Category Merging</w:t>
      </w:r>
    </w:p>
    <w:p w14:paraId="18F37481" w14:textId="77777777" w:rsidR="003163B4" w:rsidRPr="007E520D" w:rsidRDefault="003163B4" w:rsidP="003163B4">
      <w:pPr>
        <w:spacing w:before="100" w:beforeAutospacing="1" w:after="100" w:afterAutospacing="1" w:line="480" w:lineRule="auto"/>
        <w:jc w:val="both"/>
        <w:rPr>
          <w:rFonts w:ascii="Times New Roman" w:eastAsia="Times New Roman" w:hAnsi="Times New Roman" w:cs="Times New Roman"/>
          <w:sz w:val="24"/>
          <w:szCs w:val="24"/>
        </w:rPr>
      </w:pPr>
      <w:r w:rsidRPr="007E520D">
        <w:rPr>
          <w:rFonts w:ascii="Times New Roman" w:eastAsia="Times New Roman" w:hAnsi="Times New Roman" w:cs="Times New Roman"/>
          <w:sz w:val="24"/>
          <w:szCs w:val="24"/>
        </w:rPr>
        <w:t>Prior to model fitting and independently of any model output, three categorical variables were identified as having sparse cell counts within the unsuppressed outcome category. Sparse cells produce unstable standard error estimates and risk model non-convergence in logistic regression. Affected categories were systematically merged in accordance with transparent observational research reporting standards (von Elm et al., 2007).</w:t>
      </w:r>
    </w:p>
    <w:p w14:paraId="4EC9358E" w14:textId="77777777" w:rsidR="003163B4" w:rsidRPr="00450BB4" w:rsidRDefault="003163B4" w:rsidP="003163B4">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sidRPr="00450BB4">
        <w:rPr>
          <w:rFonts w:ascii="Times New Roman" w:eastAsia="Times New Roman" w:hAnsi="Times New Roman" w:cs="Times New Roman"/>
          <w:sz w:val="24"/>
          <w:szCs w:val="24"/>
        </w:rPr>
        <w:t>WHO Clinical Stage IV contained only 17 total observations, none of whom were unsuppressed. This constitutes complete separation on the logistic scale. Sta</w:t>
      </w:r>
      <w:r>
        <w:rPr>
          <w:rFonts w:ascii="Times New Roman" w:eastAsia="Times New Roman" w:hAnsi="Times New Roman" w:cs="Times New Roman"/>
          <w:sz w:val="24"/>
          <w:szCs w:val="24"/>
        </w:rPr>
        <w:t xml:space="preserve">ge IV was merged with Stage III </w:t>
      </w:r>
      <w:r w:rsidRPr="00450BB4">
        <w:rPr>
          <w:rFonts w:ascii="Times New Roman" w:eastAsia="Times New Roman" w:hAnsi="Times New Roman" w:cs="Times New Roman"/>
          <w:sz w:val="24"/>
          <w:szCs w:val="24"/>
        </w:rPr>
        <w:t>which contained 184 observations and 16 unsuppressed cases</w:t>
      </w:r>
      <w:r>
        <w:rPr>
          <w:rFonts w:ascii="Times New Roman" w:eastAsia="Times New Roman" w:hAnsi="Times New Roman" w:cs="Times New Roman"/>
          <w:sz w:val="24"/>
          <w:szCs w:val="24"/>
        </w:rPr>
        <w:t xml:space="preserve"> </w:t>
      </w:r>
      <w:r w:rsidRPr="00450BB4">
        <w:rPr>
          <w:rFonts w:ascii="Times New Roman" w:eastAsia="Times New Roman" w:hAnsi="Times New Roman" w:cs="Times New Roman"/>
          <w:sz w:val="24"/>
          <w:szCs w:val="24"/>
        </w:rPr>
        <w:t>to form a unified "Advanced Stage (III/IV)" category.</w:t>
      </w:r>
    </w:p>
    <w:p w14:paraId="1818675F" w14:textId="77777777" w:rsidR="003163B4" w:rsidRPr="00450BB4" w:rsidRDefault="003163B4" w:rsidP="003163B4">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sidRPr="00450BB4">
        <w:rPr>
          <w:rFonts w:ascii="Times New Roman" w:eastAsia="Times New Roman" w:hAnsi="Times New Roman" w:cs="Times New Roman"/>
          <w:sz w:val="24"/>
          <w:szCs w:val="24"/>
        </w:rPr>
        <w:t>Primary care facilities accounted for only 105 total patient records with 3 unsuppressed cases. This tier was merged with Secondary facilities to form a unified "Non-tertiary" reference category. Tertiary facilities, with 1,467 patients and 84 unsuppressed cases, were retained as the comparator.</w:t>
      </w:r>
    </w:p>
    <w:p w14:paraId="7B4278BB" w14:textId="77777777" w:rsidR="003163B4" w:rsidRPr="00450BB4" w:rsidRDefault="003163B4" w:rsidP="003163B4">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sidRPr="00450BB4">
        <w:rPr>
          <w:rFonts w:ascii="Times New Roman" w:eastAsia="Times New Roman" w:hAnsi="Times New Roman" w:cs="Times New Roman"/>
          <w:sz w:val="24"/>
          <w:szCs w:val="24"/>
        </w:rPr>
        <w:t>Private facilities contained only 140 total records with 8 unsuppressed cases. This ownership type was merged with Faith-based facilities to form a unified "Non-public" comparator. Public facilities were retained as the reference.</w:t>
      </w:r>
    </w:p>
    <w:p w14:paraId="401E9A3D" w14:textId="77777777" w:rsidR="003163B4" w:rsidRPr="007E520D" w:rsidRDefault="003163B4" w:rsidP="003163B4">
      <w:pPr>
        <w:spacing w:before="100" w:beforeAutospacing="1" w:after="100" w:afterAutospacing="1" w:line="480" w:lineRule="auto"/>
        <w:jc w:val="both"/>
        <w:rPr>
          <w:rFonts w:ascii="Times New Roman" w:eastAsia="Times New Roman" w:hAnsi="Times New Roman" w:cs="Times New Roman"/>
          <w:sz w:val="24"/>
          <w:szCs w:val="24"/>
        </w:rPr>
      </w:pPr>
      <w:r w:rsidRPr="007E520D">
        <w:rPr>
          <w:rFonts w:ascii="Times New Roman" w:eastAsia="Times New Roman" w:hAnsi="Times New Roman" w:cs="Times New Roman"/>
          <w:sz w:val="24"/>
          <w:szCs w:val="24"/>
        </w:rPr>
        <w:t>Crucially, all three merging decisions were finalized before any statistical models were fitted and before any model output was examined.</w:t>
      </w:r>
    </w:p>
    <w:p w14:paraId="710FFD2F" w14:textId="77777777" w:rsidR="00474032" w:rsidRDefault="00474032" w:rsidP="00474032">
      <w:pPr>
        <w:spacing w:before="100" w:beforeAutospacing="1" w:after="100" w:afterAutospacing="1" w:line="360" w:lineRule="auto"/>
        <w:jc w:val="both"/>
        <w:rPr>
          <w:rFonts w:ascii="Times New Roman" w:eastAsia="Times New Roman" w:hAnsi="Times New Roman" w:cs="Times New Roman"/>
          <w:b/>
          <w:bCs/>
          <w:sz w:val="24"/>
          <w:szCs w:val="24"/>
        </w:rPr>
      </w:pPr>
    </w:p>
    <w:p w14:paraId="0D70EAEA" w14:textId="77777777" w:rsidR="00474032" w:rsidRDefault="00474032" w:rsidP="00474032">
      <w:pPr>
        <w:spacing w:before="100" w:beforeAutospacing="1" w:after="100" w:afterAutospacing="1" w:line="360" w:lineRule="auto"/>
        <w:jc w:val="both"/>
        <w:rPr>
          <w:rFonts w:ascii="Times New Roman" w:eastAsia="Times New Roman" w:hAnsi="Times New Roman" w:cs="Times New Roman"/>
          <w:b/>
          <w:bCs/>
          <w:sz w:val="24"/>
          <w:szCs w:val="24"/>
        </w:rPr>
      </w:pPr>
    </w:p>
    <w:p w14:paraId="3FF0C9C8" w14:textId="77777777" w:rsidR="003163B4" w:rsidRPr="007E520D" w:rsidRDefault="003163B4" w:rsidP="00474032">
      <w:pPr>
        <w:spacing w:before="100" w:beforeAutospacing="1" w:after="100" w:afterAutospacing="1" w:line="360" w:lineRule="auto"/>
        <w:jc w:val="both"/>
        <w:rPr>
          <w:rFonts w:ascii="Times New Roman" w:eastAsia="Times New Roman" w:hAnsi="Times New Roman" w:cs="Times New Roman"/>
          <w:sz w:val="24"/>
          <w:szCs w:val="24"/>
        </w:rPr>
      </w:pPr>
      <w:r w:rsidRPr="007E520D">
        <w:rPr>
          <w:rFonts w:ascii="Times New Roman" w:eastAsia="Times New Roman" w:hAnsi="Times New Roman" w:cs="Times New Roman"/>
          <w:b/>
          <w:bCs/>
          <w:sz w:val="24"/>
          <w:szCs w:val="24"/>
        </w:rPr>
        <w:lastRenderedPageBreak/>
        <w:t>4.1.4 Analytical Sequence</w:t>
      </w:r>
    </w:p>
    <w:p w14:paraId="1379CF08" w14:textId="77777777" w:rsidR="003163B4" w:rsidRPr="007E520D" w:rsidRDefault="003163B4" w:rsidP="003163B4">
      <w:pPr>
        <w:spacing w:before="100" w:beforeAutospacing="1" w:after="100" w:afterAutospacing="1" w:line="480" w:lineRule="auto"/>
        <w:jc w:val="both"/>
        <w:rPr>
          <w:rFonts w:ascii="Times New Roman" w:eastAsia="Times New Roman" w:hAnsi="Times New Roman" w:cs="Times New Roman"/>
          <w:sz w:val="24"/>
          <w:szCs w:val="24"/>
        </w:rPr>
      </w:pPr>
      <w:r w:rsidRPr="007E520D">
        <w:rPr>
          <w:rFonts w:ascii="Times New Roman" w:eastAsia="Times New Roman" w:hAnsi="Times New Roman" w:cs="Times New Roman"/>
          <w:sz w:val="24"/>
          <w:szCs w:val="24"/>
        </w:rPr>
        <w:t>The data analysis was executed in four predefined sequential phases:</w:t>
      </w:r>
    </w:p>
    <w:p w14:paraId="4308236C" w14:textId="77777777" w:rsidR="003163B4" w:rsidRPr="00E03022" w:rsidRDefault="003163B4" w:rsidP="003163B4">
      <w:pPr>
        <w:pStyle w:val="ListParagraph"/>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E03022">
        <w:rPr>
          <w:rFonts w:ascii="Times New Roman" w:eastAsia="Times New Roman" w:hAnsi="Times New Roman" w:cs="Times New Roman"/>
          <w:b/>
          <w:bCs/>
          <w:sz w:val="24"/>
          <w:szCs w:val="24"/>
        </w:rPr>
        <w:t>Descriptive Analysis:</w:t>
      </w:r>
      <w:r w:rsidRPr="00E03022">
        <w:rPr>
          <w:rFonts w:ascii="Times New Roman" w:eastAsia="Times New Roman" w:hAnsi="Times New Roman" w:cs="Times New Roman"/>
          <w:sz w:val="24"/>
          <w:szCs w:val="24"/>
        </w:rPr>
        <w:t xml:space="preserve"> Frequency distributions and </w:t>
      </w:r>
      <w:r w:rsidR="00F03693">
        <w:rPr>
          <w:rFonts w:ascii="Times New Roman" w:eastAsia="Times New Roman" w:hAnsi="Times New Roman" w:cs="Times New Roman"/>
          <w:sz w:val="24"/>
          <w:szCs w:val="24"/>
        </w:rPr>
        <w:t>row</w:t>
      </w:r>
      <w:r w:rsidRPr="00E03022">
        <w:rPr>
          <w:rFonts w:ascii="Times New Roman" w:eastAsia="Times New Roman" w:hAnsi="Times New Roman" w:cs="Times New Roman"/>
          <w:sz w:val="24"/>
          <w:szCs w:val="24"/>
        </w:rPr>
        <w:t xml:space="preserve"> percentages were computed for all Level 1 socio</w:t>
      </w:r>
      <w:r>
        <w:rPr>
          <w:rFonts w:ascii="Times New Roman" w:eastAsia="Times New Roman" w:hAnsi="Times New Roman" w:cs="Times New Roman"/>
          <w:sz w:val="24"/>
          <w:szCs w:val="24"/>
        </w:rPr>
        <w:t>-</w:t>
      </w:r>
      <w:r w:rsidRPr="00E03022">
        <w:rPr>
          <w:rFonts w:ascii="Times New Roman" w:eastAsia="Times New Roman" w:hAnsi="Times New Roman" w:cs="Times New Roman"/>
          <w:sz w:val="24"/>
          <w:szCs w:val="24"/>
        </w:rPr>
        <w:t>demographic and clinical variables and all Level 2 facility-level characteristics. Results were cross-tabulated by the binary suppression outcome to document the distribution of suppressed and unsuppressed patients across all variable categories.</w:t>
      </w:r>
    </w:p>
    <w:p w14:paraId="2A43C4F2" w14:textId="77777777" w:rsidR="003163B4" w:rsidRPr="00E03022" w:rsidRDefault="003163B4" w:rsidP="003163B4">
      <w:pPr>
        <w:pStyle w:val="ListParagraph"/>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E03022">
        <w:rPr>
          <w:rFonts w:ascii="Times New Roman" w:eastAsia="Times New Roman" w:hAnsi="Times New Roman" w:cs="Times New Roman"/>
          <w:b/>
          <w:bCs/>
          <w:sz w:val="24"/>
          <w:szCs w:val="24"/>
        </w:rPr>
        <w:t>Bivariate Analysis:</w:t>
      </w:r>
      <w:r w:rsidRPr="00E03022">
        <w:rPr>
          <w:rFonts w:ascii="Times New Roman" w:eastAsia="Times New Roman" w:hAnsi="Times New Roman" w:cs="Times New Roman"/>
          <w:sz w:val="24"/>
          <w:szCs w:val="24"/>
        </w:rPr>
        <w:t xml:space="preserve"> Univariable logistic regression models were utilized to evaluate the crude relationship between each independent variable and viral load suppression, generating crude odds ratios (</w:t>
      </w:r>
      <w:proofErr w:type="spellStart"/>
      <w:r w:rsidRPr="00E03022">
        <w:rPr>
          <w:rFonts w:ascii="Times New Roman" w:eastAsia="Times New Roman" w:hAnsi="Times New Roman" w:cs="Times New Roman"/>
          <w:sz w:val="24"/>
          <w:szCs w:val="24"/>
        </w:rPr>
        <w:t>cOR</w:t>
      </w:r>
      <w:proofErr w:type="spellEnd"/>
      <w:r w:rsidRPr="00E03022">
        <w:rPr>
          <w:rFonts w:ascii="Times New Roman" w:eastAsia="Times New Roman" w:hAnsi="Times New Roman" w:cs="Times New Roman"/>
          <w:sz w:val="24"/>
          <w:szCs w:val="24"/>
        </w:rPr>
        <w:t xml:space="preserve">) with 95% confidence intervals. Variables meeting a p-value threshold of &lt; .25 were advanced to multivariable modeling, in accordance with the purposive inclusion strategy recommended by Hosmer and </w:t>
      </w:r>
      <w:proofErr w:type="spellStart"/>
      <w:r w:rsidRPr="00E03022">
        <w:rPr>
          <w:rFonts w:ascii="Times New Roman" w:eastAsia="Times New Roman" w:hAnsi="Times New Roman" w:cs="Times New Roman"/>
          <w:sz w:val="24"/>
          <w:szCs w:val="24"/>
        </w:rPr>
        <w:t>Lemeshow</w:t>
      </w:r>
      <w:proofErr w:type="spellEnd"/>
      <w:r w:rsidRPr="00E03022">
        <w:rPr>
          <w:rFonts w:ascii="Times New Roman" w:eastAsia="Times New Roman" w:hAnsi="Times New Roman" w:cs="Times New Roman"/>
          <w:sz w:val="24"/>
          <w:szCs w:val="24"/>
        </w:rPr>
        <w:t xml:space="preserve"> (2000).</w:t>
      </w:r>
    </w:p>
    <w:p w14:paraId="04E7422C" w14:textId="77777777" w:rsidR="003163B4" w:rsidRPr="00E03022" w:rsidRDefault="003163B4" w:rsidP="003163B4">
      <w:pPr>
        <w:pStyle w:val="ListParagraph"/>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E03022">
        <w:rPr>
          <w:rFonts w:ascii="Times New Roman" w:eastAsia="Times New Roman" w:hAnsi="Times New Roman" w:cs="Times New Roman"/>
          <w:b/>
          <w:bCs/>
          <w:sz w:val="24"/>
          <w:szCs w:val="24"/>
        </w:rPr>
        <w:t>Null Model Formulation:</w:t>
      </w:r>
      <w:r w:rsidRPr="00E03022">
        <w:rPr>
          <w:rFonts w:ascii="Times New Roman" w:eastAsia="Times New Roman" w:hAnsi="Times New Roman" w:cs="Times New Roman"/>
          <w:sz w:val="24"/>
          <w:szCs w:val="24"/>
        </w:rPr>
        <w:t xml:space="preserve"> An intercept-only mixed-effects logistic regression model was fitted using the facility identifier as the Level 2 grouping variable. This model partitioned total variance in viral load suppression between the patient level and the facility level. The Intraclass Correlation Coefficient was calculated using the latent variable method, and the Median Odds Ratio was computed to express the magnitude of facility-level heterogeneity on the odds ratio scale.</w:t>
      </w:r>
    </w:p>
    <w:p w14:paraId="36E245B0" w14:textId="77777777" w:rsidR="003163B4" w:rsidRPr="00E03022" w:rsidRDefault="003163B4" w:rsidP="003163B4">
      <w:pPr>
        <w:pStyle w:val="ListParagraph"/>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E03022">
        <w:rPr>
          <w:rFonts w:ascii="Times New Roman" w:eastAsia="Times New Roman" w:hAnsi="Times New Roman" w:cs="Times New Roman"/>
          <w:b/>
          <w:bCs/>
          <w:sz w:val="24"/>
          <w:szCs w:val="24"/>
        </w:rPr>
        <w:t>Multilevel Logistic Regression:</w:t>
      </w:r>
      <w:r w:rsidRPr="00E03022">
        <w:rPr>
          <w:rFonts w:ascii="Times New Roman" w:eastAsia="Times New Roman" w:hAnsi="Times New Roman" w:cs="Times New Roman"/>
          <w:sz w:val="24"/>
          <w:szCs w:val="24"/>
        </w:rPr>
        <w:t xml:space="preserve"> Two sequential mixed-effects logistic regression models were fitted. Model 1 incorporated individual and clinical Level 1 predictors only. Model 2 added facility-level Level 2</w:t>
      </w:r>
      <w:r w:rsidR="006962EE">
        <w:rPr>
          <w:rFonts w:ascii="Times New Roman" w:eastAsia="Times New Roman" w:hAnsi="Times New Roman" w:cs="Times New Roman"/>
          <w:sz w:val="24"/>
          <w:szCs w:val="24"/>
        </w:rPr>
        <w:t xml:space="preserve"> structural</w:t>
      </w:r>
      <w:r w:rsidRPr="00E03022">
        <w:rPr>
          <w:rFonts w:ascii="Times New Roman" w:eastAsia="Times New Roman" w:hAnsi="Times New Roman" w:cs="Times New Roman"/>
          <w:sz w:val="24"/>
          <w:szCs w:val="24"/>
        </w:rPr>
        <w:t xml:space="preserve"> predictors. Model fit was compared using the Akaike Information Criterion and the Likelihood Ratio test to determine whether the addition of </w:t>
      </w:r>
      <w:r w:rsidRPr="00E03022">
        <w:rPr>
          <w:rFonts w:ascii="Times New Roman" w:eastAsia="Times New Roman" w:hAnsi="Times New Roman" w:cs="Times New Roman"/>
          <w:sz w:val="24"/>
          <w:szCs w:val="24"/>
        </w:rPr>
        <w:lastRenderedPageBreak/>
        <w:t>facility-level context produced a statistically significant improvement in predictive fit over individual-level predictors alone.</w:t>
      </w:r>
    </w:p>
    <w:p w14:paraId="21983127" w14:textId="77777777" w:rsidR="003163B4" w:rsidRPr="007E520D" w:rsidRDefault="003163B4" w:rsidP="003163B4">
      <w:pPr>
        <w:spacing w:before="100" w:beforeAutospacing="1" w:after="100" w:afterAutospacing="1" w:line="480" w:lineRule="auto"/>
        <w:jc w:val="both"/>
        <w:rPr>
          <w:rFonts w:ascii="Times New Roman" w:eastAsia="Times New Roman" w:hAnsi="Times New Roman" w:cs="Times New Roman"/>
          <w:sz w:val="24"/>
          <w:szCs w:val="24"/>
        </w:rPr>
      </w:pPr>
      <w:r w:rsidRPr="007E520D">
        <w:rPr>
          <w:rFonts w:ascii="Times New Roman" w:eastAsia="Times New Roman" w:hAnsi="Times New Roman" w:cs="Times New Roman"/>
          <w:b/>
          <w:bCs/>
          <w:sz w:val="24"/>
          <w:szCs w:val="24"/>
        </w:rPr>
        <w:t>4.1.5 Software and Statistical Thresholds</w:t>
      </w:r>
    </w:p>
    <w:p w14:paraId="66A27231" w14:textId="77777777" w:rsidR="003163B4" w:rsidRPr="007E520D" w:rsidRDefault="003163B4" w:rsidP="003163B4">
      <w:pPr>
        <w:spacing w:before="100" w:beforeAutospacing="1" w:after="100" w:afterAutospacing="1" w:line="480" w:lineRule="auto"/>
        <w:jc w:val="both"/>
        <w:rPr>
          <w:rFonts w:ascii="Times New Roman" w:eastAsia="Times New Roman" w:hAnsi="Times New Roman" w:cs="Times New Roman"/>
          <w:sz w:val="24"/>
          <w:szCs w:val="24"/>
        </w:rPr>
      </w:pPr>
      <w:r w:rsidRPr="007E520D">
        <w:rPr>
          <w:rFonts w:ascii="Times New Roman" w:eastAsia="Times New Roman" w:hAnsi="Times New Roman" w:cs="Times New Roman"/>
          <w:sz w:val="24"/>
          <w:szCs w:val="24"/>
        </w:rPr>
        <w:t xml:space="preserve">All statistical procedures were performed using R statistical software, version 4.3.2 (R Core Team, 2023). The two-level mixed-effects logistic regression was executed using the </w:t>
      </w:r>
      <w:proofErr w:type="spellStart"/>
      <w:r w:rsidRPr="007E520D">
        <w:rPr>
          <w:rFonts w:ascii="Times New Roman" w:eastAsia="Times New Roman" w:hAnsi="Times New Roman" w:cs="Times New Roman"/>
          <w:i/>
          <w:sz w:val="24"/>
          <w:szCs w:val="24"/>
        </w:rPr>
        <w:t>glmer</w:t>
      </w:r>
      <w:proofErr w:type="spellEnd"/>
      <w:r w:rsidRPr="007E520D">
        <w:rPr>
          <w:rFonts w:ascii="Times New Roman" w:eastAsia="Times New Roman" w:hAnsi="Times New Roman" w:cs="Times New Roman"/>
          <w:sz w:val="24"/>
          <w:szCs w:val="24"/>
        </w:rPr>
        <w:t xml:space="preserve"> function within the lme4 package, version 1.1-35 (Bates et al., 2015). Data preparation and descriptive analyses were conducted using the </w:t>
      </w:r>
      <w:proofErr w:type="spellStart"/>
      <w:r w:rsidRPr="007E520D">
        <w:rPr>
          <w:rFonts w:ascii="Times New Roman" w:eastAsia="Times New Roman" w:hAnsi="Times New Roman" w:cs="Times New Roman"/>
          <w:i/>
          <w:sz w:val="24"/>
          <w:szCs w:val="24"/>
        </w:rPr>
        <w:t>tidyverse</w:t>
      </w:r>
      <w:proofErr w:type="spellEnd"/>
      <w:r w:rsidRPr="007E520D">
        <w:rPr>
          <w:rFonts w:ascii="Times New Roman" w:eastAsia="Times New Roman" w:hAnsi="Times New Roman" w:cs="Times New Roman"/>
          <w:sz w:val="24"/>
          <w:szCs w:val="24"/>
        </w:rPr>
        <w:t xml:space="preserve"> package suite. Statistical significance was defined at a two-tailed </w:t>
      </w:r>
      <w:r>
        <w:rPr>
          <w:rFonts w:ascii="Times New Roman" w:eastAsia="Times New Roman" w:hAnsi="Times New Roman" w:cs="Times New Roman"/>
          <w:sz w:val="24"/>
          <w:szCs w:val="24"/>
        </w:rPr>
        <w:t>p</w:t>
      </w:r>
      <w:r w:rsidRPr="007E520D">
        <w:rPr>
          <w:rFonts w:ascii="Times New Roman" w:eastAsia="Times New Roman" w:hAnsi="Times New Roman" w:cs="Times New Roman"/>
          <w:sz w:val="24"/>
          <w:szCs w:val="24"/>
        </w:rPr>
        <w:t>-value of &lt; .05. All confidence intervals are reported at the 95% level.</w:t>
      </w:r>
    </w:p>
    <w:p w14:paraId="0103B784" w14:textId="77777777" w:rsidR="003163B4" w:rsidRPr="00AB44D0" w:rsidRDefault="003163B4" w:rsidP="003163B4">
      <w:pPr>
        <w:spacing w:line="480" w:lineRule="auto"/>
        <w:jc w:val="both"/>
        <w:rPr>
          <w:rFonts w:ascii="Times New Roman" w:hAnsi="Times New Roman" w:cs="Times New Roman"/>
          <w:b/>
          <w:bCs/>
          <w:sz w:val="24"/>
          <w:szCs w:val="24"/>
        </w:rPr>
      </w:pPr>
      <w:r w:rsidRPr="00AB44D0">
        <w:rPr>
          <w:rFonts w:ascii="Times New Roman" w:hAnsi="Times New Roman" w:cs="Times New Roman"/>
          <w:b/>
          <w:bCs/>
          <w:sz w:val="24"/>
          <w:szCs w:val="24"/>
        </w:rPr>
        <w:t xml:space="preserve">4.2 </w:t>
      </w:r>
      <w:r w:rsidR="002A09EA" w:rsidRPr="00AB44D0">
        <w:rPr>
          <w:rFonts w:ascii="Times New Roman" w:hAnsi="Times New Roman" w:cs="Times New Roman"/>
          <w:b/>
          <w:bCs/>
          <w:sz w:val="24"/>
          <w:szCs w:val="24"/>
        </w:rPr>
        <w:t>Results</w:t>
      </w:r>
    </w:p>
    <w:p w14:paraId="06A40425" w14:textId="77777777" w:rsidR="003163B4" w:rsidRDefault="003163B4" w:rsidP="003163B4">
      <w:pPr>
        <w:spacing w:line="480" w:lineRule="auto"/>
        <w:jc w:val="both"/>
        <w:rPr>
          <w:rFonts w:ascii="Times New Roman" w:hAnsi="Times New Roman" w:cs="Times New Roman"/>
          <w:sz w:val="24"/>
          <w:szCs w:val="24"/>
        </w:rPr>
      </w:pPr>
      <w:r w:rsidRPr="00AB44D0">
        <w:rPr>
          <w:rFonts w:ascii="Times New Roman" w:hAnsi="Times New Roman" w:cs="Times New Roman"/>
          <w:sz w:val="24"/>
          <w:szCs w:val="24"/>
        </w:rPr>
        <w:t xml:space="preserve">A total </w:t>
      </w:r>
      <w:r w:rsidRPr="001F2FF0">
        <w:rPr>
          <w:rFonts w:ascii="Times New Roman" w:hAnsi="Times New Roman" w:cs="Times New Roman"/>
          <w:sz w:val="24"/>
          <w:szCs w:val="24"/>
        </w:rPr>
        <w:t xml:space="preserve">of </w:t>
      </w:r>
      <w:r w:rsidRPr="001F2FF0">
        <w:rPr>
          <w:rFonts w:ascii="Times New Roman" w:hAnsi="Times New Roman" w:cs="Times New Roman"/>
          <w:bCs/>
          <w:sz w:val="24"/>
          <w:szCs w:val="24"/>
        </w:rPr>
        <w:t>7,029</w:t>
      </w:r>
      <w:r w:rsidRPr="00AB44D0">
        <w:rPr>
          <w:rFonts w:ascii="Times New Roman" w:hAnsi="Times New Roman" w:cs="Times New Roman"/>
          <w:sz w:val="24"/>
          <w:szCs w:val="24"/>
        </w:rPr>
        <w:t xml:space="preserve"> adult patients receiving </w:t>
      </w:r>
      <w:r w:rsidRPr="001F2FF0">
        <w:rPr>
          <w:rFonts w:ascii="Times New Roman" w:hAnsi="Times New Roman" w:cs="Times New Roman"/>
          <w:sz w:val="24"/>
          <w:szCs w:val="24"/>
        </w:rPr>
        <w:t xml:space="preserve">antiretroviral therapy (ART) across 35 treatment facilities in Plateau State were analyzed. Of these, </w:t>
      </w:r>
      <w:r w:rsidRPr="001F2FF0">
        <w:rPr>
          <w:rFonts w:ascii="Times New Roman" w:hAnsi="Times New Roman" w:cs="Times New Roman"/>
          <w:bCs/>
          <w:sz w:val="24"/>
          <w:szCs w:val="24"/>
        </w:rPr>
        <w:t>6,576</w:t>
      </w:r>
      <w:r w:rsidRPr="001F2FF0">
        <w:rPr>
          <w:rFonts w:ascii="Times New Roman" w:hAnsi="Times New Roman" w:cs="Times New Roman"/>
          <w:sz w:val="24"/>
          <w:szCs w:val="24"/>
        </w:rPr>
        <w:t xml:space="preserve"> patients (</w:t>
      </w:r>
      <w:r w:rsidRPr="001F2FF0">
        <w:rPr>
          <w:rFonts w:ascii="Times New Roman" w:hAnsi="Times New Roman" w:cs="Times New Roman"/>
          <w:bCs/>
          <w:sz w:val="24"/>
          <w:szCs w:val="24"/>
        </w:rPr>
        <w:t>93.6%</w:t>
      </w:r>
      <w:r w:rsidRPr="001F2FF0">
        <w:rPr>
          <w:rFonts w:ascii="Times New Roman" w:hAnsi="Times New Roman" w:cs="Times New Roman"/>
          <w:sz w:val="24"/>
          <w:szCs w:val="24"/>
        </w:rPr>
        <w:t xml:space="preserve">) achieved viral load suppression at their last recorded measurement, defined as a plasma HIV RNA concentration of fewer than 1,000 copies per </w:t>
      </w:r>
      <w:proofErr w:type="spellStart"/>
      <w:r w:rsidRPr="001F2FF0">
        <w:rPr>
          <w:rFonts w:ascii="Times New Roman" w:hAnsi="Times New Roman" w:cs="Times New Roman"/>
          <w:sz w:val="24"/>
          <w:szCs w:val="24"/>
        </w:rPr>
        <w:t>millilitre</w:t>
      </w:r>
      <w:proofErr w:type="spellEnd"/>
      <w:r w:rsidRPr="001F2FF0">
        <w:rPr>
          <w:rFonts w:ascii="Times New Roman" w:hAnsi="Times New Roman" w:cs="Times New Roman"/>
          <w:sz w:val="24"/>
          <w:szCs w:val="24"/>
        </w:rPr>
        <w:t xml:space="preserve">. The remaining </w:t>
      </w:r>
      <w:r w:rsidRPr="001F2FF0">
        <w:rPr>
          <w:rFonts w:ascii="Times New Roman" w:hAnsi="Times New Roman" w:cs="Times New Roman"/>
          <w:bCs/>
          <w:sz w:val="24"/>
          <w:szCs w:val="24"/>
        </w:rPr>
        <w:t>453</w:t>
      </w:r>
      <w:r w:rsidRPr="001F2FF0">
        <w:rPr>
          <w:rFonts w:ascii="Times New Roman" w:hAnsi="Times New Roman" w:cs="Times New Roman"/>
          <w:sz w:val="24"/>
          <w:szCs w:val="24"/>
        </w:rPr>
        <w:t xml:space="preserve"> patients (</w:t>
      </w:r>
      <w:r w:rsidRPr="001F2FF0">
        <w:rPr>
          <w:rFonts w:ascii="Times New Roman" w:hAnsi="Times New Roman" w:cs="Times New Roman"/>
          <w:bCs/>
          <w:sz w:val="24"/>
          <w:szCs w:val="24"/>
        </w:rPr>
        <w:t>6.4%</w:t>
      </w:r>
      <w:r w:rsidRPr="001F2FF0">
        <w:rPr>
          <w:rFonts w:ascii="Times New Roman" w:hAnsi="Times New Roman" w:cs="Times New Roman"/>
          <w:sz w:val="24"/>
          <w:szCs w:val="24"/>
        </w:rPr>
        <w:t>) were classified</w:t>
      </w:r>
      <w:r w:rsidRPr="00AB44D0">
        <w:rPr>
          <w:rFonts w:ascii="Times New Roman" w:hAnsi="Times New Roman" w:cs="Times New Roman"/>
          <w:sz w:val="24"/>
          <w:szCs w:val="24"/>
        </w:rPr>
        <w:t xml:space="preserve"> as unsuppressed. The findings are reported across four sequential phases, corresponding to the analytical strategy established in Section 4.1.</w:t>
      </w:r>
    </w:p>
    <w:p w14:paraId="5D3FB3F7" w14:textId="77777777" w:rsidR="00A451F7" w:rsidRPr="00A451F7" w:rsidRDefault="00A451F7" w:rsidP="00A451F7">
      <w:pPr>
        <w:spacing w:line="480" w:lineRule="auto"/>
        <w:jc w:val="both"/>
        <w:rPr>
          <w:rFonts w:ascii="Times New Roman" w:hAnsi="Times New Roman" w:cs="Times New Roman"/>
          <w:b/>
          <w:bCs/>
          <w:sz w:val="24"/>
          <w:szCs w:val="24"/>
        </w:rPr>
      </w:pPr>
      <w:r w:rsidRPr="00A451F7">
        <w:rPr>
          <w:rFonts w:ascii="Times New Roman" w:hAnsi="Times New Roman" w:cs="Times New Roman"/>
          <w:b/>
          <w:bCs/>
          <w:sz w:val="24"/>
          <w:szCs w:val="24"/>
        </w:rPr>
        <w:t>4.2.1 Sociodemographic and Clinical Characteristics of Study Participants</w:t>
      </w:r>
    </w:p>
    <w:p w14:paraId="6FE7FCBA" w14:textId="77777777" w:rsidR="00A451F7" w:rsidRPr="00A451F7" w:rsidRDefault="00A451F7" w:rsidP="00A451F7">
      <w:pPr>
        <w:spacing w:line="480" w:lineRule="auto"/>
        <w:jc w:val="both"/>
        <w:rPr>
          <w:rFonts w:ascii="Times New Roman" w:hAnsi="Times New Roman" w:cs="Times New Roman"/>
          <w:sz w:val="24"/>
          <w:szCs w:val="24"/>
        </w:rPr>
      </w:pPr>
      <w:r w:rsidRPr="00A451F7">
        <w:rPr>
          <w:rFonts w:ascii="Times New Roman" w:hAnsi="Times New Roman" w:cs="Times New Roman"/>
          <w:sz w:val="24"/>
          <w:szCs w:val="24"/>
        </w:rPr>
        <w:t xml:space="preserve">This section profiles the cohort across individual sociodemographic characteristics, clinical and treatment-related attributes, and the facility-level context of care. All characteristics are reported as frequencies and overall column percentages for the total cohort, alongside row percentages for the suppressed and unsuppressed subgroups. Row percentages represent the crude viral load </w:t>
      </w:r>
      <w:r w:rsidRPr="00A451F7">
        <w:rPr>
          <w:rFonts w:ascii="Times New Roman" w:hAnsi="Times New Roman" w:cs="Times New Roman"/>
          <w:sz w:val="24"/>
          <w:szCs w:val="24"/>
        </w:rPr>
        <w:lastRenderedPageBreak/>
        <w:t>suppression rate and virologic failure rate within each specific characteristic category, thereby enabling direct, within-group comparisons of virologic outcomes prior to formal inferential testing.</w:t>
      </w:r>
    </w:p>
    <w:p w14:paraId="31D75F09" w14:textId="77777777" w:rsidR="00A451F7" w:rsidRPr="00A451F7" w:rsidRDefault="00A451F7" w:rsidP="00A451F7">
      <w:pPr>
        <w:spacing w:line="480" w:lineRule="auto"/>
        <w:jc w:val="both"/>
        <w:rPr>
          <w:rFonts w:ascii="Times New Roman" w:hAnsi="Times New Roman" w:cs="Times New Roman"/>
          <w:b/>
          <w:bCs/>
          <w:sz w:val="24"/>
          <w:szCs w:val="24"/>
        </w:rPr>
      </w:pPr>
      <w:r w:rsidRPr="00A451F7">
        <w:rPr>
          <w:rFonts w:ascii="Times New Roman" w:hAnsi="Times New Roman" w:cs="Times New Roman"/>
          <w:b/>
          <w:bCs/>
          <w:sz w:val="24"/>
          <w:szCs w:val="24"/>
        </w:rPr>
        <w:t>4.2.1.1 Individual-Level Sociodemographic Characteristics</w:t>
      </w:r>
    </w:p>
    <w:p w14:paraId="2E65B2AA" w14:textId="77777777" w:rsidR="00A451F7" w:rsidRPr="00A451F7" w:rsidRDefault="00A451F7" w:rsidP="00A451F7">
      <w:pPr>
        <w:spacing w:line="480" w:lineRule="auto"/>
        <w:jc w:val="both"/>
        <w:rPr>
          <w:rFonts w:ascii="Times New Roman" w:hAnsi="Times New Roman" w:cs="Times New Roman"/>
          <w:sz w:val="24"/>
          <w:szCs w:val="24"/>
        </w:rPr>
      </w:pPr>
      <w:r w:rsidRPr="00A451F7">
        <w:rPr>
          <w:rFonts w:ascii="Times New Roman" w:hAnsi="Times New Roman" w:cs="Times New Roman"/>
          <w:sz w:val="24"/>
          <w:szCs w:val="24"/>
        </w:rPr>
        <w:t>Table 4.2 presents the sociodemographic profile of the cohort, stratified by viral load suppression status.</w:t>
      </w:r>
    </w:p>
    <w:p w14:paraId="0E83E7CC" w14:textId="77777777" w:rsidR="00A451F7" w:rsidRPr="00A451F7" w:rsidRDefault="00A451F7" w:rsidP="00474032">
      <w:pPr>
        <w:spacing w:line="360" w:lineRule="auto"/>
        <w:jc w:val="both"/>
        <w:rPr>
          <w:rFonts w:ascii="Times New Roman" w:hAnsi="Times New Roman" w:cs="Times New Roman"/>
          <w:sz w:val="24"/>
          <w:szCs w:val="24"/>
        </w:rPr>
      </w:pPr>
      <w:r w:rsidRPr="00A451F7">
        <w:rPr>
          <w:rFonts w:ascii="Times New Roman" w:hAnsi="Times New Roman" w:cs="Times New Roman"/>
          <w:b/>
          <w:bCs/>
          <w:sz w:val="24"/>
          <w:szCs w:val="24"/>
        </w:rPr>
        <w:t>Table 4.2: Sociodemographic Profile of Patients by Viral Load Suppression Status (N = 7,029)</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739"/>
        <w:gridCol w:w="1790"/>
        <w:gridCol w:w="2218"/>
        <w:gridCol w:w="2478"/>
      </w:tblGrid>
      <w:tr w:rsidR="00A451F7" w:rsidRPr="00A451F7" w14:paraId="0316DDA9" w14:textId="77777777" w:rsidTr="00A451F7">
        <w:trPr>
          <w:tblHeader/>
          <w:tblCellSpacing w:w="15" w:type="dxa"/>
        </w:trPr>
        <w:tc>
          <w:tcPr>
            <w:tcW w:w="0" w:type="auto"/>
            <w:tcBorders>
              <w:bottom w:val="single" w:sz="4" w:space="0" w:color="auto"/>
            </w:tcBorders>
            <w:vAlign w:val="center"/>
            <w:hideMark/>
          </w:tcPr>
          <w:p w14:paraId="75602DE2"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b/>
                <w:bCs/>
              </w:rPr>
              <w:t>Characteristic</w:t>
            </w:r>
          </w:p>
        </w:tc>
        <w:tc>
          <w:tcPr>
            <w:tcW w:w="0" w:type="auto"/>
            <w:tcBorders>
              <w:bottom w:val="single" w:sz="4" w:space="0" w:color="auto"/>
            </w:tcBorders>
            <w:vAlign w:val="center"/>
            <w:hideMark/>
          </w:tcPr>
          <w:p w14:paraId="05CD40D3"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b/>
                <w:bCs/>
              </w:rPr>
              <w:t>Overall N (Col %)</w:t>
            </w:r>
          </w:p>
        </w:tc>
        <w:tc>
          <w:tcPr>
            <w:tcW w:w="0" w:type="auto"/>
            <w:tcBorders>
              <w:bottom w:val="single" w:sz="4" w:space="0" w:color="auto"/>
            </w:tcBorders>
            <w:vAlign w:val="center"/>
            <w:hideMark/>
          </w:tcPr>
          <w:p w14:paraId="2E3C8CBC"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b/>
                <w:bCs/>
              </w:rPr>
              <w:t>Suppressed n (Row %)</w:t>
            </w:r>
          </w:p>
        </w:tc>
        <w:tc>
          <w:tcPr>
            <w:tcW w:w="0" w:type="auto"/>
            <w:tcBorders>
              <w:bottom w:val="single" w:sz="4" w:space="0" w:color="auto"/>
            </w:tcBorders>
            <w:vAlign w:val="center"/>
            <w:hideMark/>
          </w:tcPr>
          <w:p w14:paraId="63EFD6F8"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b/>
                <w:bCs/>
              </w:rPr>
              <w:t>Unsuppressed n (Row %)</w:t>
            </w:r>
          </w:p>
        </w:tc>
      </w:tr>
      <w:tr w:rsidR="00A451F7" w:rsidRPr="00A451F7" w14:paraId="5188B315" w14:textId="77777777" w:rsidTr="00A451F7">
        <w:trPr>
          <w:tblCellSpacing w:w="15" w:type="dxa"/>
        </w:trPr>
        <w:tc>
          <w:tcPr>
            <w:tcW w:w="0" w:type="auto"/>
            <w:vAlign w:val="center"/>
            <w:hideMark/>
          </w:tcPr>
          <w:p w14:paraId="1F424FA6"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b/>
                <w:bCs/>
              </w:rPr>
              <w:t>Sex</w:t>
            </w:r>
          </w:p>
        </w:tc>
        <w:tc>
          <w:tcPr>
            <w:tcW w:w="0" w:type="auto"/>
            <w:vAlign w:val="center"/>
            <w:hideMark/>
          </w:tcPr>
          <w:p w14:paraId="4DF65013" w14:textId="77777777" w:rsidR="00A451F7" w:rsidRPr="00A451F7" w:rsidRDefault="00A451F7" w:rsidP="00A451F7">
            <w:pPr>
              <w:spacing w:after="0" w:line="240" w:lineRule="auto"/>
              <w:rPr>
                <w:rFonts w:ascii="Times New Roman" w:hAnsi="Times New Roman" w:cs="Times New Roman"/>
              </w:rPr>
            </w:pPr>
          </w:p>
        </w:tc>
        <w:tc>
          <w:tcPr>
            <w:tcW w:w="0" w:type="auto"/>
            <w:vAlign w:val="center"/>
            <w:hideMark/>
          </w:tcPr>
          <w:p w14:paraId="7D6ABF4B" w14:textId="77777777" w:rsidR="00A451F7" w:rsidRPr="00A451F7" w:rsidRDefault="00A451F7" w:rsidP="00A451F7">
            <w:pPr>
              <w:spacing w:after="0" w:line="240" w:lineRule="auto"/>
              <w:rPr>
                <w:rFonts w:ascii="Times New Roman" w:hAnsi="Times New Roman" w:cs="Times New Roman"/>
              </w:rPr>
            </w:pPr>
          </w:p>
        </w:tc>
        <w:tc>
          <w:tcPr>
            <w:tcW w:w="0" w:type="auto"/>
            <w:vAlign w:val="center"/>
            <w:hideMark/>
          </w:tcPr>
          <w:p w14:paraId="03398AA6" w14:textId="77777777" w:rsidR="00A451F7" w:rsidRPr="00A451F7" w:rsidRDefault="00A451F7" w:rsidP="00A451F7">
            <w:pPr>
              <w:spacing w:after="0" w:line="240" w:lineRule="auto"/>
              <w:rPr>
                <w:rFonts w:ascii="Times New Roman" w:hAnsi="Times New Roman" w:cs="Times New Roman"/>
              </w:rPr>
            </w:pPr>
          </w:p>
        </w:tc>
      </w:tr>
      <w:tr w:rsidR="00A451F7" w:rsidRPr="00A451F7" w14:paraId="5A7DE4ED" w14:textId="77777777" w:rsidTr="00A451F7">
        <w:trPr>
          <w:tblCellSpacing w:w="15" w:type="dxa"/>
        </w:trPr>
        <w:tc>
          <w:tcPr>
            <w:tcW w:w="0" w:type="auto"/>
            <w:vAlign w:val="center"/>
            <w:hideMark/>
          </w:tcPr>
          <w:p w14:paraId="044B0FFD"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Female</w:t>
            </w:r>
          </w:p>
        </w:tc>
        <w:tc>
          <w:tcPr>
            <w:tcW w:w="0" w:type="auto"/>
            <w:vAlign w:val="center"/>
            <w:hideMark/>
          </w:tcPr>
          <w:p w14:paraId="4EB121D8"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4,744 (67.5)</w:t>
            </w:r>
          </w:p>
        </w:tc>
        <w:tc>
          <w:tcPr>
            <w:tcW w:w="0" w:type="auto"/>
            <w:vAlign w:val="center"/>
            <w:hideMark/>
          </w:tcPr>
          <w:p w14:paraId="7C6C3980"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4,427 (93.3)</w:t>
            </w:r>
          </w:p>
        </w:tc>
        <w:tc>
          <w:tcPr>
            <w:tcW w:w="0" w:type="auto"/>
            <w:vAlign w:val="center"/>
            <w:hideMark/>
          </w:tcPr>
          <w:p w14:paraId="5EE6E221"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317 (6.7)</w:t>
            </w:r>
          </w:p>
        </w:tc>
      </w:tr>
      <w:tr w:rsidR="00A451F7" w:rsidRPr="00A451F7" w14:paraId="3DFE4765" w14:textId="77777777" w:rsidTr="00A451F7">
        <w:trPr>
          <w:tblCellSpacing w:w="15" w:type="dxa"/>
        </w:trPr>
        <w:tc>
          <w:tcPr>
            <w:tcW w:w="0" w:type="auto"/>
            <w:vAlign w:val="center"/>
            <w:hideMark/>
          </w:tcPr>
          <w:p w14:paraId="2AC4493E"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Male</w:t>
            </w:r>
          </w:p>
        </w:tc>
        <w:tc>
          <w:tcPr>
            <w:tcW w:w="0" w:type="auto"/>
            <w:vAlign w:val="center"/>
            <w:hideMark/>
          </w:tcPr>
          <w:p w14:paraId="473A8DA4"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2,285 (32.5)</w:t>
            </w:r>
          </w:p>
        </w:tc>
        <w:tc>
          <w:tcPr>
            <w:tcW w:w="0" w:type="auto"/>
            <w:vAlign w:val="center"/>
            <w:hideMark/>
          </w:tcPr>
          <w:p w14:paraId="2C58964F"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2,149 (94.0)</w:t>
            </w:r>
          </w:p>
        </w:tc>
        <w:tc>
          <w:tcPr>
            <w:tcW w:w="0" w:type="auto"/>
            <w:vAlign w:val="center"/>
            <w:hideMark/>
          </w:tcPr>
          <w:p w14:paraId="5D8B2459"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136 (6.0)</w:t>
            </w:r>
          </w:p>
        </w:tc>
      </w:tr>
      <w:tr w:rsidR="00A451F7" w:rsidRPr="00A451F7" w14:paraId="26E97EAA" w14:textId="77777777" w:rsidTr="00A451F7">
        <w:trPr>
          <w:tblCellSpacing w:w="15" w:type="dxa"/>
        </w:trPr>
        <w:tc>
          <w:tcPr>
            <w:tcW w:w="0" w:type="auto"/>
            <w:vAlign w:val="center"/>
            <w:hideMark/>
          </w:tcPr>
          <w:p w14:paraId="5F05B818"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b/>
                <w:bCs/>
              </w:rPr>
              <w:t>Age at ART Initiation</w:t>
            </w:r>
          </w:p>
        </w:tc>
        <w:tc>
          <w:tcPr>
            <w:tcW w:w="0" w:type="auto"/>
            <w:vAlign w:val="center"/>
            <w:hideMark/>
          </w:tcPr>
          <w:p w14:paraId="797458B7" w14:textId="77777777" w:rsidR="00A451F7" w:rsidRPr="00A451F7" w:rsidRDefault="00A451F7" w:rsidP="00A451F7">
            <w:pPr>
              <w:spacing w:after="0" w:line="240" w:lineRule="auto"/>
              <w:rPr>
                <w:rFonts w:ascii="Times New Roman" w:hAnsi="Times New Roman" w:cs="Times New Roman"/>
              </w:rPr>
            </w:pPr>
          </w:p>
        </w:tc>
        <w:tc>
          <w:tcPr>
            <w:tcW w:w="0" w:type="auto"/>
            <w:vAlign w:val="center"/>
            <w:hideMark/>
          </w:tcPr>
          <w:p w14:paraId="7F7C692D" w14:textId="77777777" w:rsidR="00A451F7" w:rsidRPr="00A451F7" w:rsidRDefault="00A451F7" w:rsidP="00A451F7">
            <w:pPr>
              <w:spacing w:after="0" w:line="240" w:lineRule="auto"/>
              <w:rPr>
                <w:rFonts w:ascii="Times New Roman" w:hAnsi="Times New Roman" w:cs="Times New Roman"/>
              </w:rPr>
            </w:pPr>
          </w:p>
        </w:tc>
        <w:tc>
          <w:tcPr>
            <w:tcW w:w="0" w:type="auto"/>
            <w:vAlign w:val="center"/>
            <w:hideMark/>
          </w:tcPr>
          <w:p w14:paraId="62DBD78F" w14:textId="77777777" w:rsidR="00A451F7" w:rsidRPr="00A451F7" w:rsidRDefault="00A451F7" w:rsidP="00A451F7">
            <w:pPr>
              <w:spacing w:after="0" w:line="240" w:lineRule="auto"/>
              <w:rPr>
                <w:rFonts w:ascii="Times New Roman" w:hAnsi="Times New Roman" w:cs="Times New Roman"/>
              </w:rPr>
            </w:pPr>
          </w:p>
        </w:tc>
      </w:tr>
      <w:tr w:rsidR="00A451F7" w:rsidRPr="00A451F7" w14:paraId="6BDDFB35" w14:textId="77777777" w:rsidTr="00A451F7">
        <w:trPr>
          <w:tblCellSpacing w:w="15" w:type="dxa"/>
        </w:trPr>
        <w:tc>
          <w:tcPr>
            <w:tcW w:w="0" w:type="auto"/>
            <w:vAlign w:val="center"/>
            <w:hideMark/>
          </w:tcPr>
          <w:p w14:paraId="66AD00F2"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18 to 24 years</w:t>
            </w:r>
          </w:p>
        </w:tc>
        <w:tc>
          <w:tcPr>
            <w:tcW w:w="0" w:type="auto"/>
            <w:vAlign w:val="center"/>
            <w:hideMark/>
          </w:tcPr>
          <w:p w14:paraId="160A1ECE"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931 (13.2)</w:t>
            </w:r>
          </w:p>
        </w:tc>
        <w:tc>
          <w:tcPr>
            <w:tcW w:w="0" w:type="auto"/>
            <w:vAlign w:val="center"/>
            <w:hideMark/>
          </w:tcPr>
          <w:p w14:paraId="1D4C84FA"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855 (91.8)</w:t>
            </w:r>
          </w:p>
        </w:tc>
        <w:tc>
          <w:tcPr>
            <w:tcW w:w="0" w:type="auto"/>
            <w:vAlign w:val="center"/>
            <w:hideMark/>
          </w:tcPr>
          <w:p w14:paraId="1B9630E1"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76 (8.2)</w:t>
            </w:r>
          </w:p>
        </w:tc>
      </w:tr>
      <w:tr w:rsidR="00A451F7" w:rsidRPr="00A451F7" w14:paraId="62FC342C" w14:textId="77777777" w:rsidTr="00A451F7">
        <w:trPr>
          <w:tblCellSpacing w:w="15" w:type="dxa"/>
        </w:trPr>
        <w:tc>
          <w:tcPr>
            <w:tcW w:w="0" w:type="auto"/>
            <w:vAlign w:val="center"/>
            <w:hideMark/>
          </w:tcPr>
          <w:p w14:paraId="3DFB076E"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25 to 34 years</w:t>
            </w:r>
          </w:p>
        </w:tc>
        <w:tc>
          <w:tcPr>
            <w:tcW w:w="0" w:type="auto"/>
            <w:vAlign w:val="center"/>
            <w:hideMark/>
          </w:tcPr>
          <w:p w14:paraId="6258E572"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2,713 (38.6)</w:t>
            </w:r>
          </w:p>
        </w:tc>
        <w:tc>
          <w:tcPr>
            <w:tcW w:w="0" w:type="auto"/>
            <w:vAlign w:val="center"/>
            <w:hideMark/>
          </w:tcPr>
          <w:p w14:paraId="07672221"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2,528 (93.2)</w:t>
            </w:r>
          </w:p>
        </w:tc>
        <w:tc>
          <w:tcPr>
            <w:tcW w:w="0" w:type="auto"/>
            <w:vAlign w:val="center"/>
            <w:hideMark/>
          </w:tcPr>
          <w:p w14:paraId="1A950C0E"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185 (6.8)</w:t>
            </w:r>
          </w:p>
        </w:tc>
      </w:tr>
      <w:tr w:rsidR="00A451F7" w:rsidRPr="00A451F7" w14:paraId="281B0101" w14:textId="77777777" w:rsidTr="00A451F7">
        <w:trPr>
          <w:tblCellSpacing w:w="15" w:type="dxa"/>
        </w:trPr>
        <w:tc>
          <w:tcPr>
            <w:tcW w:w="0" w:type="auto"/>
            <w:vAlign w:val="center"/>
            <w:hideMark/>
          </w:tcPr>
          <w:p w14:paraId="006A79F1"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35 to 44 years</w:t>
            </w:r>
          </w:p>
        </w:tc>
        <w:tc>
          <w:tcPr>
            <w:tcW w:w="0" w:type="auto"/>
            <w:vAlign w:val="center"/>
            <w:hideMark/>
          </w:tcPr>
          <w:p w14:paraId="0FD4D2FE"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2,175 (30.9)</w:t>
            </w:r>
          </w:p>
        </w:tc>
        <w:tc>
          <w:tcPr>
            <w:tcW w:w="0" w:type="auto"/>
            <w:vAlign w:val="center"/>
            <w:hideMark/>
          </w:tcPr>
          <w:p w14:paraId="72AF15D7"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2,051 (94.3)</w:t>
            </w:r>
          </w:p>
        </w:tc>
        <w:tc>
          <w:tcPr>
            <w:tcW w:w="0" w:type="auto"/>
            <w:vAlign w:val="center"/>
            <w:hideMark/>
          </w:tcPr>
          <w:p w14:paraId="41E5CDF5"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124 (5.7)</w:t>
            </w:r>
          </w:p>
        </w:tc>
      </w:tr>
      <w:tr w:rsidR="00A451F7" w:rsidRPr="00A451F7" w14:paraId="034BDB18" w14:textId="77777777" w:rsidTr="00A451F7">
        <w:trPr>
          <w:tblCellSpacing w:w="15" w:type="dxa"/>
        </w:trPr>
        <w:tc>
          <w:tcPr>
            <w:tcW w:w="0" w:type="auto"/>
            <w:vAlign w:val="center"/>
            <w:hideMark/>
          </w:tcPr>
          <w:p w14:paraId="2F024467"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45 years and older</w:t>
            </w:r>
          </w:p>
        </w:tc>
        <w:tc>
          <w:tcPr>
            <w:tcW w:w="0" w:type="auto"/>
            <w:vAlign w:val="center"/>
            <w:hideMark/>
          </w:tcPr>
          <w:p w14:paraId="0506F060"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1,210 (17.2)</w:t>
            </w:r>
          </w:p>
        </w:tc>
        <w:tc>
          <w:tcPr>
            <w:tcW w:w="0" w:type="auto"/>
            <w:vAlign w:val="center"/>
            <w:hideMark/>
          </w:tcPr>
          <w:p w14:paraId="764034E4"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1,142 (94.4)</w:t>
            </w:r>
          </w:p>
        </w:tc>
        <w:tc>
          <w:tcPr>
            <w:tcW w:w="0" w:type="auto"/>
            <w:vAlign w:val="center"/>
            <w:hideMark/>
          </w:tcPr>
          <w:p w14:paraId="1839FA81"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68 (5.6)</w:t>
            </w:r>
          </w:p>
        </w:tc>
      </w:tr>
      <w:tr w:rsidR="00A451F7" w:rsidRPr="00A451F7" w14:paraId="2F7E950C" w14:textId="77777777" w:rsidTr="00A451F7">
        <w:trPr>
          <w:tblCellSpacing w:w="15" w:type="dxa"/>
        </w:trPr>
        <w:tc>
          <w:tcPr>
            <w:tcW w:w="0" w:type="auto"/>
            <w:vAlign w:val="center"/>
            <w:hideMark/>
          </w:tcPr>
          <w:p w14:paraId="1020CBFD"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b/>
                <w:bCs/>
              </w:rPr>
              <w:t>Marital Status</w:t>
            </w:r>
          </w:p>
        </w:tc>
        <w:tc>
          <w:tcPr>
            <w:tcW w:w="0" w:type="auto"/>
            <w:vAlign w:val="center"/>
            <w:hideMark/>
          </w:tcPr>
          <w:p w14:paraId="553E5917" w14:textId="77777777" w:rsidR="00A451F7" w:rsidRPr="00A451F7" w:rsidRDefault="00A451F7" w:rsidP="00A451F7">
            <w:pPr>
              <w:spacing w:after="0" w:line="240" w:lineRule="auto"/>
              <w:rPr>
                <w:rFonts w:ascii="Times New Roman" w:hAnsi="Times New Roman" w:cs="Times New Roman"/>
              </w:rPr>
            </w:pPr>
          </w:p>
        </w:tc>
        <w:tc>
          <w:tcPr>
            <w:tcW w:w="0" w:type="auto"/>
            <w:vAlign w:val="center"/>
            <w:hideMark/>
          </w:tcPr>
          <w:p w14:paraId="53ECB054" w14:textId="77777777" w:rsidR="00A451F7" w:rsidRPr="00A451F7" w:rsidRDefault="00A451F7" w:rsidP="00A451F7">
            <w:pPr>
              <w:spacing w:after="0" w:line="240" w:lineRule="auto"/>
              <w:rPr>
                <w:rFonts w:ascii="Times New Roman" w:hAnsi="Times New Roman" w:cs="Times New Roman"/>
              </w:rPr>
            </w:pPr>
          </w:p>
        </w:tc>
        <w:tc>
          <w:tcPr>
            <w:tcW w:w="0" w:type="auto"/>
            <w:vAlign w:val="center"/>
            <w:hideMark/>
          </w:tcPr>
          <w:p w14:paraId="3A3572B6" w14:textId="77777777" w:rsidR="00A451F7" w:rsidRPr="00A451F7" w:rsidRDefault="00A451F7" w:rsidP="00A451F7">
            <w:pPr>
              <w:spacing w:after="0" w:line="240" w:lineRule="auto"/>
              <w:rPr>
                <w:rFonts w:ascii="Times New Roman" w:hAnsi="Times New Roman" w:cs="Times New Roman"/>
              </w:rPr>
            </w:pPr>
          </w:p>
        </w:tc>
      </w:tr>
      <w:tr w:rsidR="00A451F7" w:rsidRPr="00A451F7" w14:paraId="177646FA" w14:textId="77777777" w:rsidTr="00A451F7">
        <w:trPr>
          <w:tblCellSpacing w:w="15" w:type="dxa"/>
        </w:trPr>
        <w:tc>
          <w:tcPr>
            <w:tcW w:w="0" w:type="auto"/>
            <w:vAlign w:val="center"/>
            <w:hideMark/>
          </w:tcPr>
          <w:p w14:paraId="2628BA8A"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Married</w:t>
            </w:r>
          </w:p>
        </w:tc>
        <w:tc>
          <w:tcPr>
            <w:tcW w:w="0" w:type="auto"/>
            <w:vAlign w:val="center"/>
            <w:hideMark/>
          </w:tcPr>
          <w:p w14:paraId="0388F70F"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4,515 (64.2)</w:t>
            </w:r>
          </w:p>
        </w:tc>
        <w:tc>
          <w:tcPr>
            <w:tcW w:w="0" w:type="auto"/>
            <w:vAlign w:val="center"/>
            <w:hideMark/>
          </w:tcPr>
          <w:p w14:paraId="387AB365"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4,251 (94.2)</w:t>
            </w:r>
          </w:p>
        </w:tc>
        <w:tc>
          <w:tcPr>
            <w:tcW w:w="0" w:type="auto"/>
            <w:vAlign w:val="center"/>
            <w:hideMark/>
          </w:tcPr>
          <w:p w14:paraId="56410554"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264 (5.8)</w:t>
            </w:r>
          </w:p>
        </w:tc>
      </w:tr>
      <w:tr w:rsidR="00A451F7" w:rsidRPr="00A451F7" w14:paraId="2AA4E43C" w14:textId="77777777" w:rsidTr="00A451F7">
        <w:trPr>
          <w:tblCellSpacing w:w="15" w:type="dxa"/>
        </w:trPr>
        <w:tc>
          <w:tcPr>
            <w:tcW w:w="0" w:type="auto"/>
            <w:vAlign w:val="center"/>
            <w:hideMark/>
          </w:tcPr>
          <w:p w14:paraId="2F8DA808"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Never married</w:t>
            </w:r>
          </w:p>
        </w:tc>
        <w:tc>
          <w:tcPr>
            <w:tcW w:w="0" w:type="auto"/>
            <w:vAlign w:val="center"/>
            <w:hideMark/>
          </w:tcPr>
          <w:p w14:paraId="6874121F"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1,967 (28.0)</w:t>
            </w:r>
          </w:p>
        </w:tc>
        <w:tc>
          <w:tcPr>
            <w:tcW w:w="0" w:type="auto"/>
            <w:vAlign w:val="center"/>
            <w:hideMark/>
          </w:tcPr>
          <w:p w14:paraId="47E81996"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1,813 (92.2)</w:t>
            </w:r>
          </w:p>
        </w:tc>
        <w:tc>
          <w:tcPr>
            <w:tcW w:w="0" w:type="auto"/>
            <w:vAlign w:val="center"/>
            <w:hideMark/>
          </w:tcPr>
          <w:p w14:paraId="2E2A5FAB"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154 (7.8)</w:t>
            </w:r>
          </w:p>
        </w:tc>
      </w:tr>
      <w:tr w:rsidR="00A451F7" w:rsidRPr="00A451F7" w14:paraId="1340A4A1" w14:textId="77777777" w:rsidTr="00A451F7">
        <w:trPr>
          <w:tblCellSpacing w:w="15" w:type="dxa"/>
        </w:trPr>
        <w:tc>
          <w:tcPr>
            <w:tcW w:w="0" w:type="auto"/>
            <w:vAlign w:val="center"/>
            <w:hideMark/>
          </w:tcPr>
          <w:p w14:paraId="12D4A5B8"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Divorced/Separated/Widowed</w:t>
            </w:r>
          </w:p>
        </w:tc>
        <w:tc>
          <w:tcPr>
            <w:tcW w:w="0" w:type="auto"/>
            <w:vAlign w:val="center"/>
            <w:hideMark/>
          </w:tcPr>
          <w:p w14:paraId="02E6481C"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547 (7.8)</w:t>
            </w:r>
          </w:p>
        </w:tc>
        <w:tc>
          <w:tcPr>
            <w:tcW w:w="0" w:type="auto"/>
            <w:vAlign w:val="center"/>
            <w:hideMark/>
          </w:tcPr>
          <w:p w14:paraId="5768F97E"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512 (93.6)</w:t>
            </w:r>
          </w:p>
        </w:tc>
        <w:tc>
          <w:tcPr>
            <w:tcW w:w="0" w:type="auto"/>
            <w:vAlign w:val="center"/>
            <w:hideMark/>
          </w:tcPr>
          <w:p w14:paraId="71382DC4"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35 (6.4)</w:t>
            </w:r>
          </w:p>
        </w:tc>
      </w:tr>
      <w:tr w:rsidR="00A451F7" w:rsidRPr="00A451F7" w14:paraId="538EE55B" w14:textId="77777777" w:rsidTr="00A451F7">
        <w:trPr>
          <w:tblCellSpacing w:w="15" w:type="dxa"/>
        </w:trPr>
        <w:tc>
          <w:tcPr>
            <w:tcW w:w="0" w:type="auto"/>
            <w:vAlign w:val="center"/>
            <w:hideMark/>
          </w:tcPr>
          <w:p w14:paraId="31F861AC"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b/>
                <w:bCs/>
              </w:rPr>
              <w:t>Educational Attainment</w:t>
            </w:r>
          </w:p>
        </w:tc>
        <w:tc>
          <w:tcPr>
            <w:tcW w:w="0" w:type="auto"/>
            <w:vAlign w:val="center"/>
            <w:hideMark/>
          </w:tcPr>
          <w:p w14:paraId="20C7CB45" w14:textId="77777777" w:rsidR="00A451F7" w:rsidRPr="00A451F7" w:rsidRDefault="00A451F7" w:rsidP="00A451F7">
            <w:pPr>
              <w:spacing w:after="0" w:line="240" w:lineRule="auto"/>
              <w:rPr>
                <w:rFonts w:ascii="Times New Roman" w:hAnsi="Times New Roman" w:cs="Times New Roman"/>
              </w:rPr>
            </w:pPr>
          </w:p>
        </w:tc>
        <w:tc>
          <w:tcPr>
            <w:tcW w:w="0" w:type="auto"/>
            <w:vAlign w:val="center"/>
            <w:hideMark/>
          </w:tcPr>
          <w:p w14:paraId="2BCDC9FE" w14:textId="77777777" w:rsidR="00A451F7" w:rsidRPr="00A451F7" w:rsidRDefault="00A451F7" w:rsidP="00A451F7">
            <w:pPr>
              <w:spacing w:after="0" w:line="240" w:lineRule="auto"/>
              <w:rPr>
                <w:rFonts w:ascii="Times New Roman" w:hAnsi="Times New Roman" w:cs="Times New Roman"/>
              </w:rPr>
            </w:pPr>
          </w:p>
        </w:tc>
        <w:tc>
          <w:tcPr>
            <w:tcW w:w="0" w:type="auto"/>
            <w:vAlign w:val="center"/>
            <w:hideMark/>
          </w:tcPr>
          <w:p w14:paraId="10CAEA65" w14:textId="77777777" w:rsidR="00A451F7" w:rsidRPr="00A451F7" w:rsidRDefault="00A451F7" w:rsidP="00A451F7">
            <w:pPr>
              <w:spacing w:after="0" w:line="240" w:lineRule="auto"/>
              <w:rPr>
                <w:rFonts w:ascii="Times New Roman" w:hAnsi="Times New Roman" w:cs="Times New Roman"/>
              </w:rPr>
            </w:pPr>
          </w:p>
        </w:tc>
      </w:tr>
      <w:tr w:rsidR="00A451F7" w:rsidRPr="00A451F7" w14:paraId="3DE1A859" w14:textId="77777777" w:rsidTr="00A451F7">
        <w:trPr>
          <w:tblCellSpacing w:w="15" w:type="dxa"/>
        </w:trPr>
        <w:tc>
          <w:tcPr>
            <w:tcW w:w="0" w:type="auto"/>
            <w:vAlign w:val="center"/>
            <w:hideMark/>
          </w:tcPr>
          <w:p w14:paraId="2C01A488"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No formal education</w:t>
            </w:r>
          </w:p>
        </w:tc>
        <w:tc>
          <w:tcPr>
            <w:tcW w:w="0" w:type="auto"/>
            <w:vAlign w:val="center"/>
            <w:hideMark/>
          </w:tcPr>
          <w:p w14:paraId="5611D264"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801 (11.4)</w:t>
            </w:r>
          </w:p>
        </w:tc>
        <w:tc>
          <w:tcPr>
            <w:tcW w:w="0" w:type="auto"/>
            <w:vAlign w:val="center"/>
            <w:hideMark/>
          </w:tcPr>
          <w:p w14:paraId="04C13021"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731 (91.3)</w:t>
            </w:r>
          </w:p>
        </w:tc>
        <w:tc>
          <w:tcPr>
            <w:tcW w:w="0" w:type="auto"/>
            <w:vAlign w:val="center"/>
            <w:hideMark/>
          </w:tcPr>
          <w:p w14:paraId="026027C0"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70 (8.7)</w:t>
            </w:r>
          </w:p>
        </w:tc>
      </w:tr>
      <w:tr w:rsidR="00A451F7" w:rsidRPr="00A451F7" w14:paraId="37C424CE" w14:textId="77777777" w:rsidTr="00A451F7">
        <w:trPr>
          <w:tblCellSpacing w:w="15" w:type="dxa"/>
        </w:trPr>
        <w:tc>
          <w:tcPr>
            <w:tcW w:w="0" w:type="auto"/>
            <w:vAlign w:val="center"/>
            <w:hideMark/>
          </w:tcPr>
          <w:p w14:paraId="15042FA2"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Vocational/Arabic</w:t>
            </w:r>
          </w:p>
        </w:tc>
        <w:tc>
          <w:tcPr>
            <w:tcW w:w="0" w:type="auto"/>
            <w:vAlign w:val="center"/>
            <w:hideMark/>
          </w:tcPr>
          <w:p w14:paraId="5CA42767"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119 (1.7)</w:t>
            </w:r>
          </w:p>
        </w:tc>
        <w:tc>
          <w:tcPr>
            <w:tcW w:w="0" w:type="auto"/>
            <w:vAlign w:val="center"/>
            <w:hideMark/>
          </w:tcPr>
          <w:p w14:paraId="2088742F"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109 (91.6)</w:t>
            </w:r>
          </w:p>
        </w:tc>
        <w:tc>
          <w:tcPr>
            <w:tcW w:w="0" w:type="auto"/>
            <w:vAlign w:val="center"/>
            <w:hideMark/>
          </w:tcPr>
          <w:p w14:paraId="2DDDF9C7"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10 (8.4)</w:t>
            </w:r>
          </w:p>
        </w:tc>
      </w:tr>
      <w:tr w:rsidR="00A451F7" w:rsidRPr="00A451F7" w14:paraId="657F3BAD" w14:textId="77777777" w:rsidTr="00A451F7">
        <w:trPr>
          <w:tblCellSpacing w:w="15" w:type="dxa"/>
        </w:trPr>
        <w:tc>
          <w:tcPr>
            <w:tcW w:w="0" w:type="auto"/>
            <w:vAlign w:val="center"/>
            <w:hideMark/>
          </w:tcPr>
          <w:p w14:paraId="7AC4C0AF"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Primary school</w:t>
            </w:r>
          </w:p>
        </w:tc>
        <w:tc>
          <w:tcPr>
            <w:tcW w:w="0" w:type="auto"/>
            <w:vAlign w:val="center"/>
            <w:hideMark/>
          </w:tcPr>
          <w:p w14:paraId="6920EF36"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2,536 (36.1)</w:t>
            </w:r>
          </w:p>
        </w:tc>
        <w:tc>
          <w:tcPr>
            <w:tcW w:w="0" w:type="auto"/>
            <w:vAlign w:val="center"/>
            <w:hideMark/>
          </w:tcPr>
          <w:p w14:paraId="2F85CB5A"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2,374 (93.6)</w:t>
            </w:r>
          </w:p>
        </w:tc>
        <w:tc>
          <w:tcPr>
            <w:tcW w:w="0" w:type="auto"/>
            <w:vAlign w:val="center"/>
            <w:hideMark/>
          </w:tcPr>
          <w:p w14:paraId="3AD70247"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162 (6.4)</w:t>
            </w:r>
          </w:p>
        </w:tc>
      </w:tr>
      <w:tr w:rsidR="00A451F7" w:rsidRPr="00A451F7" w14:paraId="78AB8AED" w14:textId="77777777" w:rsidTr="00A451F7">
        <w:trPr>
          <w:tblCellSpacing w:w="15" w:type="dxa"/>
        </w:trPr>
        <w:tc>
          <w:tcPr>
            <w:tcW w:w="0" w:type="auto"/>
            <w:vAlign w:val="center"/>
            <w:hideMark/>
          </w:tcPr>
          <w:p w14:paraId="5D214C8A"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Secondary school</w:t>
            </w:r>
          </w:p>
        </w:tc>
        <w:tc>
          <w:tcPr>
            <w:tcW w:w="0" w:type="auto"/>
            <w:vAlign w:val="center"/>
            <w:hideMark/>
          </w:tcPr>
          <w:p w14:paraId="61822B2A"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2,485 (35.4)</w:t>
            </w:r>
          </w:p>
        </w:tc>
        <w:tc>
          <w:tcPr>
            <w:tcW w:w="0" w:type="auto"/>
            <w:vAlign w:val="center"/>
            <w:hideMark/>
          </w:tcPr>
          <w:p w14:paraId="59BECCB6"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2,328 (93.7)</w:t>
            </w:r>
          </w:p>
        </w:tc>
        <w:tc>
          <w:tcPr>
            <w:tcW w:w="0" w:type="auto"/>
            <w:vAlign w:val="center"/>
            <w:hideMark/>
          </w:tcPr>
          <w:p w14:paraId="07C055E3"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157 (6.3)</w:t>
            </w:r>
          </w:p>
        </w:tc>
      </w:tr>
      <w:tr w:rsidR="00A451F7" w:rsidRPr="00A451F7" w14:paraId="5DF0F8D1" w14:textId="77777777" w:rsidTr="00A451F7">
        <w:trPr>
          <w:tblCellSpacing w:w="15" w:type="dxa"/>
        </w:trPr>
        <w:tc>
          <w:tcPr>
            <w:tcW w:w="0" w:type="auto"/>
            <w:vAlign w:val="center"/>
            <w:hideMark/>
          </w:tcPr>
          <w:p w14:paraId="67FD9F68"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Tertiary education</w:t>
            </w:r>
          </w:p>
        </w:tc>
        <w:tc>
          <w:tcPr>
            <w:tcW w:w="0" w:type="auto"/>
            <w:vAlign w:val="center"/>
            <w:hideMark/>
          </w:tcPr>
          <w:p w14:paraId="07D9359F"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1,088 (15.5)</w:t>
            </w:r>
          </w:p>
        </w:tc>
        <w:tc>
          <w:tcPr>
            <w:tcW w:w="0" w:type="auto"/>
            <w:vAlign w:val="center"/>
            <w:hideMark/>
          </w:tcPr>
          <w:p w14:paraId="32EACA43"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1,034 (95.0)</w:t>
            </w:r>
          </w:p>
        </w:tc>
        <w:tc>
          <w:tcPr>
            <w:tcW w:w="0" w:type="auto"/>
            <w:vAlign w:val="center"/>
            <w:hideMark/>
          </w:tcPr>
          <w:p w14:paraId="745E3A56"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54 (5.0)</w:t>
            </w:r>
          </w:p>
        </w:tc>
      </w:tr>
      <w:tr w:rsidR="00A451F7" w:rsidRPr="00A451F7" w14:paraId="4ADC768C" w14:textId="77777777" w:rsidTr="00A451F7">
        <w:trPr>
          <w:tblCellSpacing w:w="15" w:type="dxa"/>
        </w:trPr>
        <w:tc>
          <w:tcPr>
            <w:tcW w:w="0" w:type="auto"/>
            <w:vAlign w:val="center"/>
            <w:hideMark/>
          </w:tcPr>
          <w:p w14:paraId="00864245"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b/>
                <w:bCs/>
              </w:rPr>
              <w:t>Employment Status</w:t>
            </w:r>
          </w:p>
        </w:tc>
        <w:tc>
          <w:tcPr>
            <w:tcW w:w="0" w:type="auto"/>
            <w:vAlign w:val="center"/>
            <w:hideMark/>
          </w:tcPr>
          <w:p w14:paraId="39A90A76" w14:textId="77777777" w:rsidR="00A451F7" w:rsidRPr="00A451F7" w:rsidRDefault="00A451F7" w:rsidP="00A451F7">
            <w:pPr>
              <w:spacing w:after="0" w:line="240" w:lineRule="auto"/>
              <w:rPr>
                <w:rFonts w:ascii="Times New Roman" w:hAnsi="Times New Roman" w:cs="Times New Roman"/>
              </w:rPr>
            </w:pPr>
          </w:p>
        </w:tc>
        <w:tc>
          <w:tcPr>
            <w:tcW w:w="0" w:type="auto"/>
            <w:vAlign w:val="center"/>
            <w:hideMark/>
          </w:tcPr>
          <w:p w14:paraId="25032FF4" w14:textId="77777777" w:rsidR="00A451F7" w:rsidRPr="00A451F7" w:rsidRDefault="00A451F7" w:rsidP="00A451F7">
            <w:pPr>
              <w:spacing w:after="0" w:line="240" w:lineRule="auto"/>
              <w:rPr>
                <w:rFonts w:ascii="Times New Roman" w:hAnsi="Times New Roman" w:cs="Times New Roman"/>
              </w:rPr>
            </w:pPr>
          </w:p>
        </w:tc>
        <w:tc>
          <w:tcPr>
            <w:tcW w:w="0" w:type="auto"/>
            <w:vAlign w:val="center"/>
            <w:hideMark/>
          </w:tcPr>
          <w:p w14:paraId="065375D7" w14:textId="77777777" w:rsidR="00A451F7" w:rsidRPr="00A451F7" w:rsidRDefault="00A451F7" w:rsidP="00A451F7">
            <w:pPr>
              <w:spacing w:after="0" w:line="240" w:lineRule="auto"/>
              <w:rPr>
                <w:rFonts w:ascii="Times New Roman" w:hAnsi="Times New Roman" w:cs="Times New Roman"/>
              </w:rPr>
            </w:pPr>
          </w:p>
        </w:tc>
      </w:tr>
      <w:tr w:rsidR="00A451F7" w:rsidRPr="00A451F7" w14:paraId="4A90A981" w14:textId="77777777" w:rsidTr="00A451F7">
        <w:trPr>
          <w:tblCellSpacing w:w="15" w:type="dxa"/>
        </w:trPr>
        <w:tc>
          <w:tcPr>
            <w:tcW w:w="0" w:type="auto"/>
            <w:vAlign w:val="center"/>
            <w:hideMark/>
          </w:tcPr>
          <w:p w14:paraId="06BCB09B"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Employed</w:t>
            </w:r>
          </w:p>
        </w:tc>
        <w:tc>
          <w:tcPr>
            <w:tcW w:w="0" w:type="auto"/>
            <w:vAlign w:val="center"/>
            <w:hideMark/>
          </w:tcPr>
          <w:p w14:paraId="0FCFD253"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1,155 (16.4)</w:t>
            </w:r>
          </w:p>
        </w:tc>
        <w:tc>
          <w:tcPr>
            <w:tcW w:w="0" w:type="auto"/>
            <w:vAlign w:val="center"/>
            <w:hideMark/>
          </w:tcPr>
          <w:p w14:paraId="32C46D7B"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1,094 (94.7)</w:t>
            </w:r>
          </w:p>
        </w:tc>
        <w:tc>
          <w:tcPr>
            <w:tcW w:w="0" w:type="auto"/>
            <w:vAlign w:val="center"/>
            <w:hideMark/>
          </w:tcPr>
          <w:p w14:paraId="34A8CB6B"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61 (5.3)</w:t>
            </w:r>
          </w:p>
        </w:tc>
      </w:tr>
      <w:tr w:rsidR="00A451F7" w:rsidRPr="00A451F7" w14:paraId="254280D8" w14:textId="77777777" w:rsidTr="00A451F7">
        <w:trPr>
          <w:tblCellSpacing w:w="15" w:type="dxa"/>
        </w:trPr>
        <w:tc>
          <w:tcPr>
            <w:tcW w:w="0" w:type="auto"/>
            <w:vAlign w:val="center"/>
            <w:hideMark/>
          </w:tcPr>
          <w:p w14:paraId="2AC38757"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Unemployed/Other</w:t>
            </w:r>
          </w:p>
        </w:tc>
        <w:tc>
          <w:tcPr>
            <w:tcW w:w="0" w:type="auto"/>
            <w:vAlign w:val="center"/>
            <w:hideMark/>
          </w:tcPr>
          <w:p w14:paraId="2A2BE767"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5,874 (83.6)</w:t>
            </w:r>
          </w:p>
        </w:tc>
        <w:tc>
          <w:tcPr>
            <w:tcW w:w="0" w:type="auto"/>
            <w:vAlign w:val="center"/>
            <w:hideMark/>
          </w:tcPr>
          <w:p w14:paraId="7159293D"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5,482 (93.3)</w:t>
            </w:r>
          </w:p>
        </w:tc>
        <w:tc>
          <w:tcPr>
            <w:tcW w:w="0" w:type="auto"/>
            <w:vAlign w:val="center"/>
            <w:hideMark/>
          </w:tcPr>
          <w:p w14:paraId="04900CAA"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392 (6.7)</w:t>
            </w:r>
          </w:p>
        </w:tc>
      </w:tr>
    </w:tbl>
    <w:p w14:paraId="0355A2F5" w14:textId="77777777" w:rsidR="00A451F7" w:rsidRPr="00A451F7" w:rsidRDefault="00A451F7" w:rsidP="00A451F7">
      <w:pPr>
        <w:spacing w:line="240" w:lineRule="auto"/>
        <w:jc w:val="both"/>
        <w:rPr>
          <w:rFonts w:ascii="Times New Roman" w:hAnsi="Times New Roman" w:cs="Times New Roman"/>
          <w:sz w:val="24"/>
          <w:szCs w:val="24"/>
        </w:rPr>
      </w:pPr>
      <w:r w:rsidRPr="00A451F7">
        <w:rPr>
          <w:rFonts w:ascii="Times New Roman" w:hAnsi="Times New Roman" w:cs="Times New Roman"/>
          <w:i/>
          <w:iCs/>
          <w:sz w:val="24"/>
          <w:szCs w:val="24"/>
        </w:rPr>
        <w:t>Note. Overall N (Col %) represents the proportion of the total cohort within that specific demographic category. Suppressed n (Row %) and Unsuppressed n (Row %) represent the proportion of patients within that specific demographic category who achieved or failed to achieve virologic suppression, respectively.</w:t>
      </w:r>
    </w:p>
    <w:p w14:paraId="0759453C" w14:textId="77777777" w:rsidR="00A451F7" w:rsidRPr="00A451F7" w:rsidRDefault="00A451F7" w:rsidP="00A451F7">
      <w:pPr>
        <w:spacing w:line="240" w:lineRule="auto"/>
        <w:jc w:val="both"/>
        <w:rPr>
          <w:rFonts w:ascii="Times New Roman" w:hAnsi="Times New Roman" w:cs="Times New Roman"/>
          <w:sz w:val="24"/>
          <w:szCs w:val="24"/>
        </w:rPr>
      </w:pPr>
      <w:r w:rsidRPr="00A451F7">
        <w:rPr>
          <w:rFonts w:ascii="Times New Roman" w:hAnsi="Times New Roman" w:cs="Times New Roman"/>
          <w:i/>
          <w:iCs/>
          <w:sz w:val="24"/>
          <w:szCs w:val="24"/>
        </w:rPr>
        <w:t>Source: Researcher's Field Survey Data (2026)</w:t>
      </w:r>
    </w:p>
    <w:p w14:paraId="06C1B311" w14:textId="77777777" w:rsidR="00A451F7" w:rsidRPr="00A451F7" w:rsidRDefault="00A451F7" w:rsidP="00A451F7">
      <w:pPr>
        <w:spacing w:line="480" w:lineRule="auto"/>
        <w:jc w:val="both"/>
        <w:rPr>
          <w:rFonts w:ascii="Times New Roman" w:hAnsi="Times New Roman" w:cs="Times New Roman"/>
          <w:sz w:val="24"/>
          <w:szCs w:val="24"/>
        </w:rPr>
      </w:pPr>
      <w:r w:rsidRPr="00A451F7">
        <w:rPr>
          <w:rFonts w:ascii="Times New Roman" w:hAnsi="Times New Roman" w:cs="Times New Roman"/>
          <w:sz w:val="24"/>
          <w:szCs w:val="24"/>
        </w:rPr>
        <w:lastRenderedPageBreak/>
        <w:t xml:space="preserve">Females constituted the majority of the study population at 67.5% (n = 4,744), consistent with the established higher female enrollment characteristic of ART </w:t>
      </w:r>
      <w:proofErr w:type="spellStart"/>
      <w:r w:rsidRPr="00A451F7">
        <w:rPr>
          <w:rFonts w:ascii="Times New Roman" w:hAnsi="Times New Roman" w:cs="Times New Roman"/>
          <w:sz w:val="24"/>
          <w:szCs w:val="24"/>
        </w:rPr>
        <w:t>programmes</w:t>
      </w:r>
      <w:proofErr w:type="spellEnd"/>
      <w:r w:rsidRPr="00A451F7">
        <w:rPr>
          <w:rFonts w:ascii="Times New Roman" w:hAnsi="Times New Roman" w:cs="Times New Roman"/>
          <w:sz w:val="24"/>
          <w:szCs w:val="24"/>
        </w:rPr>
        <w:t xml:space="preserve"> in Plateau State, which is partly attributable to the integration of HIV services within maternal and child health frameworks. At the within-group level, male patients recorded a marginally higher crude suppression rate of 94.0% compared to 93.3% among females. This difference departs from documented Sub-Saharan African evidence on the male deficit in care engagement and warrants rigorous interpretation during the multivariable analysis.</w:t>
      </w:r>
    </w:p>
    <w:p w14:paraId="4FFF435B" w14:textId="77777777" w:rsidR="00A451F7" w:rsidRPr="00A451F7" w:rsidRDefault="00A451F7" w:rsidP="00A451F7">
      <w:pPr>
        <w:spacing w:line="480" w:lineRule="auto"/>
        <w:jc w:val="both"/>
        <w:rPr>
          <w:rFonts w:ascii="Times New Roman" w:hAnsi="Times New Roman" w:cs="Times New Roman"/>
          <w:sz w:val="24"/>
          <w:szCs w:val="24"/>
        </w:rPr>
      </w:pPr>
      <w:r w:rsidRPr="00A451F7">
        <w:rPr>
          <w:rFonts w:ascii="Times New Roman" w:hAnsi="Times New Roman" w:cs="Times New Roman"/>
          <w:sz w:val="24"/>
          <w:szCs w:val="24"/>
        </w:rPr>
        <w:t>Age at ART initiation demonstrated a clear monotonic gradient in crude suppression rates. Patients aged 18 to 24 years recorded the lowest within-group suppression rate at 91.8%, with 8.2% of this demographic remaining virologically unsuppressed. Suppression rates improved progressively across older cohorts, reaching 93.2% among those aged 25 to 34 years, 94.3% among those aged 35 to 44 years, and peaking at 94.4% among patients aged 45 years and older. This inverse relationship between age and virologic failure, wherein the youngest patients experienced the highest failure rate despite comprising only 13.2% of the total cohort, signals a disproportionate vulnerability among young adults that will be subjected to formal inferential testing.</w:t>
      </w:r>
    </w:p>
    <w:p w14:paraId="0EC7CC09" w14:textId="77777777" w:rsidR="00A451F7" w:rsidRPr="00A451F7" w:rsidRDefault="00A451F7" w:rsidP="00A451F7">
      <w:pPr>
        <w:spacing w:line="480" w:lineRule="auto"/>
        <w:jc w:val="both"/>
        <w:rPr>
          <w:rFonts w:ascii="Times New Roman" w:hAnsi="Times New Roman" w:cs="Times New Roman"/>
          <w:sz w:val="24"/>
          <w:szCs w:val="24"/>
        </w:rPr>
      </w:pPr>
      <w:r w:rsidRPr="00A451F7">
        <w:rPr>
          <w:rFonts w:ascii="Times New Roman" w:hAnsi="Times New Roman" w:cs="Times New Roman"/>
          <w:sz w:val="24"/>
          <w:szCs w:val="24"/>
        </w:rPr>
        <w:t>Marital status exhibited a similarly discernible pattern in crude suppression rates. Married patients, who formed the largest group at 64.2% of the cohort, recorded the highest within-group suppression rate at 94.2%, with only 5.8% of this group remaining unsuppressed. Never-married patients, comprising 28.0% of the cohort, recorded a crude suppression rate of 92.2%, corresponding to a virologic failure rate of 7.8%. Divorced, separated, and widowed patients demonstrated an intermediate suppression rate of 93.6%, with 6.4% failing to achieve suppression. The two-percentage-point differential between married and never-married patients points to the potential role of partnership-based social support in sustaining treatment adherence.</w:t>
      </w:r>
    </w:p>
    <w:p w14:paraId="21EB1DCF" w14:textId="77777777" w:rsidR="00A451F7" w:rsidRPr="00A451F7" w:rsidRDefault="00A451F7" w:rsidP="00A451F7">
      <w:pPr>
        <w:spacing w:line="480" w:lineRule="auto"/>
        <w:jc w:val="both"/>
        <w:rPr>
          <w:rFonts w:ascii="Times New Roman" w:hAnsi="Times New Roman" w:cs="Times New Roman"/>
          <w:sz w:val="24"/>
          <w:szCs w:val="24"/>
        </w:rPr>
      </w:pPr>
      <w:r w:rsidRPr="00A451F7">
        <w:rPr>
          <w:rFonts w:ascii="Times New Roman" w:hAnsi="Times New Roman" w:cs="Times New Roman"/>
          <w:sz w:val="24"/>
          <w:szCs w:val="24"/>
        </w:rPr>
        <w:lastRenderedPageBreak/>
        <w:t>Educational attainment followed the most pronounced dose-response gradient among sociodemographic variables. Patients with no formal education recorded the lowest crude suppression rate at 91.3%, with 8.7% remaining virologically unsuppressed. The vocational and Arabic education category demonstrated a comparable rate of 91.6% suppression. Primary and secondary school completers recorded nearly identical suppression rates of 93.6% and 93.7%, respectively. Crucially, patients with tertiary education achieved the highest within-group suppression rate at 95.0%, with only 5.0% failing to suppress. This 3.7 percentage-point advantage over those with no formal schooling provides compelling descriptive evidence of an education-to-suppression relationship that will require formal multivariable adjustment.</w:t>
      </w:r>
    </w:p>
    <w:p w14:paraId="53E34BF0" w14:textId="77777777" w:rsidR="00A451F7" w:rsidRDefault="00A451F7" w:rsidP="00A451F7">
      <w:pPr>
        <w:spacing w:line="480" w:lineRule="auto"/>
        <w:jc w:val="both"/>
        <w:rPr>
          <w:rFonts w:ascii="Times New Roman" w:hAnsi="Times New Roman" w:cs="Times New Roman"/>
          <w:sz w:val="24"/>
          <w:szCs w:val="24"/>
        </w:rPr>
      </w:pPr>
      <w:r w:rsidRPr="00A451F7">
        <w:rPr>
          <w:rFonts w:ascii="Times New Roman" w:hAnsi="Times New Roman" w:cs="Times New Roman"/>
          <w:sz w:val="24"/>
          <w:szCs w:val="24"/>
        </w:rPr>
        <w:t>Employment status demonstrated a modest differential in crude suppression. Employed patients, comprising 16.4% of the cohort, recorded a suppression rate of 94.7%, compared to 93.3% among unemployed and otherwise economically inactive patients who constituted the overwhelming majority at 83.6%. While the absolute difference of 1.4 percentage points is modest, the direction and pattern are consistent with the theoretical expectation that stable employment supports medication adherence through structured routines and economic stability.</w:t>
      </w:r>
    </w:p>
    <w:p w14:paraId="51E529CD" w14:textId="77777777" w:rsidR="00A451F7" w:rsidRPr="00A451F7" w:rsidRDefault="00A451F7" w:rsidP="00A451F7">
      <w:pPr>
        <w:spacing w:line="480" w:lineRule="auto"/>
        <w:jc w:val="both"/>
        <w:rPr>
          <w:rFonts w:ascii="Times New Roman" w:hAnsi="Times New Roman" w:cs="Times New Roman"/>
          <w:b/>
          <w:bCs/>
          <w:sz w:val="24"/>
          <w:szCs w:val="24"/>
        </w:rPr>
      </w:pPr>
      <w:r w:rsidRPr="00A451F7">
        <w:rPr>
          <w:rFonts w:ascii="Times New Roman" w:hAnsi="Times New Roman" w:cs="Times New Roman"/>
          <w:b/>
          <w:bCs/>
          <w:sz w:val="24"/>
          <w:szCs w:val="24"/>
        </w:rPr>
        <w:t>4.2.1.2 Clinical and Treatment Related Characteristics</w:t>
      </w:r>
    </w:p>
    <w:p w14:paraId="5F8181BA" w14:textId="77777777" w:rsidR="00A451F7" w:rsidRPr="00A451F7" w:rsidRDefault="00A451F7" w:rsidP="00A451F7">
      <w:pPr>
        <w:spacing w:line="480" w:lineRule="auto"/>
        <w:jc w:val="both"/>
        <w:rPr>
          <w:rFonts w:ascii="Times New Roman" w:hAnsi="Times New Roman" w:cs="Times New Roman"/>
          <w:sz w:val="24"/>
          <w:szCs w:val="24"/>
        </w:rPr>
      </w:pPr>
      <w:r w:rsidRPr="00A451F7">
        <w:rPr>
          <w:rFonts w:ascii="Times New Roman" w:hAnsi="Times New Roman" w:cs="Times New Roman"/>
          <w:sz w:val="24"/>
          <w:szCs w:val="24"/>
        </w:rPr>
        <w:t>Table 4.3 presents the clinical and treatment profile of the cohort, including baseline viral load status as a mandatory clinical covariate.</w:t>
      </w:r>
    </w:p>
    <w:p w14:paraId="065A97C3" w14:textId="77777777" w:rsidR="00A451F7" w:rsidRDefault="00A451F7" w:rsidP="00A451F7">
      <w:pPr>
        <w:spacing w:line="480" w:lineRule="auto"/>
        <w:jc w:val="both"/>
        <w:rPr>
          <w:rFonts w:ascii="Times New Roman" w:hAnsi="Times New Roman" w:cs="Times New Roman"/>
          <w:b/>
          <w:bCs/>
          <w:sz w:val="24"/>
          <w:szCs w:val="24"/>
        </w:rPr>
      </w:pPr>
    </w:p>
    <w:p w14:paraId="5C7CC97D" w14:textId="77777777" w:rsidR="00A451F7" w:rsidRDefault="00A451F7" w:rsidP="00A451F7">
      <w:pPr>
        <w:spacing w:line="480" w:lineRule="auto"/>
        <w:jc w:val="both"/>
        <w:rPr>
          <w:rFonts w:ascii="Times New Roman" w:hAnsi="Times New Roman" w:cs="Times New Roman"/>
          <w:b/>
          <w:bCs/>
          <w:sz w:val="24"/>
          <w:szCs w:val="24"/>
        </w:rPr>
      </w:pPr>
    </w:p>
    <w:p w14:paraId="3A4A9C59" w14:textId="77777777" w:rsidR="00A451F7" w:rsidRDefault="00A451F7" w:rsidP="00A451F7">
      <w:pPr>
        <w:spacing w:line="480" w:lineRule="auto"/>
        <w:jc w:val="both"/>
        <w:rPr>
          <w:rFonts w:ascii="Times New Roman" w:hAnsi="Times New Roman" w:cs="Times New Roman"/>
          <w:b/>
          <w:bCs/>
          <w:sz w:val="24"/>
          <w:szCs w:val="24"/>
        </w:rPr>
      </w:pPr>
    </w:p>
    <w:p w14:paraId="5B5CD74D" w14:textId="77777777" w:rsidR="00A451F7" w:rsidRPr="00A451F7" w:rsidRDefault="00A451F7" w:rsidP="00474032">
      <w:pPr>
        <w:spacing w:line="360" w:lineRule="auto"/>
        <w:jc w:val="both"/>
        <w:rPr>
          <w:rFonts w:ascii="Times New Roman" w:hAnsi="Times New Roman" w:cs="Times New Roman"/>
          <w:sz w:val="24"/>
          <w:szCs w:val="24"/>
        </w:rPr>
      </w:pPr>
      <w:r w:rsidRPr="00A451F7">
        <w:rPr>
          <w:rFonts w:ascii="Times New Roman" w:hAnsi="Times New Roman" w:cs="Times New Roman"/>
          <w:b/>
          <w:bCs/>
          <w:sz w:val="24"/>
          <w:szCs w:val="24"/>
        </w:rPr>
        <w:lastRenderedPageBreak/>
        <w:t>Table 4.3: Clinical and Treatment Profile of Patients by Viral Load Suppression Status (N = 7,029)</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528"/>
        <w:gridCol w:w="1580"/>
        <w:gridCol w:w="1996"/>
        <w:gridCol w:w="2256"/>
      </w:tblGrid>
      <w:tr w:rsidR="00A451F7" w:rsidRPr="00A451F7" w14:paraId="13F51CD3" w14:textId="77777777" w:rsidTr="00A451F7">
        <w:trPr>
          <w:tblHeader/>
          <w:tblCellSpacing w:w="15" w:type="dxa"/>
        </w:trPr>
        <w:tc>
          <w:tcPr>
            <w:tcW w:w="0" w:type="auto"/>
            <w:tcBorders>
              <w:bottom w:val="single" w:sz="4" w:space="0" w:color="auto"/>
            </w:tcBorders>
            <w:vAlign w:val="center"/>
            <w:hideMark/>
          </w:tcPr>
          <w:p w14:paraId="13BC7E11"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b/>
                <w:bCs/>
              </w:rPr>
              <w:t>Characteristic</w:t>
            </w:r>
          </w:p>
        </w:tc>
        <w:tc>
          <w:tcPr>
            <w:tcW w:w="0" w:type="auto"/>
            <w:tcBorders>
              <w:bottom w:val="single" w:sz="4" w:space="0" w:color="auto"/>
            </w:tcBorders>
            <w:vAlign w:val="center"/>
            <w:hideMark/>
          </w:tcPr>
          <w:p w14:paraId="413D0487"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b/>
                <w:bCs/>
              </w:rPr>
              <w:t>Overall N (Col %)</w:t>
            </w:r>
          </w:p>
        </w:tc>
        <w:tc>
          <w:tcPr>
            <w:tcW w:w="0" w:type="auto"/>
            <w:tcBorders>
              <w:bottom w:val="single" w:sz="4" w:space="0" w:color="auto"/>
            </w:tcBorders>
            <w:vAlign w:val="center"/>
            <w:hideMark/>
          </w:tcPr>
          <w:p w14:paraId="5CE38B47"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b/>
                <w:bCs/>
              </w:rPr>
              <w:t>Suppressed n (Row %)</w:t>
            </w:r>
          </w:p>
        </w:tc>
        <w:tc>
          <w:tcPr>
            <w:tcW w:w="0" w:type="auto"/>
            <w:tcBorders>
              <w:bottom w:val="single" w:sz="4" w:space="0" w:color="auto"/>
            </w:tcBorders>
            <w:vAlign w:val="center"/>
            <w:hideMark/>
          </w:tcPr>
          <w:p w14:paraId="206313A3"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b/>
                <w:bCs/>
              </w:rPr>
              <w:t>Unsuppressed n (Row %)</w:t>
            </w:r>
          </w:p>
        </w:tc>
      </w:tr>
      <w:tr w:rsidR="00A451F7" w:rsidRPr="00A451F7" w14:paraId="34CDC38F" w14:textId="77777777" w:rsidTr="00A451F7">
        <w:trPr>
          <w:tblCellSpacing w:w="15" w:type="dxa"/>
        </w:trPr>
        <w:tc>
          <w:tcPr>
            <w:tcW w:w="0" w:type="auto"/>
            <w:vAlign w:val="center"/>
            <w:hideMark/>
          </w:tcPr>
          <w:p w14:paraId="3D5F7E81"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b/>
                <w:bCs/>
              </w:rPr>
              <w:t>WHO Clinical Stage at ART Initiation</w:t>
            </w:r>
          </w:p>
        </w:tc>
        <w:tc>
          <w:tcPr>
            <w:tcW w:w="0" w:type="auto"/>
            <w:vAlign w:val="center"/>
            <w:hideMark/>
          </w:tcPr>
          <w:p w14:paraId="1384E904" w14:textId="77777777" w:rsidR="00A451F7" w:rsidRPr="00A451F7" w:rsidRDefault="00A451F7" w:rsidP="00A451F7">
            <w:pPr>
              <w:spacing w:after="0" w:line="240" w:lineRule="auto"/>
              <w:rPr>
                <w:rFonts w:ascii="Times New Roman" w:hAnsi="Times New Roman" w:cs="Times New Roman"/>
              </w:rPr>
            </w:pPr>
          </w:p>
        </w:tc>
        <w:tc>
          <w:tcPr>
            <w:tcW w:w="0" w:type="auto"/>
            <w:vAlign w:val="center"/>
            <w:hideMark/>
          </w:tcPr>
          <w:p w14:paraId="6CEC033C" w14:textId="77777777" w:rsidR="00A451F7" w:rsidRPr="00A451F7" w:rsidRDefault="00A451F7" w:rsidP="00A451F7">
            <w:pPr>
              <w:spacing w:after="0" w:line="240" w:lineRule="auto"/>
              <w:rPr>
                <w:rFonts w:ascii="Times New Roman" w:hAnsi="Times New Roman" w:cs="Times New Roman"/>
              </w:rPr>
            </w:pPr>
          </w:p>
        </w:tc>
        <w:tc>
          <w:tcPr>
            <w:tcW w:w="0" w:type="auto"/>
            <w:vAlign w:val="center"/>
            <w:hideMark/>
          </w:tcPr>
          <w:p w14:paraId="35450B42" w14:textId="77777777" w:rsidR="00A451F7" w:rsidRPr="00A451F7" w:rsidRDefault="00A451F7" w:rsidP="00A451F7">
            <w:pPr>
              <w:spacing w:after="0" w:line="240" w:lineRule="auto"/>
              <w:rPr>
                <w:rFonts w:ascii="Times New Roman" w:hAnsi="Times New Roman" w:cs="Times New Roman"/>
              </w:rPr>
            </w:pPr>
          </w:p>
        </w:tc>
      </w:tr>
      <w:tr w:rsidR="00A451F7" w:rsidRPr="00A451F7" w14:paraId="317EC413" w14:textId="77777777" w:rsidTr="00A451F7">
        <w:trPr>
          <w:tblCellSpacing w:w="15" w:type="dxa"/>
        </w:trPr>
        <w:tc>
          <w:tcPr>
            <w:tcW w:w="0" w:type="auto"/>
            <w:vAlign w:val="center"/>
            <w:hideMark/>
          </w:tcPr>
          <w:p w14:paraId="54D423F5"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Stage I</w:t>
            </w:r>
          </w:p>
        </w:tc>
        <w:tc>
          <w:tcPr>
            <w:tcW w:w="0" w:type="auto"/>
            <w:vAlign w:val="center"/>
            <w:hideMark/>
          </w:tcPr>
          <w:p w14:paraId="69745421"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6,236 (88.7)</w:t>
            </w:r>
          </w:p>
        </w:tc>
        <w:tc>
          <w:tcPr>
            <w:tcW w:w="0" w:type="auto"/>
            <w:vAlign w:val="center"/>
            <w:hideMark/>
          </w:tcPr>
          <w:p w14:paraId="2ECC65EF"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5,841 (93.7)</w:t>
            </w:r>
          </w:p>
        </w:tc>
        <w:tc>
          <w:tcPr>
            <w:tcW w:w="0" w:type="auto"/>
            <w:vAlign w:val="center"/>
            <w:hideMark/>
          </w:tcPr>
          <w:p w14:paraId="726F4389"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395 (6.3)</w:t>
            </w:r>
          </w:p>
        </w:tc>
      </w:tr>
      <w:tr w:rsidR="00A451F7" w:rsidRPr="00A451F7" w14:paraId="1A6849FC" w14:textId="77777777" w:rsidTr="00A451F7">
        <w:trPr>
          <w:tblCellSpacing w:w="15" w:type="dxa"/>
        </w:trPr>
        <w:tc>
          <w:tcPr>
            <w:tcW w:w="0" w:type="auto"/>
            <w:vAlign w:val="center"/>
            <w:hideMark/>
          </w:tcPr>
          <w:p w14:paraId="6734D68E"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Stage II</w:t>
            </w:r>
          </w:p>
        </w:tc>
        <w:tc>
          <w:tcPr>
            <w:tcW w:w="0" w:type="auto"/>
            <w:vAlign w:val="center"/>
            <w:hideMark/>
          </w:tcPr>
          <w:p w14:paraId="7117F4A1"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592 (8.4)</w:t>
            </w:r>
          </w:p>
        </w:tc>
        <w:tc>
          <w:tcPr>
            <w:tcW w:w="0" w:type="auto"/>
            <w:vAlign w:val="center"/>
            <w:hideMark/>
          </w:tcPr>
          <w:p w14:paraId="3F10A5AC"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550 (92.9)</w:t>
            </w:r>
          </w:p>
        </w:tc>
        <w:tc>
          <w:tcPr>
            <w:tcW w:w="0" w:type="auto"/>
            <w:vAlign w:val="center"/>
            <w:hideMark/>
          </w:tcPr>
          <w:p w14:paraId="7CB08196"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42 (7.1)</w:t>
            </w:r>
          </w:p>
        </w:tc>
      </w:tr>
      <w:tr w:rsidR="00A451F7" w:rsidRPr="00A451F7" w14:paraId="7C3E08E9" w14:textId="77777777" w:rsidTr="00A451F7">
        <w:trPr>
          <w:tblCellSpacing w:w="15" w:type="dxa"/>
        </w:trPr>
        <w:tc>
          <w:tcPr>
            <w:tcW w:w="0" w:type="auto"/>
            <w:vAlign w:val="center"/>
            <w:hideMark/>
          </w:tcPr>
          <w:p w14:paraId="2DEB1101"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Stage III</w:t>
            </w:r>
          </w:p>
        </w:tc>
        <w:tc>
          <w:tcPr>
            <w:tcW w:w="0" w:type="auto"/>
            <w:vAlign w:val="center"/>
            <w:hideMark/>
          </w:tcPr>
          <w:p w14:paraId="2DF81FA4"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184 (2.6)</w:t>
            </w:r>
          </w:p>
        </w:tc>
        <w:tc>
          <w:tcPr>
            <w:tcW w:w="0" w:type="auto"/>
            <w:vAlign w:val="center"/>
            <w:hideMark/>
          </w:tcPr>
          <w:p w14:paraId="22E2ACF9"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168 (91.3)</w:t>
            </w:r>
          </w:p>
        </w:tc>
        <w:tc>
          <w:tcPr>
            <w:tcW w:w="0" w:type="auto"/>
            <w:vAlign w:val="center"/>
            <w:hideMark/>
          </w:tcPr>
          <w:p w14:paraId="6D12907D"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16 (8.7)</w:t>
            </w:r>
          </w:p>
        </w:tc>
      </w:tr>
      <w:tr w:rsidR="00A451F7" w:rsidRPr="00A451F7" w14:paraId="7EDC2A2E" w14:textId="77777777" w:rsidTr="00A451F7">
        <w:trPr>
          <w:tblCellSpacing w:w="15" w:type="dxa"/>
        </w:trPr>
        <w:tc>
          <w:tcPr>
            <w:tcW w:w="0" w:type="auto"/>
            <w:vAlign w:val="center"/>
            <w:hideMark/>
          </w:tcPr>
          <w:p w14:paraId="72E8DC6F"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Stage IV</w:t>
            </w:r>
          </w:p>
        </w:tc>
        <w:tc>
          <w:tcPr>
            <w:tcW w:w="0" w:type="auto"/>
            <w:vAlign w:val="center"/>
            <w:hideMark/>
          </w:tcPr>
          <w:p w14:paraId="6A5D9006"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17 (0.2)</w:t>
            </w:r>
          </w:p>
        </w:tc>
        <w:tc>
          <w:tcPr>
            <w:tcW w:w="0" w:type="auto"/>
            <w:vAlign w:val="center"/>
            <w:hideMark/>
          </w:tcPr>
          <w:p w14:paraId="226B2035"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17 (100.0)</w:t>
            </w:r>
          </w:p>
        </w:tc>
        <w:tc>
          <w:tcPr>
            <w:tcW w:w="0" w:type="auto"/>
            <w:vAlign w:val="center"/>
            <w:hideMark/>
          </w:tcPr>
          <w:p w14:paraId="02BF458F"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0 (0.0)</w:t>
            </w:r>
          </w:p>
        </w:tc>
      </w:tr>
      <w:tr w:rsidR="00A451F7" w:rsidRPr="00A451F7" w14:paraId="53346EA8" w14:textId="77777777" w:rsidTr="00A451F7">
        <w:trPr>
          <w:tblCellSpacing w:w="15" w:type="dxa"/>
        </w:trPr>
        <w:tc>
          <w:tcPr>
            <w:tcW w:w="0" w:type="auto"/>
            <w:vAlign w:val="center"/>
            <w:hideMark/>
          </w:tcPr>
          <w:p w14:paraId="5F4B1F7F"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b/>
                <w:bCs/>
              </w:rPr>
              <w:t>Current ART Regimen</w:t>
            </w:r>
          </w:p>
        </w:tc>
        <w:tc>
          <w:tcPr>
            <w:tcW w:w="0" w:type="auto"/>
            <w:vAlign w:val="center"/>
            <w:hideMark/>
          </w:tcPr>
          <w:p w14:paraId="6004348F" w14:textId="77777777" w:rsidR="00A451F7" w:rsidRPr="00A451F7" w:rsidRDefault="00A451F7" w:rsidP="00A451F7">
            <w:pPr>
              <w:spacing w:after="0" w:line="240" w:lineRule="auto"/>
              <w:rPr>
                <w:rFonts w:ascii="Times New Roman" w:hAnsi="Times New Roman" w:cs="Times New Roman"/>
              </w:rPr>
            </w:pPr>
          </w:p>
        </w:tc>
        <w:tc>
          <w:tcPr>
            <w:tcW w:w="0" w:type="auto"/>
            <w:vAlign w:val="center"/>
            <w:hideMark/>
          </w:tcPr>
          <w:p w14:paraId="1C614198" w14:textId="77777777" w:rsidR="00A451F7" w:rsidRPr="00A451F7" w:rsidRDefault="00A451F7" w:rsidP="00A451F7">
            <w:pPr>
              <w:spacing w:after="0" w:line="240" w:lineRule="auto"/>
              <w:rPr>
                <w:rFonts w:ascii="Times New Roman" w:hAnsi="Times New Roman" w:cs="Times New Roman"/>
              </w:rPr>
            </w:pPr>
          </w:p>
        </w:tc>
        <w:tc>
          <w:tcPr>
            <w:tcW w:w="0" w:type="auto"/>
            <w:vAlign w:val="center"/>
            <w:hideMark/>
          </w:tcPr>
          <w:p w14:paraId="5A1E306B" w14:textId="77777777" w:rsidR="00A451F7" w:rsidRPr="00A451F7" w:rsidRDefault="00A451F7" w:rsidP="00A451F7">
            <w:pPr>
              <w:spacing w:after="0" w:line="240" w:lineRule="auto"/>
              <w:rPr>
                <w:rFonts w:ascii="Times New Roman" w:hAnsi="Times New Roman" w:cs="Times New Roman"/>
              </w:rPr>
            </w:pPr>
          </w:p>
        </w:tc>
      </w:tr>
      <w:tr w:rsidR="00A451F7" w:rsidRPr="00A451F7" w14:paraId="3C3DAB9A" w14:textId="77777777" w:rsidTr="00A451F7">
        <w:trPr>
          <w:tblCellSpacing w:w="15" w:type="dxa"/>
        </w:trPr>
        <w:tc>
          <w:tcPr>
            <w:tcW w:w="0" w:type="auto"/>
            <w:vAlign w:val="center"/>
            <w:hideMark/>
          </w:tcPr>
          <w:p w14:paraId="1D86118E"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DTG based</w:t>
            </w:r>
          </w:p>
        </w:tc>
        <w:tc>
          <w:tcPr>
            <w:tcW w:w="0" w:type="auto"/>
            <w:vAlign w:val="center"/>
            <w:hideMark/>
          </w:tcPr>
          <w:p w14:paraId="3B5C24FD"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7,005 (99.7)</w:t>
            </w:r>
          </w:p>
        </w:tc>
        <w:tc>
          <w:tcPr>
            <w:tcW w:w="0" w:type="auto"/>
            <w:vAlign w:val="center"/>
            <w:hideMark/>
          </w:tcPr>
          <w:p w14:paraId="5903E4C9"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6,556 (93.6)</w:t>
            </w:r>
          </w:p>
        </w:tc>
        <w:tc>
          <w:tcPr>
            <w:tcW w:w="0" w:type="auto"/>
            <w:vAlign w:val="center"/>
            <w:hideMark/>
          </w:tcPr>
          <w:p w14:paraId="056CDBEC"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449 (6.4)</w:t>
            </w:r>
          </w:p>
        </w:tc>
      </w:tr>
      <w:tr w:rsidR="00A451F7" w:rsidRPr="00A451F7" w14:paraId="7B7CA8C6" w14:textId="77777777" w:rsidTr="00A451F7">
        <w:trPr>
          <w:tblCellSpacing w:w="15" w:type="dxa"/>
        </w:trPr>
        <w:tc>
          <w:tcPr>
            <w:tcW w:w="0" w:type="auto"/>
            <w:vAlign w:val="center"/>
            <w:hideMark/>
          </w:tcPr>
          <w:p w14:paraId="24ECF5A2"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Non DTG (Others)</w:t>
            </w:r>
          </w:p>
        </w:tc>
        <w:tc>
          <w:tcPr>
            <w:tcW w:w="0" w:type="auto"/>
            <w:vAlign w:val="center"/>
            <w:hideMark/>
          </w:tcPr>
          <w:p w14:paraId="319814A7"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24 (0.3)</w:t>
            </w:r>
          </w:p>
        </w:tc>
        <w:tc>
          <w:tcPr>
            <w:tcW w:w="0" w:type="auto"/>
            <w:vAlign w:val="center"/>
            <w:hideMark/>
          </w:tcPr>
          <w:p w14:paraId="325D2B7A"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20 (83.3)</w:t>
            </w:r>
          </w:p>
        </w:tc>
        <w:tc>
          <w:tcPr>
            <w:tcW w:w="0" w:type="auto"/>
            <w:vAlign w:val="center"/>
            <w:hideMark/>
          </w:tcPr>
          <w:p w14:paraId="3B59B4DF"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4 (16.7)</w:t>
            </w:r>
          </w:p>
        </w:tc>
      </w:tr>
      <w:tr w:rsidR="00A451F7" w:rsidRPr="00A451F7" w14:paraId="031CD604" w14:textId="77777777" w:rsidTr="00A451F7">
        <w:trPr>
          <w:tblCellSpacing w:w="15" w:type="dxa"/>
        </w:trPr>
        <w:tc>
          <w:tcPr>
            <w:tcW w:w="0" w:type="auto"/>
            <w:vAlign w:val="center"/>
            <w:hideMark/>
          </w:tcPr>
          <w:p w14:paraId="7863A4FE"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b/>
                <w:bCs/>
              </w:rPr>
              <w:t>Duration on ART</w:t>
            </w:r>
          </w:p>
        </w:tc>
        <w:tc>
          <w:tcPr>
            <w:tcW w:w="0" w:type="auto"/>
            <w:vAlign w:val="center"/>
            <w:hideMark/>
          </w:tcPr>
          <w:p w14:paraId="21BDA839" w14:textId="77777777" w:rsidR="00A451F7" w:rsidRPr="00A451F7" w:rsidRDefault="00A451F7" w:rsidP="00A451F7">
            <w:pPr>
              <w:spacing w:after="0" w:line="240" w:lineRule="auto"/>
              <w:rPr>
                <w:rFonts w:ascii="Times New Roman" w:hAnsi="Times New Roman" w:cs="Times New Roman"/>
              </w:rPr>
            </w:pPr>
          </w:p>
        </w:tc>
        <w:tc>
          <w:tcPr>
            <w:tcW w:w="0" w:type="auto"/>
            <w:vAlign w:val="center"/>
            <w:hideMark/>
          </w:tcPr>
          <w:p w14:paraId="03EB679B" w14:textId="77777777" w:rsidR="00A451F7" w:rsidRPr="00A451F7" w:rsidRDefault="00A451F7" w:rsidP="00A451F7">
            <w:pPr>
              <w:spacing w:after="0" w:line="240" w:lineRule="auto"/>
              <w:rPr>
                <w:rFonts w:ascii="Times New Roman" w:hAnsi="Times New Roman" w:cs="Times New Roman"/>
              </w:rPr>
            </w:pPr>
          </w:p>
        </w:tc>
        <w:tc>
          <w:tcPr>
            <w:tcW w:w="0" w:type="auto"/>
            <w:vAlign w:val="center"/>
            <w:hideMark/>
          </w:tcPr>
          <w:p w14:paraId="78F25110" w14:textId="77777777" w:rsidR="00A451F7" w:rsidRPr="00A451F7" w:rsidRDefault="00A451F7" w:rsidP="00A451F7">
            <w:pPr>
              <w:spacing w:after="0" w:line="240" w:lineRule="auto"/>
              <w:rPr>
                <w:rFonts w:ascii="Times New Roman" w:hAnsi="Times New Roman" w:cs="Times New Roman"/>
              </w:rPr>
            </w:pPr>
          </w:p>
        </w:tc>
      </w:tr>
      <w:tr w:rsidR="00A451F7" w:rsidRPr="00A451F7" w14:paraId="61FCA6A7" w14:textId="77777777" w:rsidTr="00A451F7">
        <w:trPr>
          <w:tblCellSpacing w:w="15" w:type="dxa"/>
        </w:trPr>
        <w:tc>
          <w:tcPr>
            <w:tcW w:w="0" w:type="auto"/>
            <w:vAlign w:val="center"/>
            <w:hideMark/>
          </w:tcPr>
          <w:p w14:paraId="044B0D08"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1 to 2 years</w:t>
            </w:r>
          </w:p>
        </w:tc>
        <w:tc>
          <w:tcPr>
            <w:tcW w:w="0" w:type="auto"/>
            <w:vAlign w:val="center"/>
            <w:hideMark/>
          </w:tcPr>
          <w:p w14:paraId="4E3F9A83"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1,581 (22.5)</w:t>
            </w:r>
          </w:p>
        </w:tc>
        <w:tc>
          <w:tcPr>
            <w:tcW w:w="0" w:type="auto"/>
            <w:vAlign w:val="center"/>
            <w:hideMark/>
          </w:tcPr>
          <w:p w14:paraId="791783AC"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1,487 (94.1)</w:t>
            </w:r>
          </w:p>
        </w:tc>
        <w:tc>
          <w:tcPr>
            <w:tcW w:w="0" w:type="auto"/>
            <w:vAlign w:val="center"/>
            <w:hideMark/>
          </w:tcPr>
          <w:p w14:paraId="16234437"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94 (5.9)</w:t>
            </w:r>
          </w:p>
        </w:tc>
      </w:tr>
      <w:tr w:rsidR="00A451F7" w:rsidRPr="00A451F7" w14:paraId="4EAD3CD3" w14:textId="77777777" w:rsidTr="00A451F7">
        <w:trPr>
          <w:tblCellSpacing w:w="15" w:type="dxa"/>
        </w:trPr>
        <w:tc>
          <w:tcPr>
            <w:tcW w:w="0" w:type="auto"/>
            <w:vAlign w:val="center"/>
            <w:hideMark/>
          </w:tcPr>
          <w:p w14:paraId="3492491C"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3 to 4 years</w:t>
            </w:r>
          </w:p>
        </w:tc>
        <w:tc>
          <w:tcPr>
            <w:tcW w:w="0" w:type="auto"/>
            <w:vAlign w:val="center"/>
            <w:hideMark/>
          </w:tcPr>
          <w:p w14:paraId="6B0B74FC"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3,123 (44.4)</w:t>
            </w:r>
          </w:p>
        </w:tc>
        <w:tc>
          <w:tcPr>
            <w:tcW w:w="0" w:type="auto"/>
            <w:vAlign w:val="center"/>
            <w:hideMark/>
          </w:tcPr>
          <w:p w14:paraId="3193E221"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2,916 (93.4)</w:t>
            </w:r>
          </w:p>
        </w:tc>
        <w:tc>
          <w:tcPr>
            <w:tcW w:w="0" w:type="auto"/>
            <w:vAlign w:val="center"/>
            <w:hideMark/>
          </w:tcPr>
          <w:p w14:paraId="1156EC20"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207 (6.6)</w:t>
            </w:r>
          </w:p>
        </w:tc>
      </w:tr>
      <w:tr w:rsidR="00A451F7" w:rsidRPr="00A451F7" w14:paraId="31FEDE01" w14:textId="77777777" w:rsidTr="00A451F7">
        <w:trPr>
          <w:tblCellSpacing w:w="15" w:type="dxa"/>
        </w:trPr>
        <w:tc>
          <w:tcPr>
            <w:tcW w:w="0" w:type="auto"/>
            <w:vAlign w:val="center"/>
            <w:hideMark/>
          </w:tcPr>
          <w:p w14:paraId="67034324"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5 to 7 years</w:t>
            </w:r>
          </w:p>
        </w:tc>
        <w:tc>
          <w:tcPr>
            <w:tcW w:w="0" w:type="auto"/>
            <w:vAlign w:val="center"/>
            <w:hideMark/>
          </w:tcPr>
          <w:p w14:paraId="0333A9C7"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2,325 (33.1)</w:t>
            </w:r>
          </w:p>
        </w:tc>
        <w:tc>
          <w:tcPr>
            <w:tcW w:w="0" w:type="auto"/>
            <w:vAlign w:val="center"/>
            <w:hideMark/>
          </w:tcPr>
          <w:p w14:paraId="7004E7C5"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2,173 (93.5)</w:t>
            </w:r>
          </w:p>
        </w:tc>
        <w:tc>
          <w:tcPr>
            <w:tcW w:w="0" w:type="auto"/>
            <w:vAlign w:val="center"/>
            <w:hideMark/>
          </w:tcPr>
          <w:p w14:paraId="073C5E6B"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152 (6.5)</w:t>
            </w:r>
          </w:p>
        </w:tc>
      </w:tr>
      <w:tr w:rsidR="00A451F7" w:rsidRPr="00A451F7" w14:paraId="5EDFB4E6" w14:textId="77777777" w:rsidTr="00A451F7">
        <w:trPr>
          <w:tblCellSpacing w:w="15" w:type="dxa"/>
        </w:trPr>
        <w:tc>
          <w:tcPr>
            <w:tcW w:w="0" w:type="auto"/>
            <w:vAlign w:val="center"/>
            <w:hideMark/>
          </w:tcPr>
          <w:p w14:paraId="19978982"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b/>
                <w:bCs/>
              </w:rPr>
              <w:t>Multi Month Dispensing (MMD) Category</w:t>
            </w:r>
          </w:p>
        </w:tc>
        <w:tc>
          <w:tcPr>
            <w:tcW w:w="0" w:type="auto"/>
            <w:vAlign w:val="center"/>
            <w:hideMark/>
          </w:tcPr>
          <w:p w14:paraId="6582FC18" w14:textId="77777777" w:rsidR="00A451F7" w:rsidRPr="00A451F7" w:rsidRDefault="00A451F7" w:rsidP="00A451F7">
            <w:pPr>
              <w:spacing w:after="0" w:line="240" w:lineRule="auto"/>
              <w:rPr>
                <w:rFonts w:ascii="Times New Roman" w:hAnsi="Times New Roman" w:cs="Times New Roman"/>
              </w:rPr>
            </w:pPr>
          </w:p>
        </w:tc>
        <w:tc>
          <w:tcPr>
            <w:tcW w:w="0" w:type="auto"/>
            <w:vAlign w:val="center"/>
            <w:hideMark/>
          </w:tcPr>
          <w:p w14:paraId="6D0E0393" w14:textId="77777777" w:rsidR="00A451F7" w:rsidRPr="00A451F7" w:rsidRDefault="00A451F7" w:rsidP="00A451F7">
            <w:pPr>
              <w:spacing w:after="0" w:line="240" w:lineRule="auto"/>
              <w:rPr>
                <w:rFonts w:ascii="Times New Roman" w:hAnsi="Times New Roman" w:cs="Times New Roman"/>
              </w:rPr>
            </w:pPr>
          </w:p>
        </w:tc>
        <w:tc>
          <w:tcPr>
            <w:tcW w:w="0" w:type="auto"/>
            <w:vAlign w:val="center"/>
            <w:hideMark/>
          </w:tcPr>
          <w:p w14:paraId="4DAC1CF5" w14:textId="77777777" w:rsidR="00A451F7" w:rsidRPr="00A451F7" w:rsidRDefault="00A451F7" w:rsidP="00A451F7">
            <w:pPr>
              <w:spacing w:after="0" w:line="240" w:lineRule="auto"/>
              <w:rPr>
                <w:rFonts w:ascii="Times New Roman" w:hAnsi="Times New Roman" w:cs="Times New Roman"/>
              </w:rPr>
            </w:pPr>
          </w:p>
        </w:tc>
      </w:tr>
      <w:tr w:rsidR="00A451F7" w:rsidRPr="00A451F7" w14:paraId="39AA74A2" w14:textId="77777777" w:rsidTr="00A451F7">
        <w:trPr>
          <w:tblCellSpacing w:w="15" w:type="dxa"/>
        </w:trPr>
        <w:tc>
          <w:tcPr>
            <w:tcW w:w="0" w:type="auto"/>
            <w:vAlign w:val="center"/>
            <w:hideMark/>
          </w:tcPr>
          <w:p w14:paraId="472BC9D9"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MMD 3 months</w:t>
            </w:r>
          </w:p>
        </w:tc>
        <w:tc>
          <w:tcPr>
            <w:tcW w:w="0" w:type="auto"/>
            <w:vAlign w:val="center"/>
            <w:hideMark/>
          </w:tcPr>
          <w:p w14:paraId="75EB720E"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1,942 (27.6)</w:t>
            </w:r>
          </w:p>
        </w:tc>
        <w:tc>
          <w:tcPr>
            <w:tcW w:w="0" w:type="auto"/>
            <w:vAlign w:val="center"/>
            <w:hideMark/>
          </w:tcPr>
          <w:p w14:paraId="64837653"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1,786 (92.0)</w:t>
            </w:r>
          </w:p>
        </w:tc>
        <w:tc>
          <w:tcPr>
            <w:tcW w:w="0" w:type="auto"/>
            <w:vAlign w:val="center"/>
            <w:hideMark/>
          </w:tcPr>
          <w:p w14:paraId="225F3614"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156 (8.0)</w:t>
            </w:r>
          </w:p>
        </w:tc>
      </w:tr>
      <w:tr w:rsidR="00A451F7" w:rsidRPr="00A451F7" w14:paraId="69CF6D16" w14:textId="77777777" w:rsidTr="00A451F7">
        <w:trPr>
          <w:tblCellSpacing w:w="15" w:type="dxa"/>
        </w:trPr>
        <w:tc>
          <w:tcPr>
            <w:tcW w:w="0" w:type="auto"/>
            <w:vAlign w:val="center"/>
            <w:hideMark/>
          </w:tcPr>
          <w:p w14:paraId="5B493CBF"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MMD 6 months</w:t>
            </w:r>
          </w:p>
        </w:tc>
        <w:tc>
          <w:tcPr>
            <w:tcW w:w="0" w:type="auto"/>
            <w:vAlign w:val="center"/>
            <w:hideMark/>
          </w:tcPr>
          <w:p w14:paraId="23AC59AF"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4,991 (71.0)</w:t>
            </w:r>
          </w:p>
        </w:tc>
        <w:tc>
          <w:tcPr>
            <w:tcW w:w="0" w:type="auto"/>
            <w:vAlign w:val="center"/>
            <w:hideMark/>
          </w:tcPr>
          <w:p w14:paraId="25F95070"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4,705 (94.3)</w:t>
            </w:r>
          </w:p>
        </w:tc>
        <w:tc>
          <w:tcPr>
            <w:tcW w:w="0" w:type="auto"/>
            <w:vAlign w:val="center"/>
            <w:hideMark/>
          </w:tcPr>
          <w:p w14:paraId="688FA590"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286 (5.7)</w:t>
            </w:r>
          </w:p>
        </w:tc>
      </w:tr>
      <w:tr w:rsidR="00A451F7" w:rsidRPr="00A451F7" w14:paraId="4A064CB5" w14:textId="77777777" w:rsidTr="00A451F7">
        <w:trPr>
          <w:tblCellSpacing w:w="15" w:type="dxa"/>
        </w:trPr>
        <w:tc>
          <w:tcPr>
            <w:tcW w:w="0" w:type="auto"/>
            <w:vAlign w:val="center"/>
            <w:hideMark/>
          </w:tcPr>
          <w:p w14:paraId="5598D4C9"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Other (under 3 months)</w:t>
            </w:r>
          </w:p>
        </w:tc>
        <w:tc>
          <w:tcPr>
            <w:tcW w:w="0" w:type="auto"/>
            <w:vAlign w:val="center"/>
            <w:hideMark/>
          </w:tcPr>
          <w:p w14:paraId="6327FD28"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96 (1.4)</w:t>
            </w:r>
          </w:p>
        </w:tc>
        <w:tc>
          <w:tcPr>
            <w:tcW w:w="0" w:type="auto"/>
            <w:vAlign w:val="center"/>
            <w:hideMark/>
          </w:tcPr>
          <w:p w14:paraId="1027D514"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85 (88.5)</w:t>
            </w:r>
          </w:p>
        </w:tc>
        <w:tc>
          <w:tcPr>
            <w:tcW w:w="0" w:type="auto"/>
            <w:vAlign w:val="center"/>
            <w:hideMark/>
          </w:tcPr>
          <w:p w14:paraId="6326292B"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11 (11.5)</w:t>
            </w:r>
          </w:p>
        </w:tc>
      </w:tr>
      <w:tr w:rsidR="00A451F7" w:rsidRPr="00A451F7" w14:paraId="5206D5E8" w14:textId="77777777" w:rsidTr="00A451F7">
        <w:trPr>
          <w:tblCellSpacing w:w="15" w:type="dxa"/>
        </w:trPr>
        <w:tc>
          <w:tcPr>
            <w:tcW w:w="0" w:type="auto"/>
            <w:vAlign w:val="center"/>
            <w:hideMark/>
          </w:tcPr>
          <w:p w14:paraId="6EB99FC8"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b/>
                <w:bCs/>
              </w:rPr>
              <w:t>DSD Model</w:t>
            </w:r>
          </w:p>
        </w:tc>
        <w:tc>
          <w:tcPr>
            <w:tcW w:w="0" w:type="auto"/>
            <w:vAlign w:val="center"/>
            <w:hideMark/>
          </w:tcPr>
          <w:p w14:paraId="6233A84D" w14:textId="77777777" w:rsidR="00A451F7" w:rsidRPr="00A451F7" w:rsidRDefault="00A451F7" w:rsidP="00A451F7">
            <w:pPr>
              <w:spacing w:after="0" w:line="240" w:lineRule="auto"/>
              <w:rPr>
                <w:rFonts w:ascii="Times New Roman" w:hAnsi="Times New Roman" w:cs="Times New Roman"/>
              </w:rPr>
            </w:pPr>
          </w:p>
        </w:tc>
        <w:tc>
          <w:tcPr>
            <w:tcW w:w="0" w:type="auto"/>
            <w:vAlign w:val="center"/>
            <w:hideMark/>
          </w:tcPr>
          <w:p w14:paraId="72CC7A7F" w14:textId="77777777" w:rsidR="00A451F7" w:rsidRPr="00A451F7" w:rsidRDefault="00A451F7" w:rsidP="00A451F7">
            <w:pPr>
              <w:spacing w:after="0" w:line="240" w:lineRule="auto"/>
              <w:rPr>
                <w:rFonts w:ascii="Times New Roman" w:hAnsi="Times New Roman" w:cs="Times New Roman"/>
              </w:rPr>
            </w:pPr>
          </w:p>
        </w:tc>
        <w:tc>
          <w:tcPr>
            <w:tcW w:w="0" w:type="auto"/>
            <w:vAlign w:val="center"/>
            <w:hideMark/>
          </w:tcPr>
          <w:p w14:paraId="298442E3" w14:textId="77777777" w:rsidR="00A451F7" w:rsidRPr="00A451F7" w:rsidRDefault="00A451F7" w:rsidP="00A451F7">
            <w:pPr>
              <w:spacing w:after="0" w:line="240" w:lineRule="auto"/>
              <w:rPr>
                <w:rFonts w:ascii="Times New Roman" w:hAnsi="Times New Roman" w:cs="Times New Roman"/>
              </w:rPr>
            </w:pPr>
          </w:p>
        </w:tc>
      </w:tr>
      <w:tr w:rsidR="00A451F7" w:rsidRPr="00A451F7" w14:paraId="090D8A1B" w14:textId="77777777" w:rsidTr="00A451F7">
        <w:trPr>
          <w:tblCellSpacing w:w="15" w:type="dxa"/>
        </w:trPr>
        <w:tc>
          <w:tcPr>
            <w:tcW w:w="0" w:type="auto"/>
            <w:vAlign w:val="center"/>
            <w:hideMark/>
          </w:tcPr>
          <w:p w14:paraId="6B48FE25"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Facility Dispensing</w:t>
            </w:r>
          </w:p>
        </w:tc>
        <w:tc>
          <w:tcPr>
            <w:tcW w:w="0" w:type="auto"/>
            <w:vAlign w:val="center"/>
            <w:hideMark/>
          </w:tcPr>
          <w:p w14:paraId="6A4ABB9D"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6,798 (96.7)</w:t>
            </w:r>
          </w:p>
        </w:tc>
        <w:tc>
          <w:tcPr>
            <w:tcW w:w="0" w:type="auto"/>
            <w:vAlign w:val="center"/>
            <w:hideMark/>
          </w:tcPr>
          <w:p w14:paraId="500C5EB6"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6,359 (93.5)</w:t>
            </w:r>
          </w:p>
        </w:tc>
        <w:tc>
          <w:tcPr>
            <w:tcW w:w="0" w:type="auto"/>
            <w:vAlign w:val="center"/>
            <w:hideMark/>
          </w:tcPr>
          <w:p w14:paraId="059A3C72"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439 (6.5)</w:t>
            </w:r>
          </w:p>
        </w:tc>
      </w:tr>
      <w:tr w:rsidR="00A451F7" w:rsidRPr="00A451F7" w14:paraId="15B8998F" w14:textId="77777777" w:rsidTr="00A451F7">
        <w:trPr>
          <w:tblCellSpacing w:w="15" w:type="dxa"/>
        </w:trPr>
        <w:tc>
          <w:tcPr>
            <w:tcW w:w="0" w:type="auto"/>
            <w:vAlign w:val="center"/>
            <w:hideMark/>
          </w:tcPr>
          <w:p w14:paraId="6777D31F" w14:textId="77777777" w:rsidR="00A451F7" w:rsidRPr="00A451F7" w:rsidRDefault="00A451F7" w:rsidP="00A451F7">
            <w:pPr>
              <w:spacing w:after="0" w:line="240" w:lineRule="auto"/>
              <w:rPr>
                <w:rFonts w:ascii="Times New Roman" w:hAnsi="Times New Roman" w:cs="Times New Roman"/>
              </w:rPr>
            </w:pPr>
            <w:proofErr w:type="spellStart"/>
            <w:r w:rsidRPr="00A451F7">
              <w:rPr>
                <w:rFonts w:ascii="Times New Roman" w:hAnsi="Times New Roman" w:cs="Times New Roman"/>
              </w:rPr>
              <w:t>Decentralised</w:t>
            </w:r>
            <w:proofErr w:type="spellEnd"/>
            <w:r w:rsidRPr="00A451F7">
              <w:rPr>
                <w:rFonts w:ascii="Times New Roman" w:hAnsi="Times New Roman" w:cs="Times New Roman"/>
              </w:rPr>
              <w:t xml:space="preserve"> Drug Delivery (DDD)</w:t>
            </w:r>
          </w:p>
        </w:tc>
        <w:tc>
          <w:tcPr>
            <w:tcW w:w="0" w:type="auto"/>
            <w:vAlign w:val="center"/>
            <w:hideMark/>
          </w:tcPr>
          <w:p w14:paraId="7AEB37A1"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231 (3.3)</w:t>
            </w:r>
          </w:p>
        </w:tc>
        <w:tc>
          <w:tcPr>
            <w:tcW w:w="0" w:type="auto"/>
            <w:vAlign w:val="center"/>
            <w:hideMark/>
          </w:tcPr>
          <w:p w14:paraId="2CC226DB"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217 (93.9)</w:t>
            </w:r>
          </w:p>
        </w:tc>
        <w:tc>
          <w:tcPr>
            <w:tcW w:w="0" w:type="auto"/>
            <w:vAlign w:val="center"/>
            <w:hideMark/>
          </w:tcPr>
          <w:p w14:paraId="2F5973B4"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14 (6.1)</w:t>
            </w:r>
          </w:p>
        </w:tc>
      </w:tr>
      <w:tr w:rsidR="00A451F7" w:rsidRPr="00A451F7" w14:paraId="4E07B778" w14:textId="77777777" w:rsidTr="00A451F7">
        <w:trPr>
          <w:tblCellSpacing w:w="15" w:type="dxa"/>
        </w:trPr>
        <w:tc>
          <w:tcPr>
            <w:tcW w:w="0" w:type="auto"/>
            <w:vAlign w:val="center"/>
            <w:hideMark/>
          </w:tcPr>
          <w:p w14:paraId="65E7BC44"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b/>
                <w:bCs/>
              </w:rPr>
              <w:t>Baseline Viral Load Status</w:t>
            </w:r>
          </w:p>
        </w:tc>
        <w:tc>
          <w:tcPr>
            <w:tcW w:w="0" w:type="auto"/>
            <w:vAlign w:val="center"/>
            <w:hideMark/>
          </w:tcPr>
          <w:p w14:paraId="062E7B30" w14:textId="77777777" w:rsidR="00A451F7" w:rsidRPr="00A451F7" w:rsidRDefault="00A451F7" w:rsidP="00A451F7">
            <w:pPr>
              <w:spacing w:after="0" w:line="240" w:lineRule="auto"/>
              <w:rPr>
                <w:rFonts w:ascii="Times New Roman" w:hAnsi="Times New Roman" w:cs="Times New Roman"/>
              </w:rPr>
            </w:pPr>
          </w:p>
        </w:tc>
        <w:tc>
          <w:tcPr>
            <w:tcW w:w="0" w:type="auto"/>
            <w:vAlign w:val="center"/>
            <w:hideMark/>
          </w:tcPr>
          <w:p w14:paraId="403884EE" w14:textId="77777777" w:rsidR="00A451F7" w:rsidRPr="00A451F7" w:rsidRDefault="00A451F7" w:rsidP="00A451F7">
            <w:pPr>
              <w:spacing w:after="0" w:line="240" w:lineRule="auto"/>
              <w:rPr>
                <w:rFonts w:ascii="Times New Roman" w:hAnsi="Times New Roman" w:cs="Times New Roman"/>
              </w:rPr>
            </w:pPr>
          </w:p>
        </w:tc>
        <w:tc>
          <w:tcPr>
            <w:tcW w:w="0" w:type="auto"/>
            <w:vAlign w:val="center"/>
            <w:hideMark/>
          </w:tcPr>
          <w:p w14:paraId="5350638B" w14:textId="77777777" w:rsidR="00A451F7" w:rsidRPr="00A451F7" w:rsidRDefault="00A451F7" w:rsidP="00A451F7">
            <w:pPr>
              <w:spacing w:after="0" w:line="240" w:lineRule="auto"/>
              <w:rPr>
                <w:rFonts w:ascii="Times New Roman" w:hAnsi="Times New Roman" w:cs="Times New Roman"/>
              </w:rPr>
            </w:pPr>
          </w:p>
        </w:tc>
      </w:tr>
      <w:tr w:rsidR="00A451F7" w:rsidRPr="00A451F7" w14:paraId="5EFA6CFB" w14:textId="77777777" w:rsidTr="00A451F7">
        <w:trPr>
          <w:tblCellSpacing w:w="15" w:type="dxa"/>
        </w:trPr>
        <w:tc>
          <w:tcPr>
            <w:tcW w:w="0" w:type="auto"/>
            <w:vAlign w:val="center"/>
            <w:hideMark/>
          </w:tcPr>
          <w:p w14:paraId="1916469F"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Suppressed (under 1,000 copies/mL)</w:t>
            </w:r>
          </w:p>
        </w:tc>
        <w:tc>
          <w:tcPr>
            <w:tcW w:w="0" w:type="auto"/>
            <w:vAlign w:val="center"/>
            <w:hideMark/>
          </w:tcPr>
          <w:p w14:paraId="069FF4F1"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6,307 (89.7)</w:t>
            </w:r>
          </w:p>
        </w:tc>
        <w:tc>
          <w:tcPr>
            <w:tcW w:w="0" w:type="auto"/>
            <w:vAlign w:val="center"/>
            <w:hideMark/>
          </w:tcPr>
          <w:p w14:paraId="41847759"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5,944 (94.2)</w:t>
            </w:r>
          </w:p>
        </w:tc>
        <w:tc>
          <w:tcPr>
            <w:tcW w:w="0" w:type="auto"/>
            <w:vAlign w:val="center"/>
            <w:hideMark/>
          </w:tcPr>
          <w:p w14:paraId="11E37B35"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363 (5.8)</w:t>
            </w:r>
          </w:p>
        </w:tc>
      </w:tr>
      <w:tr w:rsidR="00A451F7" w:rsidRPr="00A451F7" w14:paraId="5350F799" w14:textId="77777777" w:rsidTr="00A451F7">
        <w:trPr>
          <w:tblCellSpacing w:w="15" w:type="dxa"/>
        </w:trPr>
        <w:tc>
          <w:tcPr>
            <w:tcW w:w="0" w:type="auto"/>
            <w:vAlign w:val="center"/>
            <w:hideMark/>
          </w:tcPr>
          <w:p w14:paraId="4833B306"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Unsuppressed (1,000 copies/mL or greater)</w:t>
            </w:r>
          </w:p>
        </w:tc>
        <w:tc>
          <w:tcPr>
            <w:tcW w:w="0" w:type="auto"/>
            <w:vAlign w:val="center"/>
            <w:hideMark/>
          </w:tcPr>
          <w:p w14:paraId="0267BEDB"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722 (10.3)</w:t>
            </w:r>
          </w:p>
        </w:tc>
        <w:tc>
          <w:tcPr>
            <w:tcW w:w="0" w:type="auto"/>
            <w:vAlign w:val="center"/>
            <w:hideMark/>
          </w:tcPr>
          <w:p w14:paraId="61118A95"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632 (87.5)</w:t>
            </w:r>
          </w:p>
        </w:tc>
        <w:tc>
          <w:tcPr>
            <w:tcW w:w="0" w:type="auto"/>
            <w:vAlign w:val="center"/>
            <w:hideMark/>
          </w:tcPr>
          <w:p w14:paraId="78FE6AB7" w14:textId="77777777" w:rsidR="00A451F7" w:rsidRPr="00A451F7" w:rsidRDefault="00A451F7" w:rsidP="00A451F7">
            <w:pPr>
              <w:spacing w:after="0" w:line="240" w:lineRule="auto"/>
              <w:rPr>
                <w:rFonts w:ascii="Times New Roman" w:hAnsi="Times New Roman" w:cs="Times New Roman"/>
              </w:rPr>
            </w:pPr>
            <w:r w:rsidRPr="00A451F7">
              <w:rPr>
                <w:rFonts w:ascii="Times New Roman" w:hAnsi="Times New Roman" w:cs="Times New Roman"/>
              </w:rPr>
              <w:t>90 (12.5)</w:t>
            </w:r>
          </w:p>
        </w:tc>
      </w:tr>
    </w:tbl>
    <w:p w14:paraId="64379201" w14:textId="77777777" w:rsidR="00A451F7" w:rsidRPr="00A451F7" w:rsidRDefault="00A451F7" w:rsidP="00A451F7">
      <w:pPr>
        <w:spacing w:line="240" w:lineRule="auto"/>
        <w:jc w:val="both"/>
        <w:rPr>
          <w:rFonts w:ascii="Times New Roman" w:hAnsi="Times New Roman" w:cs="Times New Roman"/>
          <w:sz w:val="24"/>
          <w:szCs w:val="24"/>
        </w:rPr>
      </w:pPr>
      <w:r w:rsidRPr="00A451F7">
        <w:rPr>
          <w:rFonts w:ascii="Times New Roman" w:hAnsi="Times New Roman" w:cs="Times New Roman"/>
          <w:i/>
          <w:iCs/>
          <w:sz w:val="24"/>
          <w:szCs w:val="24"/>
        </w:rPr>
        <w:t>Note. Overall N (Col %) represents the proportion of the total cohort within that specific clinical category. Suppressed n (Row %) and Unsuppressed n (Row %) represent the proportion of patients within that specific clinical category who achieved or failed to achieve virologic suppression, respectively. Baseline viral load status reflects the virologic condition of the patient at the reference point prior to or at the earliest recorded measurement within the study window.</w:t>
      </w:r>
    </w:p>
    <w:p w14:paraId="42E92002" w14:textId="77777777" w:rsidR="00A451F7" w:rsidRPr="00A451F7" w:rsidRDefault="00A451F7" w:rsidP="00474032">
      <w:pPr>
        <w:spacing w:line="360" w:lineRule="auto"/>
        <w:jc w:val="both"/>
        <w:rPr>
          <w:rFonts w:ascii="Times New Roman" w:hAnsi="Times New Roman" w:cs="Times New Roman"/>
          <w:sz w:val="24"/>
          <w:szCs w:val="24"/>
        </w:rPr>
      </w:pPr>
      <w:r w:rsidRPr="00A451F7">
        <w:rPr>
          <w:rFonts w:ascii="Times New Roman" w:hAnsi="Times New Roman" w:cs="Times New Roman"/>
          <w:i/>
          <w:iCs/>
          <w:sz w:val="24"/>
          <w:szCs w:val="24"/>
        </w:rPr>
        <w:t>Source: Researcher's Field Survey Data (2026)</w:t>
      </w:r>
    </w:p>
    <w:p w14:paraId="047DB8EF" w14:textId="77777777" w:rsidR="00A451F7" w:rsidRPr="00A451F7" w:rsidRDefault="00A451F7" w:rsidP="00A451F7">
      <w:pPr>
        <w:spacing w:line="480" w:lineRule="auto"/>
        <w:jc w:val="both"/>
        <w:rPr>
          <w:rFonts w:ascii="Times New Roman" w:hAnsi="Times New Roman" w:cs="Times New Roman"/>
          <w:sz w:val="24"/>
          <w:szCs w:val="24"/>
        </w:rPr>
      </w:pPr>
      <w:r w:rsidRPr="00A451F7">
        <w:rPr>
          <w:rFonts w:ascii="Times New Roman" w:hAnsi="Times New Roman" w:cs="Times New Roman"/>
          <w:sz w:val="24"/>
          <w:szCs w:val="24"/>
        </w:rPr>
        <w:t xml:space="preserve">The clinical profile confirms that the cohort predominantly entered care at an early disease stage. The vast majority, 88.7% (n = 6,236), presented at WHO Clinical Stage I (asymptomatic disease), recording a within group crude suppression rate of 93.7%. Stage II patients (8.4% of the cohort) </w:t>
      </w:r>
      <w:r w:rsidRPr="00A451F7">
        <w:rPr>
          <w:rFonts w:ascii="Times New Roman" w:hAnsi="Times New Roman" w:cs="Times New Roman"/>
          <w:sz w:val="24"/>
          <w:szCs w:val="24"/>
        </w:rPr>
        <w:lastRenderedPageBreak/>
        <w:t>achieved a suppression rate of 92.9%, while Stage III patients (2.6%) recorded 91.3%, revealing a modest inverse gradient consistent with the biological premise that advancing immune compromise diminishes virologic control. The 17 Stage IV patients (0.2%) achieved universal suppression (100.0%) at their last recorded measurement, a finding attributable to targeted clinical intensification rather than a true programmatic trend. This complete case distribution within Stage IV contributed directly to the complete separation problem that necessitated the methodological merging of Stages III and IV into a unified advanced category, as documented in Section 4.1.3.</w:t>
      </w:r>
    </w:p>
    <w:p w14:paraId="662C51E2" w14:textId="77777777" w:rsidR="00A451F7" w:rsidRPr="00A451F7" w:rsidRDefault="00A451F7" w:rsidP="00A451F7">
      <w:pPr>
        <w:spacing w:line="480" w:lineRule="auto"/>
        <w:jc w:val="both"/>
        <w:rPr>
          <w:rFonts w:ascii="Times New Roman" w:hAnsi="Times New Roman" w:cs="Times New Roman"/>
          <w:sz w:val="24"/>
          <w:szCs w:val="24"/>
        </w:rPr>
      </w:pPr>
      <w:r w:rsidRPr="00A451F7">
        <w:rPr>
          <w:rFonts w:ascii="Times New Roman" w:hAnsi="Times New Roman" w:cs="Times New Roman"/>
          <w:sz w:val="24"/>
          <w:szCs w:val="24"/>
        </w:rPr>
        <w:t>Treatment regimens were highly standardized across the cohort. Dolutegravir based therapy was received by 99.7% of patients (n = 7,005), consistent with the national programmatic transition to TLD as the preferred first line regimen. DTG recipients recorded a crude suppression rate of 93.6%. By contrast, the 24 patients (0.3%) receiving non DTG regimens recorded a markedly lower suppression rate of 83.3%, with 16.7% of this group remaining unsuppressed. This 10.3 percentage point deficit in the non DTG group merits analytical attention despite the small absolute size of this subgroup, as it reinforces the clinical rationale for the national scale up of Dolutegravir based therapy.</w:t>
      </w:r>
    </w:p>
    <w:p w14:paraId="4D4E399F" w14:textId="77777777" w:rsidR="00A451F7" w:rsidRPr="00A451F7" w:rsidRDefault="00A451F7" w:rsidP="00A451F7">
      <w:pPr>
        <w:spacing w:line="480" w:lineRule="auto"/>
        <w:jc w:val="both"/>
        <w:rPr>
          <w:rFonts w:ascii="Times New Roman" w:hAnsi="Times New Roman" w:cs="Times New Roman"/>
          <w:sz w:val="24"/>
          <w:szCs w:val="24"/>
        </w:rPr>
      </w:pPr>
      <w:r w:rsidRPr="00A451F7">
        <w:rPr>
          <w:rFonts w:ascii="Times New Roman" w:hAnsi="Times New Roman" w:cs="Times New Roman"/>
          <w:sz w:val="24"/>
          <w:szCs w:val="24"/>
        </w:rPr>
        <w:t xml:space="preserve">Duration on ART demonstrated a notable absence of a monotonic relationship with suppression. Patients on treatment for 1 to 2 years recorded the highest within group crude suppression rate at 94.1%, compared to 93.4% for the </w:t>
      </w:r>
      <w:proofErr w:type="gramStart"/>
      <w:r w:rsidRPr="00A451F7">
        <w:rPr>
          <w:rFonts w:ascii="Times New Roman" w:hAnsi="Times New Roman" w:cs="Times New Roman"/>
          <w:sz w:val="24"/>
          <w:szCs w:val="24"/>
        </w:rPr>
        <w:t>3 to 4 year</w:t>
      </w:r>
      <w:proofErr w:type="gramEnd"/>
      <w:r w:rsidRPr="00A451F7">
        <w:rPr>
          <w:rFonts w:ascii="Times New Roman" w:hAnsi="Times New Roman" w:cs="Times New Roman"/>
          <w:sz w:val="24"/>
          <w:szCs w:val="24"/>
        </w:rPr>
        <w:t xml:space="preserve"> group and 93.5% for those on treatment for 5 to 7 years. The narrow inter group range of 0.7 percentage points across duration categories indicates that treatment duration alone does not exert a meaningful linear effect on virologic outcomes in this stabilized cohort, a pattern likely reflecting the programmatic shift to Dolutegravir based regimens with inherently superior virologic durability.</w:t>
      </w:r>
    </w:p>
    <w:p w14:paraId="4D055F87" w14:textId="77777777" w:rsidR="00A451F7" w:rsidRPr="00A451F7" w:rsidRDefault="00A451F7" w:rsidP="00A451F7">
      <w:pPr>
        <w:spacing w:line="480" w:lineRule="auto"/>
        <w:jc w:val="both"/>
        <w:rPr>
          <w:rFonts w:ascii="Times New Roman" w:hAnsi="Times New Roman" w:cs="Times New Roman"/>
          <w:sz w:val="24"/>
          <w:szCs w:val="24"/>
        </w:rPr>
      </w:pPr>
      <w:r w:rsidRPr="00A451F7">
        <w:rPr>
          <w:rFonts w:ascii="Times New Roman" w:hAnsi="Times New Roman" w:cs="Times New Roman"/>
          <w:sz w:val="24"/>
          <w:szCs w:val="24"/>
        </w:rPr>
        <w:lastRenderedPageBreak/>
        <w:t xml:space="preserve">The distribution of multi month dispensing reveals a clear programmatic gradient in crude suppression rates. Patients on schedules of fewer than three months of supply recorded the lowest within group suppression rate at 88.5%, with 11.5% remaining unsuppressed. Patients on the standard MMD </w:t>
      </w:r>
      <w:proofErr w:type="gramStart"/>
      <w:r w:rsidRPr="00A451F7">
        <w:rPr>
          <w:rFonts w:ascii="Times New Roman" w:hAnsi="Times New Roman" w:cs="Times New Roman"/>
          <w:sz w:val="24"/>
          <w:szCs w:val="24"/>
        </w:rPr>
        <w:t>3 month</w:t>
      </w:r>
      <w:proofErr w:type="gramEnd"/>
      <w:r w:rsidRPr="00A451F7">
        <w:rPr>
          <w:rFonts w:ascii="Times New Roman" w:hAnsi="Times New Roman" w:cs="Times New Roman"/>
          <w:sz w:val="24"/>
          <w:szCs w:val="24"/>
        </w:rPr>
        <w:t xml:space="preserve"> schedule achieved 92.0% suppression, while those on the extended MMD </w:t>
      </w:r>
      <w:proofErr w:type="gramStart"/>
      <w:r w:rsidRPr="00A451F7">
        <w:rPr>
          <w:rFonts w:ascii="Times New Roman" w:hAnsi="Times New Roman" w:cs="Times New Roman"/>
          <w:sz w:val="24"/>
          <w:szCs w:val="24"/>
        </w:rPr>
        <w:t>6 month</w:t>
      </w:r>
      <w:proofErr w:type="gramEnd"/>
      <w:r w:rsidRPr="00A451F7">
        <w:rPr>
          <w:rFonts w:ascii="Times New Roman" w:hAnsi="Times New Roman" w:cs="Times New Roman"/>
          <w:sz w:val="24"/>
          <w:szCs w:val="24"/>
        </w:rPr>
        <w:t xml:space="preserve"> schedule recorded the highest suppression rate at 94.3%, with only 5.7% failing to achieve virologic control. This stepwise 5.8 percentage point differential between the shortest and longest dispensing intervals constitutes compelling descriptive evidence of an MMD to suppression gradient, providing preliminary support for the programmatic value of extended differentiated service delivery.</w:t>
      </w:r>
    </w:p>
    <w:p w14:paraId="622EA4EB" w14:textId="77777777" w:rsidR="00A451F7" w:rsidRPr="00A451F7" w:rsidRDefault="00A451F7" w:rsidP="00A451F7">
      <w:pPr>
        <w:spacing w:line="480" w:lineRule="auto"/>
        <w:jc w:val="both"/>
        <w:rPr>
          <w:rFonts w:ascii="Times New Roman" w:hAnsi="Times New Roman" w:cs="Times New Roman"/>
          <w:sz w:val="24"/>
          <w:szCs w:val="24"/>
        </w:rPr>
      </w:pPr>
      <w:r w:rsidRPr="00A451F7">
        <w:rPr>
          <w:rFonts w:ascii="Times New Roman" w:hAnsi="Times New Roman" w:cs="Times New Roman"/>
          <w:sz w:val="24"/>
          <w:szCs w:val="24"/>
        </w:rPr>
        <w:t xml:space="preserve">The DSD model comparison revealed a negligible difference in crude suppression rates. Patients receiving </w:t>
      </w:r>
      <w:proofErr w:type="gramStart"/>
      <w:r w:rsidRPr="00A451F7">
        <w:rPr>
          <w:rFonts w:ascii="Times New Roman" w:hAnsi="Times New Roman" w:cs="Times New Roman"/>
          <w:sz w:val="24"/>
          <w:szCs w:val="24"/>
        </w:rPr>
        <w:t>facility based</w:t>
      </w:r>
      <w:proofErr w:type="gramEnd"/>
      <w:r w:rsidRPr="00A451F7">
        <w:rPr>
          <w:rFonts w:ascii="Times New Roman" w:hAnsi="Times New Roman" w:cs="Times New Roman"/>
          <w:sz w:val="24"/>
          <w:szCs w:val="24"/>
        </w:rPr>
        <w:t xml:space="preserve"> dispensing (96.7% of the cohort) recorded a suppression rate of 93.5%, virtually indistinguishable from the 93.9% rate among the 3.3% of patients managed through </w:t>
      </w:r>
      <w:proofErr w:type="spellStart"/>
      <w:r w:rsidRPr="00A451F7">
        <w:rPr>
          <w:rFonts w:ascii="Times New Roman" w:hAnsi="Times New Roman" w:cs="Times New Roman"/>
          <w:sz w:val="24"/>
          <w:szCs w:val="24"/>
        </w:rPr>
        <w:t>Decentralised</w:t>
      </w:r>
      <w:proofErr w:type="spellEnd"/>
      <w:r w:rsidRPr="00A451F7">
        <w:rPr>
          <w:rFonts w:ascii="Times New Roman" w:hAnsi="Times New Roman" w:cs="Times New Roman"/>
          <w:sz w:val="24"/>
          <w:szCs w:val="24"/>
        </w:rPr>
        <w:t xml:space="preserve"> Drug Delivery. Given the small proportion utilizing DDD, this distributional pattern limits inferential conclusions and will be formally tested in the multivariable phase.</w:t>
      </w:r>
    </w:p>
    <w:p w14:paraId="3279B446" w14:textId="77777777" w:rsidR="00A659A7" w:rsidRDefault="00A451F7" w:rsidP="00A451F7">
      <w:pPr>
        <w:spacing w:line="480" w:lineRule="auto"/>
        <w:jc w:val="both"/>
        <w:rPr>
          <w:rFonts w:ascii="Times New Roman" w:hAnsi="Times New Roman" w:cs="Times New Roman"/>
          <w:sz w:val="24"/>
          <w:szCs w:val="24"/>
        </w:rPr>
      </w:pPr>
      <w:r w:rsidRPr="00A451F7">
        <w:rPr>
          <w:rFonts w:ascii="Times New Roman" w:hAnsi="Times New Roman" w:cs="Times New Roman"/>
          <w:sz w:val="24"/>
          <w:szCs w:val="24"/>
        </w:rPr>
        <w:t xml:space="preserve">Baseline viral load status established the most clinically decisive dichotomy in the descriptive profile. Among the 6,307 patients (89.7% of the cohort) who were virologically suppressed at baseline, 94.2% maintained suppression at their last recorded measurement, with 5.8% experiencing virologic breakthrough. In stark contrast, among the 722 patients (10.3%) who entered care with an unsuppressed baseline viral load, only 87.5% achieved eventual suppression, while 12.5% (n = 90) remained persistently unsuppressed. This 6.7 percentage point gap in within group failure rates between the baseline suppressed and baseline unsuppressed groups statistically confirms that baseline virologic condition is a highly determinative clinical antecedent, empirically </w:t>
      </w:r>
      <w:r w:rsidRPr="00A451F7">
        <w:rPr>
          <w:rFonts w:ascii="Times New Roman" w:hAnsi="Times New Roman" w:cs="Times New Roman"/>
          <w:sz w:val="24"/>
          <w:szCs w:val="24"/>
        </w:rPr>
        <w:lastRenderedPageBreak/>
        <w:t>validating its mandatory retention as a clinical control variable throughout all multivariable modeling phases.</w:t>
      </w:r>
    </w:p>
    <w:p w14:paraId="0205A04C" w14:textId="77777777" w:rsidR="00E45752" w:rsidRPr="00E45752" w:rsidRDefault="00E45752" w:rsidP="00E45752">
      <w:pPr>
        <w:spacing w:line="480" w:lineRule="auto"/>
        <w:jc w:val="both"/>
        <w:rPr>
          <w:rFonts w:ascii="Times New Roman" w:hAnsi="Times New Roman" w:cs="Times New Roman"/>
          <w:b/>
          <w:bCs/>
          <w:sz w:val="24"/>
          <w:szCs w:val="24"/>
        </w:rPr>
      </w:pPr>
      <w:r w:rsidRPr="00E45752">
        <w:rPr>
          <w:rFonts w:ascii="Times New Roman" w:hAnsi="Times New Roman" w:cs="Times New Roman"/>
          <w:b/>
          <w:bCs/>
          <w:sz w:val="24"/>
          <w:szCs w:val="24"/>
        </w:rPr>
        <w:t>4.2.1.3 Facility Level Characteristics</w:t>
      </w:r>
    </w:p>
    <w:p w14:paraId="2CE3464C" w14:textId="77777777" w:rsidR="00E45752" w:rsidRPr="00E45752" w:rsidRDefault="00E45752" w:rsidP="00E45752">
      <w:pPr>
        <w:spacing w:line="480" w:lineRule="auto"/>
        <w:jc w:val="both"/>
        <w:rPr>
          <w:rFonts w:ascii="Times New Roman" w:hAnsi="Times New Roman" w:cs="Times New Roman"/>
          <w:sz w:val="24"/>
          <w:szCs w:val="24"/>
        </w:rPr>
      </w:pPr>
      <w:r w:rsidRPr="00E45752">
        <w:rPr>
          <w:rFonts w:ascii="Times New Roman" w:hAnsi="Times New Roman" w:cs="Times New Roman"/>
          <w:sz w:val="24"/>
          <w:szCs w:val="24"/>
        </w:rPr>
        <w:t>Table 4.4 presents the distribution of patients across the 35 participating treatment facilities, stratified by facility location, ownership type, and tier of care. Row percentages report the crude viral load suppression and failure rates within each institutional category.</w:t>
      </w:r>
    </w:p>
    <w:p w14:paraId="260C9E6A" w14:textId="77777777" w:rsidR="00E45752" w:rsidRPr="00E45752" w:rsidRDefault="00E45752" w:rsidP="005A0130">
      <w:pPr>
        <w:spacing w:line="240" w:lineRule="auto"/>
        <w:jc w:val="both"/>
        <w:rPr>
          <w:rFonts w:ascii="Times New Roman" w:hAnsi="Times New Roman" w:cs="Times New Roman"/>
          <w:sz w:val="24"/>
          <w:szCs w:val="24"/>
        </w:rPr>
      </w:pPr>
      <w:r w:rsidRPr="00E45752">
        <w:rPr>
          <w:rFonts w:ascii="Times New Roman" w:hAnsi="Times New Roman" w:cs="Times New Roman"/>
          <w:b/>
          <w:bCs/>
          <w:sz w:val="24"/>
          <w:szCs w:val="24"/>
        </w:rPr>
        <w:t>Table 4.4: Facility Context Profile by Viral Load Suppression Status (N = 7,029)</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878"/>
        <w:gridCol w:w="1790"/>
        <w:gridCol w:w="2218"/>
        <w:gridCol w:w="2478"/>
      </w:tblGrid>
      <w:tr w:rsidR="00E45752" w:rsidRPr="00E45752" w14:paraId="5D89EF07" w14:textId="77777777" w:rsidTr="00E45752">
        <w:trPr>
          <w:tblHeader/>
          <w:tblCellSpacing w:w="15" w:type="dxa"/>
        </w:trPr>
        <w:tc>
          <w:tcPr>
            <w:tcW w:w="0" w:type="auto"/>
            <w:tcBorders>
              <w:bottom w:val="single" w:sz="4" w:space="0" w:color="auto"/>
            </w:tcBorders>
            <w:vAlign w:val="center"/>
            <w:hideMark/>
          </w:tcPr>
          <w:p w14:paraId="4D2619F4"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b/>
                <w:bCs/>
              </w:rPr>
              <w:t>Characteristic</w:t>
            </w:r>
          </w:p>
        </w:tc>
        <w:tc>
          <w:tcPr>
            <w:tcW w:w="0" w:type="auto"/>
            <w:tcBorders>
              <w:bottom w:val="single" w:sz="4" w:space="0" w:color="auto"/>
            </w:tcBorders>
            <w:vAlign w:val="center"/>
            <w:hideMark/>
          </w:tcPr>
          <w:p w14:paraId="49BE907D"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b/>
                <w:bCs/>
              </w:rPr>
              <w:t>Overall N (Col %)</w:t>
            </w:r>
          </w:p>
        </w:tc>
        <w:tc>
          <w:tcPr>
            <w:tcW w:w="0" w:type="auto"/>
            <w:tcBorders>
              <w:bottom w:val="single" w:sz="4" w:space="0" w:color="auto"/>
            </w:tcBorders>
            <w:vAlign w:val="center"/>
            <w:hideMark/>
          </w:tcPr>
          <w:p w14:paraId="2EB9E600"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b/>
                <w:bCs/>
              </w:rPr>
              <w:t>Suppressed n (Row %)</w:t>
            </w:r>
          </w:p>
        </w:tc>
        <w:tc>
          <w:tcPr>
            <w:tcW w:w="0" w:type="auto"/>
            <w:tcBorders>
              <w:bottom w:val="single" w:sz="4" w:space="0" w:color="auto"/>
            </w:tcBorders>
            <w:vAlign w:val="center"/>
            <w:hideMark/>
          </w:tcPr>
          <w:p w14:paraId="2CB958A1"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b/>
                <w:bCs/>
              </w:rPr>
              <w:t>Unsuppressed n (Row %)</w:t>
            </w:r>
          </w:p>
        </w:tc>
      </w:tr>
      <w:tr w:rsidR="00E45752" w:rsidRPr="00E45752" w14:paraId="5B8B7CE3" w14:textId="77777777" w:rsidTr="00E45752">
        <w:trPr>
          <w:tblCellSpacing w:w="15" w:type="dxa"/>
        </w:trPr>
        <w:tc>
          <w:tcPr>
            <w:tcW w:w="0" w:type="auto"/>
            <w:vAlign w:val="center"/>
            <w:hideMark/>
          </w:tcPr>
          <w:p w14:paraId="0FA3D7E2"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b/>
                <w:bCs/>
              </w:rPr>
              <w:t>Facility Location</w:t>
            </w:r>
          </w:p>
        </w:tc>
        <w:tc>
          <w:tcPr>
            <w:tcW w:w="0" w:type="auto"/>
            <w:vAlign w:val="center"/>
            <w:hideMark/>
          </w:tcPr>
          <w:p w14:paraId="1B9DA1A4" w14:textId="77777777" w:rsidR="00E45752" w:rsidRPr="00E45752" w:rsidRDefault="00E45752" w:rsidP="00E45752">
            <w:pPr>
              <w:spacing w:after="0" w:line="240" w:lineRule="auto"/>
              <w:jc w:val="both"/>
              <w:rPr>
                <w:rFonts w:ascii="Times New Roman" w:hAnsi="Times New Roman" w:cs="Times New Roman"/>
              </w:rPr>
            </w:pPr>
          </w:p>
        </w:tc>
        <w:tc>
          <w:tcPr>
            <w:tcW w:w="0" w:type="auto"/>
            <w:vAlign w:val="center"/>
            <w:hideMark/>
          </w:tcPr>
          <w:p w14:paraId="094ECE53" w14:textId="77777777" w:rsidR="00E45752" w:rsidRPr="00E45752" w:rsidRDefault="00E45752" w:rsidP="00E45752">
            <w:pPr>
              <w:spacing w:after="0" w:line="240" w:lineRule="auto"/>
              <w:jc w:val="both"/>
              <w:rPr>
                <w:rFonts w:ascii="Times New Roman" w:hAnsi="Times New Roman" w:cs="Times New Roman"/>
              </w:rPr>
            </w:pPr>
          </w:p>
        </w:tc>
        <w:tc>
          <w:tcPr>
            <w:tcW w:w="0" w:type="auto"/>
            <w:vAlign w:val="center"/>
            <w:hideMark/>
          </w:tcPr>
          <w:p w14:paraId="2F4DED0B" w14:textId="77777777" w:rsidR="00E45752" w:rsidRPr="00E45752" w:rsidRDefault="00E45752" w:rsidP="00E45752">
            <w:pPr>
              <w:spacing w:after="0" w:line="240" w:lineRule="auto"/>
              <w:jc w:val="both"/>
              <w:rPr>
                <w:rFonts w:ascii="Times New Roman" w:hAnsi="Times New Roman" w:cs="Times New Roman"/>
              </w:rPr>
            </w:pPr>
          </w:p>
        </w:tc>
      </w:tr>
      <w:tr w:rsidR="00E45752" w:rsidRPr="00E45752" w14:paraId="5C4A1F05" w14:textId="77777777" w:rsidTr="00E45752">
        <w:trPr>
          <w:tblCellSpacing w:w="15" w:type="dxa"/>
        </w:trPr>
        <w:tc>
          <w:tcPr>
            <w:tcW w:w="0" w:type="auto"/>
            <w:vAlign w:val="center"/>
            <w:hideMark/>
          </w:tcPr>
          <w:p w14:paraId="1142EBA8"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rPr>
              <w:t>Rural</w:t>
            </w:r>
          </w:p>
        </w:tc>
        <w:tc>
          <w:tcPr>
            <w:tcW w:w="0" w:type="auto"/>
            <w:vAlign w:val="center"/>
            <w:hideMark/>
          </w:tcPr>
          <w:p w14:paraId="4F5741AE"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rPr>
              <w:t>4,079 (58.0)</w:t>
            </w:r>
          </w:p>
        </w:tc>
        <w:tc>
          <w:tcPr>
            <w:tcW w:w="0" w:type="auto"/>
            <w:vAlign w:val="center"/>
            <w:hideMark/>
          </w:tcPr>
          <w:p w14:paraId="617F8C25"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rPr>
              <w:t>3,789 (92.9)</w:t>
            </w:r>
          </w:p>
        </w:tc>
        <w:tc>
          <w:tcPr>
            <w:tcW w:w="0" w:type="auto"/>
            <w:vAlign w:val="center"/>
            <w:hideMark/>
          </w:tcPr>
          <w:p w14:paraId="753062C5"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rPr>
              <w:t>290 (7.1)</w:t>
            </w:r>
          </w:p>
        </w:tc>
      </w:tr>
      <w:tr w:rsidR="00E45752" w:rsidRPr="00E45752" w14:paraId="0CD844B1" w14:textId="77777777" w:rsidTr="00E45752">
        <w:trPr>
          <w:tblCellSpacing w:w="15" w:type="dxa"/>
        </w:trPr>
        <w:tc>
          <w:tcPr>
            <w:tcW w:w="0" w:type="auto"/>
            <w:vAlign w:val="center"/>
            <w:hideMark/>
          </w:tcPr>
          <w:p w14:paraId="2294DB9C"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rPr>
              <w:t>Urban</w:t>
            </w:r>
          </w:p>
        </w:tc>
        <w:tc>
          <w:tcPr>
            <w:tcW w:w="0" w:type="auto"/>
            <w:vAlign w:val="center"/>
            <w:hideMark/>
          </w:tcPr>
          <w:p w14:paraId="43B9AC84"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rPr>
              <w:t>2,950 (42.0)</w:t>
            </w:r>
          </w:p>
        </w:tc>
        <w:tc>
          <w:tcPr>
            <w:tcW w:w="0" w:type="auto"/>
            <w:vAlign w:val="center"/>
            <w:hideMark/>
          </w:tcPr>
          <w:p w14:paraId="451C0A50"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rPr>
              <w:t>2,787 (94.5)</w:t>
            </w:r>
          </w:p>
        </w:tc>
        <w:tc>
          <w:tcPr>
            <w:tcW w:w="0" w:type="auto"/>
            <w:vAlign w:val="center"/>
            <w:hideMark/>
          </w:tcPr>
          <w:p w14:paraId="5FC4680B"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rPr>
              <w:t>163 (5.5)</w:t>
            </w:r>
          </w:p>
        </w:tc>
      </w:tr>
      <w:tr w:rsidR="00E45752" w:rsidRPr="00E45752" w14:paraId="5F04A40D" w14:textId="77777777" w:rsidTr="00E45752">
        <w:trPr>
          <w:tblCellSpacing w:w="15" w:type="dxa"/>
        </w:trPr>
        <w:tc>
          <w:tcPr>
            <w:tcW w:w="0" w:type="auto"/>
            <w:vAlign w:val="center"/>
            <w:hideMark/>
          </w:tcPr>
          <w:p w14:paraId="5FCFF3D8"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b/>
                <w:bCs/>
              </w:rPr>
              <w:t>Facility Ownership</w:t>
            </w:r>
          </w:p>
        </w:tc>
        <w:tc>
          <w:tcPr>
            <w:tcW w:w="0" w:type="auto"/>
            <w:vAlign w:val="center"/>
            <w:hideMark/>
          </w:tcPr>
          <w:p w14:paraId="47CA927D" w14:textId="77777777" w:rsidR="00E45752" w:rsidRPr="00E45752" w:rsidRDefault="00E45752" w:rsidP="00E45752">
            <w:pPr>
              <w:spacing w:after="0" w:line="240" w:lineRule="auto"/>
              <w:jc w:val="both"/>
              <w:rPr>
                <w:rFonts w:ascii="Times New Roman" w:hAnsi="Times New Roman" w:cs="Times New Roman"/>
              </w:rPr>
            </w:pPr>
          </w:p>
        </w:tc>
        <w:tc>
          <w:tcPr>
            <w:tcW w:w="0" w:type="auto"/>
            <w:vAlign w:val="center"/>
            <w:hideMark/>
          </w:tcPr>
          <w:p w14:paraId="4162AA44" w14:textId="77777777" w:rsidR="00E45752" w:rsidRPr="00E45752" w:rsidRDefault="00E45752" w:rsidP="00E45752">
            <w:pPr>
              <w:spacing w:after="0" w:line="240" w:lineRule="auto"/>
              <w:jc w:val="both"/>
              <w:rPr>
                <w:rFonts w:ascii="Times New Roman" w:hAnsi="Times New Roman" w:cs="Times New Roman"/>
              </w:rPr>
            </w:pPr>
          </w:p>
        </w:tc>
        <w:tc>
          <w:tcPr>
            <w:tcW w:w="0" w:type="auto"/>
            <w:vAlign w:val="center"/>
            <w:hideMark/>
          </w:tcPr>
          <w:p w14:paraId="012AB8EA" w14:textId="77777777" w:rsidR="00E45752" w:rsidRPr="00E45752" w:rsidRDefault="00E45752" w:rsidP="00E45752">
            <w:pPr>
              <w:spacing w:after="0" w:line="240" w:lineRule="auto"/>
              <w:jc w:val="both"/>
              <w:rPr>
                <w:rFonts w:ascii="Times New Roman" w:hAnsi="Times New Roman" w:cs="Times New Roman"/>
              </w:rPr>
            </w:pPr>
          </w:p>
        </w:tc>
      </w:tr>
      <w:tr w:rsidR="00E45752" w:rsidRPr="00E45752" w14:paraId="18C83861" w14:textId="77777777" w:rsidTr="00E45752">
        <w:trPr>
          <w:tblCellSpacing w:w="15" w:type="dxa"/>
        </w:trPr>
        <w:tc>
          <w:tcPr>
            <w:tcW w:w="0" w:type="auto"/>
            <w:vAlign w:val="center"/>
            <w:hideMark/>
          </w:tcPr>
          <w:p w14:paraId="501665A8"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rPr>
              <w:t>Public</w:t>
            </w:r>
          </w:p>
        </w:tc>
        <w:tc>
          <w:tcPr>
            <w:tcW w:w="0" w:type="auto"/>
            <w:vAlign w:val="center"/>
            <w:hideMark/>
          </w:tcPr>
          <w:p w14:paraId="0646C8A8"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rPr>
              <w:t>4,299 (61.2)</w:t>
            </w:r>
          </w:p>
        </w:tc>
        <w:tc>
          <w:tcPr>
            <w:tcW w:w="0" w:type="auto"/>
            <w:vAlign w:val="center"/>
            <w:hideMark/>
          </w:tcPr>
          <w:p w14:paraId="648C9AB6"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rPr>
              <w:t>4,024 (93.6)</w:t>
            </w:r>
          </w:p>
        </w:tc>
        <w:tc>
          <w:tcPr>
            <w:tcW w:w="0" w:type="auto"/>
            <w:vAlign w:val="center"/>
            <w:hideMark/>
          </w:tcPr>
          <w:p w14:paraId="0118357A"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rPr>
              <w:t>275 (6.4)</w:t>
            </w:r>
          </w:p>
        </w:tc>
      </w:tr>
      <w:tr w:rsidR="00E45752" w:rsidRPr="00E45752" w14:paraId="4D978490" w14:textId="77777777" w:rsidTr="00E45752">
        <w:trPr>
          <w:tblCellSpacing w:w="15" w:type="dxa"/>
        </w:trPr>
        <w:tc>
          <w:tcPr>
            <w:tcW w:w="0" w:type="auto"/>
            <w:vAlign w:val="center"/>
            <w:hideMark/>
          </w:tcPr>
          <w:p w14:paraId="54279769"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rPr>
              <w:t>Faith based</w:t>
            </w:r>
          </w:p>
        </w:tc>
        <w:tc>
          <w:tcPr>
            <w:tcW w:w="0" w:type="auto"/>
            <w:vAlign w:val="center"/>
            <w:hideMark/>
          </w:tcPr>
          <w:p w14:paraId="0DE88900"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rPr>
              <w:t>2,590 (36.8)</w:t>
            </w:r>
          </w:p>
        </w:tc>
        <w:tc>
          <w:tcPr>
            <w:tcW w:w="0" w:type="auto"/>
            <w:vAlign w:val="center"/>
            <w:hideMark/>
          </w:tcPr>
          <w:p w14:paraId="2CDC8BBC"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rPr>
              <w:t>2,420 (93.4)</w:t>
            </w:r>
          </w:p>
        </w:tc>
        <w:tc>
          <w:tcPr>
            <w:tcW w:w="0" w:type="auto"/>
            <w:vAlign w:val="center"/>
            <w:hideMark/>
          </w:tcPr>
          <w:p w14:paraId="23E970C2"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rPr>
              <w:t>170 (6.6)</w:t>
            </w:r>
          </w:p>
        </w:tc>
      </w:tr>
      <w:tr w:rsidR="00E45752" w:rsidRPr="00E45752" w14:paraId="32F04EA7" w14:textId="77777777" w:rsidTr="00E45752">
        <w:trPr>
          <w:tblCellSpacing w:w="15" w:type="dxa"/>
        </w:trPr>
        <w:tc>
          <w:tcPr>
            <w:tcW w:w="0" w:type="auto"/>
            <w:vAlign w:val="center"/>
            <w:hideMark/>
          </w:tcPr>
          <w:p w14:paraId="48C56A18"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rPr>
              <w:t>Private</w:t>
            </w:r>
          </w:p>
        </w:tc>
        <w:tc>
          <w:tcPr>
            <w:tcW w:w="0" w:type="auto"/>
            <w:vAlign w:val="center"/>
            <w:hideMark/>
          </w:tcPr>
          <w:p w14:paraId="5883F621"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rPr>
              <w:t>140 (2.0)</w:t>
            </w:r>
          </w:p>
        </w:tc>
        <w:tc>
          <w:tcPr>
            <w:tcW w:w="0" w:type="auto"/>
            <w:vAlign w:val="center"/>
            <w:hideMark/>
          </w:tcPr>
          <w:p w14:paraId="598640E7"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rPr>
              <w:t>132 (94.3)</w:t>
            </w:r>
          </w:p>
        </w:tc>
        <w:tc>
          <w:tcPr>
            <w:tcW w:w="0" w:type="auto"/>
            <w:vAlign w:val="center"/>
            <w:hideMark/>
          </w:tcPr>
          <w:p w14:paraId="0E74D3DC"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rPr>
              <w:t>8 (5.7)</w:t>
            </w:r>
          </w:p>
        </w:tc>
      </w:tr>
      <w:tr w:rsidR="00E45752" w:rsidRPr="00E45752" w14:paraId="45B6141D" w14:textId="77777777" w:rsidTr="00E45752">
        <w:trPr>
          <w:tblCellSpacing w:w="15" w:type="dxa"/>
        </w:trPr>
        <w:tc>
          <w:tcPr>
            <w:tcW w:w="0" w:type="auto"/>
            <w:vAlign w:val="center"/>
            <w:hideMark/>
          </w:tcPr>
          <w:p w14:paraId="48062B31"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b/>
                <w:bCs/>
              </w:rPr>
              <w:t>Facility Tier</w:t>
            </w:r>
          </w:p>
        </w:tc>
        <w:tc>
          <w:tcPr>
            <w:tcW w:w="0" w:type="auto"/>
            <w:vAlign w:val="center"/>
            <w:hideMark/>
          </w:tcPr>
          <w:p w14:paraId="2FB3DE6E" w14:textId="77777777" w:rsidR="00E45752" w:rsidRPr="00E45752" w:rsidRDefault="00E45752" w:rsidP="00E45752">
            <w:pPr>
              <w:spacing w:after="0" w:line="240" w:lineRule="auto"/>
              <w:jc w:val="both"/>
              <w:rPr>
                <w:rFonts w:ascii="Times New Roman" w:hAnsi="Times New Roman" w:cs="Times New Roman"/>
              </w:rPr>
            </w:pPr>
          </w:p>
        </w:tc>
        <w:tc>
          <w:tcPr>
            <w:tcW w:w="0" w:type="auto"/>
            <w:vAlign w:val="center"/>
            <w:hideMark/>
          </w:tcPr>
          <w:p w14:paraId="2268DD75" w14:textId="77777777" w:rsidR="00E45752" w:rsidRPr="00E45752" w:rsidRDefault="00E45752" w:rsidP="00E45752">
            <w:pPr>
              <w:spacing w:after="0" w:line="240" w:lineRule="auto"/>
              <w:jc w:val="both"/>
              <w:rPr>
                <w:rFonts w:ascii="Times New Roman" w:hAnsi="Times New Roman" w:cs="Times New Roman"/>
              </w:rPr>
            </w:pPr>
          </w:p>
        </w:tc>
        <w:tc>
          <w:tcPr>
            <w:tcW w:w="0" w:type="auto"/>
            <w:vAlign w:val="center"/>
            <w:hideMark/>
          </w:tcPr>
          <w:p w14:paraId="2C048D86" w14:textId="77777777" w:rsidR="00E45752" w:rsidRPr="00E45752" w:rsidRDefault="00E45752" w:rsidP="00E45752">
            <w:pPr>
              <w:spacing w:after="0" w:line="240" w:lineRule="auto"/>
              <w:jc w:val="both"/>
              <w:rPr>
                <w:rFonts w:ascii="Times New Roman" w:hAnsi="Times New Roman" w:cs="Times New Roman"/>
              </w:rPr>
            </w:pPr>
          </w:p>
        </w:tc>
      </w:tr>
      <w:tr w:rsidR="00E45752" w:rsidRPr="00E45752" w14:paraId="6A815A4B" w14:textId="77777777" w:rsidTr="00E45752">
        <w:trPr>
          <w:tblCellSpacing w:w="15" w:type="dxa"/>
        </w:trPr>
        <w:tc>
          <w:tcPr>
            <w:tcW w:w="0" w:type="auto"/>
            <w:vAlign w:val="center"/>
            <w:hideMark/>
          </w:tcPr>
          <w:p w14:paraId="752E6C7B"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rPr>
              <w:t>Primary</w:t>
            </w:r>
          </w:p>
        </w:tc>
        <w:tc>
          <w:tcPr>
            <w:tcW w:w="0" w:type="auto"/>
            <w:vAlign w:val="center"/>
            <w:hideMark/>
          </w:tcPr>
          <w:p w14:paraId="1104A39F"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rPr>
              <w:t>105 (1.5)</w:t>
            </w:r>
          </w:p>
        </w:tc>
        <w:tc>
          <w:tcPr>
            <w:tcW w:w="0" w:type="auto"/>
            <w:vAlign w:val="center"/>
            <w:hideMark/>
          </w:tcPr>
          <w:p w14:paraId="7A05C4D4"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rPr>
              <w:t>102 (97.1)</w:t>
            </w:r>
          </w:p>
        </w:tc>
        <w:tc>
          <w:tcPr>
            <w:tcW w:w="0" w:type="auto"/>
            <w:vAlign w:val="center"/>
            <w:hideMark/>
          </w:tcPr>
          <w:p w14:paraId="4A5CF073"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rPr>
              <w:t>3 (2.9)</w:t>
            </w:r>
          </w:p>
        </w:tc>
      </w:tr>
      <w:tr w:rsidR="00E45752" w:rsidRPr="00E45752" w14:paraId="5213FC58" w14:textId="77777777" w:rsidTr="00E45752">
        <w:trPr>
          <w:tblCellSpacing w:w="15" w:type="dxa"/>
        </w:trPr>
        <w:tc>
          <w:tcPr>
            <w:tcW w:w="0" w:type="auto"/>
            <w:vAlign w:val="center"/>
            <w:hideMark/>
          </w:tcPr>
          <w:p w14:paraId="7F71EC5F"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rPr>
              <w:t>Secondary</w:t>
            </w:r>
          </w:p>
        </w:tc>
        <w:tc>
          <w:tcPr>
            <w:tcW w:w="0" w:type="auto"/>
            <w:vAlign w:val="center"/>
            <w:hideMark/>
          </w:tcPr>
          <w:p w14:paraId="508605C0"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rPr>
              <w:t>5,457 (77.6)</w:t>
            </w:r>
          </w:p>
        </w:tc>
        <w:tc>
          <w:tcPr>
            <w:tcW w:w="0" w:type="auto"/>
            <w:vAlign w:val="center"/>
            <w:hideMark/>
          </w:tcPr>
          <w:p w14:paraId="40977FBA"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rPr>
              <w:t>5,091 (93.3)</w:t>
            </w:r>
          </w:p>
        </w:tc>
        <w:tc>
          <w:tcPr>
            <w:tcW w:w="0" w:type="auto"/>
            <w:vAlign w:val="center"/>
            <w:hideMark/>
          </w:tcPr>
          <w:p w14:paraId="0F0BC868"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rPr>
              <w:t>366 (6.7)</w:t>
            </w:r>
          </w:p>
        </w:tc>
      </w:tr>
      <w:tr w:rsidR="00E45752" w:rsidRPr="00E45752" w14:paraId="16F97543" w14:textId="77777777" w:rsidTr="00E45752">
        <w:trPr>
          <w:tblCellSpacing w:w="15" w:type="dxa"/>
        </w:trPr>
        <w:tc>
          <w:tcPr>
            <w:tcW w:w="0" w:type="auto"/>
            <w:vAlign w:val="center"/>
            <w:hideMark/>
          </w:tcPr>
          <w:p w14:paraId="63C4AF82"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rPr>
              <w:t>Tertiary</w:t>
            </w:r>
          </w:p>
        </w:tc>
        <w:tc>
          <w:tcPr>
            <w:tcW w:w="0" w:type="auto"/>
            <w:vAlign w:val="center"/>
            <w:hideMark/>
          </w:tcPr>
          <w:p w14:paraId="0B8DEB84"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rPr>
              <w:t>1,467 (20.9)</w:t>
            </w:r>
          </w:p>
        </w:tc>
        <w:tc>
          <w:tcPr>
            <w:tcW w:w="0" w:type="auto"/>
            <w:vAlign w:val="center"/>
            <w:hideMark/>
          </w:tcPr>
          <w:p w14:paraId="5E90DFE6"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rPr>
              <w:t>1,383 (94.3)</w:t>
            </w:r>
          </w:p>
        </w:tc>
        <w:tc>
          <w:tcPr>
            <w:tcW w:w="0" w:type="auto"/>
            <w:vAlign w:val="center"/>
            <w:hideMark/>
          </w:tcPr>
          <w:p w14:paraId="76EA5630" w14:textId="77777777" w:rsidR="00E45752" w:rsidRPr="00E45752" w:rsidRDefault="00E45752" w:rsidP="00E45752">
            <w:pPr>
              <w:spacing w:after="0" w:line="240" w:lineRule="auto"/>
              <w:jc w:val="both"/>
              <w:rPr>
                <w:rFonts w:ascii="Times New Roman" w:hAnsi="Times New Roman" w:cs="Times New Roman"/>
              </w:rPr>
            </w:pPr>
            <w:r w:rsidRPr="00E45752">
              <w:rPr>
                <w:rFonts w:ascii="Times New Roman" w:hAnsi="Times New Roman" w:cs="Times New Roman"/>
              </w:rPr>
              <w:t>84 (5.7)</w:t>
            </w:r>
          </w:p>
        </w:tc>
      </w:tr>
    </w:tbl>
    <w:p w14:paraId="7B144EB2" w14:textId="77777777" w:rsidR="00E45752" w:rsidRPr="00E45752" w:rsidRDefault="00E45752" w:rsidP="00E45752">
      <w:pPr>
        <w:spacing w:line="240" w:lineRule="auto"/>
        <w:jc w:val="both"/>
        <w:rPr>
          <w:rFonts w:ascii="Times New Roman" w:hAnsi="Times New Roman" w:cs="Times New Roman"/>
          <w:sz w:val="24"/>
          <w:szCs w:val="24"/>
        </w:rPr>
      </w:pPr>
      <w:r w:rsidRPr="00E45752">
        <w:rPr>
          <w:rFonts w:ascii="Times New Roman" w:hAnsi="Times New Roman" w:cs="Times New Roman"/>
          <w:i/>
          <w:iCs/>
          <w:sz w:val="24"/>
          <w:szCs w:val="24"/>
        </w:rPr>
        <w:t xml:space="preserve">Note. Overall N (Col %) represents the proportion of the total cohort within that specific facility category. Suppressed n (Row %) and Unsuppressed n (Row %) represent the proportion of patients within that specific facility category who achieved or failed to achieve virologic suppression, respectively. The 35 participating facilities comprised 26 rural and 9 urban sites; 22 public, 10 faith based, and 3 private institutions; and 6 primary, 26 secondary, and 3 tertiary care </w:t>
      </w:r>
      <w:proofErr w:type="spellStart"/>
      <w:r w:rsidRPr="00E45752">
        <w:rPr>
          <w:rFonts w:ascii="Times New Roman" w:hAnsi="Times New Roman" w:cs="Times New Roman"/>
          <w:i/>
          <w:iCs/>
          <w:sz w:val="24"/>
          <w:szCs w:val="24"/>
        </w:rPr>
        <w:t>centres</w:t>
      </w:r>
      <w:proofErr w:type="spellEnd"/>
      <w:r w:rsidRPr="00E45752">
        <w:rPr>
          <w:rFonts w:ascii="Times New Roman" w:hAnsi="Times New Roman" w:cs="Times New Roman"/>
          <w:i/>
          <w:iCs/>
          <w:sz w:val="24"/>
          <w:szCs w:val="24"/>
        </w:rPr>
        <w:t>.</w:t>
      </w:r>
    </w:p>
    <w:p w14:paraId="551C0E2E" w14:textId="77777777" w:rsidR="00E45752" w:rsidRPr="00E45752" w:rsidRDefault="00E45752" w:rsidP="005A0130">
      <w:pPr>
        <w:spacing w:line="360" w:lineRule="auto"/>
        <w:jc w:val="both"/>
        <w:rPr>
          <w:rFonts w:ascii="Times New Roman" w:hAnsi="Times New Roman" w:cs="Times New Roman"/>
          <w:sz w:val="24"/>
          <w:szCs w:val="24"/>
        </w:rPr>
      </w:pPr>
      <w:r w:rsidRPr="00E45752">
        <w:rPr>
          <w:rFonts w:ascii="Times New Roman" w:hAnsi="Times New Roman" w:cs="Times New Roman"/>
          <w:i/>
          <w:iCs/>
          <w:sz w:val="24"/>
          <w:szCs w:val="24"/>
        </w:rPr>
        <w:t>Source: Researcher's Field Survey Data (2026)</w:t>
      </w:r>
    </w:p>
    <w:p w14:paraId="3058DCF1" w14:textId="77777777" w:rsidR="00E45752" w:rsidRPr="00E45752" w:rsidRDefault="00E45752" w:rsidP="00E45752">
      <w:pPr>
        <w:spacing w:line="480" w:lineRule="auto"/>
        <w:jc w:val="both"/>
        <w:rPr>
          <w:rFonts w:ascii="Times New Roman" w:hAnsi="Times New Roman" w:cs="Times New Roman"/>
          <w:sz w:val="24"/>
          <w:szCs w:val="24"/>
        </w:rPr>
      </w:pPr>
      <w:r w:rsidRPr="00E45752">
        <w:rPr>
          <w:rFonts w:ascii="Times New Roman" w:hAnsi="Times New Roman" w:cs="Times New Roman"/>
          <w:sz w:val="24"/>
          <w:szCs w:val="24"/>
        </w:rPr>
        <w:t xml:space="preserve">Care delivery was geographically concentrated in rural settings, with 58.0% of patients (n = 4,079) managed across the 26 rural facilities. Rural facilities recorded a within group crude suppression rate of 92.9%, compared to 94.5% at the 9 urban sites, which represents a 1.6 percentage point differential. While this geographic gap is modest in absolute terms, it highlights a directionally consistent rural disadvantage: 7.1% of rural managed patients remained virologically </w:t>
      </w:r>
      <w:r w:rsidRPr="00E45752">
        <w:rPr>
          <w:rFonts w:ascii="Times New Roman" w:hAnsi="Times New Roman" w:cs="Times New Roman"/>
          <w:sz w:val="24"/>
          <w:szCs w:val="24"/>
        </w:rPr>
        <w:lastRenderedPageBreak/>
        <w:t>unsuppressed compared to 5.5% of their urban counterparts. The persistence of this gap at the descriptive level is noteworthy and will be formally adjudicated in the multivariable mixed effects models to determine whether the difference survives adjustment for individual level sociodemographic and clinical characteristics.</w:t>
      </w:r>
    </w:p>
    <w:p w14:paraId="5C20E869" w14:textId="77777777" w:rsidR="00E45752" w:rsidRPr="00E45752" w:rsidRDefault="00E45752" w:rsidP="00E45752">
      <w:pPr>
        <w:spacing w:line="480" w:lineRule="auto"/>
        <w:jc w:val="both"/>
        <w:rPr>
          <w:rFonts w:ascii="Times New Roman" w:hAnsi="Times New Roman" w:cs="Times New Roman"/>
          <w:sz w:val="24"/>
          <w:szCs w:val="24"/>
        </w:rPr>
      </w:pPr>
      <w:r w:rsidRPr="00E45752">
        <w:rPr>
          <w:rFonts w:ascii="Times New Roman" w:hAnsi="Times New Roman" w:cs="Times New Roman"/>
          <w:sz w:val="24"/>
          <w:szCs w:val="24"/>
        </w:rPr>
        <w:t>Crude suppression rates across facility ownership types were closely clustered, indicating minimal differential programmatic performance by ownership model. Public facilities, managing the largest patient share at 61.2% (n = 4,299), recorded a suppression rate of 93.6%, with 6.4% of patients remaining unsuppressed. Faith based institutions, serving 36.8% of the cohort (n = 2,590), recorded a virtually identical suppression rate of 93.4%. Private facilities, managing a marginal 2.0% of patients (n = 140), recorded the highest within group suppression rate across ownership types at 94.3%, corresponding to a failure rate of 5.7%. The tight clustering of crude suppression rates across all three ownership models provides preliminary descriptive evidence that ownership type may not independently moderate virologic outcomes once patient level characteristics are controlled.</w:t>
      </w:r>
    </w:p>
    <w:p w14:paraId="7580DC55" w14:textId="77777777" w:rsidR="00E45752" w:rsidRPr="00E45752" w:rsidRDefault="00E45752" w:rsidP="00E45752">
      <w:pPr>
        <w:spacing w:line="480" w:lineRule="auto"/>
        <w:jc w:val="both"/>
        <w:rPr>
          <w:rFonts w:ascii="Times New Roman" w:hAnsi="Times New Roman" w:cs="Times New Roman"/>
          <w:sz w:val="24"/>
          <w:szCs w:val="24"/>
        </w:rPr>
      </w:pPr>
      <w:r w:rsidRPr="00E45752">
        <w:rPr>
          <w:rFonts w:ascii="Times New Roman" w:hAnsi="Times New Roman" w:cs="Times New Roman"/>
          <w:sz w:val="24"/>
          <w:szCs w:val="24"/>
        </w:rPr>
        <w:t xml:space="preserve">Facility tier demonstrated more differentiation in crude suppression rates. Primary care </w:t>
      </w:r>
      <w:proofErr w:type="spellStart"/>
      <w:r w:rsidRPr="00E45752">
        <w:rPr>
          <w:rFonts w:ascii="Times New Roman" w:hAnsi="Times New Roman" w:cs="Times New Roman"/>
          <w:sz w:val="24"/>
          <w:szCs w:val="24"/>
        </w:rPr>
        <w:t>centres</w:t>
      </w:r>
      <w:proofErr w:type="spellEnd"/>
      <w:r w:rsidRPr="00E45752">
        <w:rPr>
          <w:rFonts w:ascii="Times New Roman" w:hAnsi="Times New Roman" w:cs="Times New Roman"/>
          <w:sz w:val="24"/>
          <w:szCs w:val="24"/>
        </w:rPr>
        <w:t xml:space="preserve">, accounting for only 1.5% of all patients (n = 105) across 6 sites, recorded the highest within group suppression rate at 97.1%, with a virologic failure rate of merely 2.9%, the lowest across all tier categories. Secondary facilities, which constituted the dominant care delivery tier at 77.6% of the cohort (n = 5,457) across 26 sites, recorded a suppression rate of 93.3%, with 6.7% of patients failing to achieve suppression. Tertiary facilities, managing 20.9% of the cohort (n = 1,467) across 3 sites, recorded a suppression rate of 94.3%, with a failure rate of 5.7%. The superior crude suppression rate at primary facilities, while descriptively striking, is clinically interpreted with caution given the sparse patient volume at that tier. Only 3 unsuppressed patients were observed </w:t>
      </w:r>
      <w:r w:rsidRPr="00E45752">
        <w:rPr>
          <w:rFonts w:ascii="Times New Roman" w:hAnsi="Times New Roman" w:cs="Times New Roman"/>
          <w:sz w:val="24"/>
          <w:szCs w:val="24"/>
        </w:rPr>
        <w:lastRenderedPageBreak/>
        <w:t>across 6 primary sites. This distributional pattern necessitated the primary and secondary category merger documented in Section 4.1.3.</w:t>
      </w:r>
    </w:p>
    <w:p w14:paraId="6B91A110" w14:textId="77777777" w:rsidR="00DD6823" w:rsidRDefault="00E45752" w:rsidP="00E45752">
      <w:pPr>
        <w:spacing w:line="480" w:lineRule="auto"/>
        <w:jc w:val="both"/>
        <w:rPr>
          <w:rFonts w:ascii="Times New Roman" w:hAnsi="Times New Roman" w:cs="Times New Roman"/>
          <w:b/>
          <w:bCs/>
          <w:sz w:val="24"/>
          <w:szCs w:val="24"/>
        </w:rPr>
      </w:pPr>
      <w:r w:rsidRPr="00E45752">
        <w:rPr>
          <w:rFonts w:ascii="Times New Roman" w:hAnsi="Times New Roman" w:cs="Times New Roman"/>
          <w:sz w:val="24"/>
          <w:szCs w:val="24"/>
        </w:rPr>
        <w:t>At the individual facility level, suppression rates ranged from a minimum of 83.2% to a maximum of 100.0% across the 35 sites, with a mean of 93.9%, a median of 94.0%, and a standard deviation of 4.1 percentage points. Twelve facilities achieved suppression rates at or above 95.0%, while five facilities recorded rates below 90.0%. This inter facility range of 16.8 percentage points provides compelling descriptive evidence of meaningful institutional variation in suppression outcomes. The formal magnitude of this variation will be quantified through the Intraclass Correlation Coefficient in the multilevel null model.</w:t>
      </w:r>
      <w:r>
        <w:rPr>
          <w:rFonts w:ascii="Times New Roman" w:hAnsi="Times New Roman" w:cs="Times New Roman"/>
          <w:b/>
          <w:bCs/>
          <w:sz w:val="24"/>
          <w:szCs w:val="24"/>
        </w:rPr>
        <w:t xml:space="preserve"> </w:t>
      </w:r>
    </w:p>
    <w:p w14:paraId="4CDCCA23" w14:textId="77777777" w:rsidR="00014166" w:rsidRPr="00E45752" w:rsidRDefault="003163B4" w:rsidP="005A0130">
      <w:pPr>
        <w:spacing w:after="0" w:line="360" w:lineRule="auto"/>
        <w:jc w:val="both"/>
        <w:rPr>
          <w:rFonts w:ascii="Times New Roman" w:hAnsi="Times New Roman" w:cs="Times New Roman"/>
          <w:sz w:val="24"/>
          <w:szCs w:val="24"/>
        </w:rPr>
      </w:pPr>
      <w:r w:rsidRPr="00E45752">
        <w:rPr>
          <w:rFonts w:ascii="Times New Roman" w:hAnsi="Times New Roman" w:cs="Times New Roman"/>
          <w:b/>
          <w:bCs/>
          <w:sz w:val="24"/>
          <w:szCs w:val="24"/>
        </w:rPr>
        <w:t xml:space="preserve">4.2.2 Programmatic Context: </w:t>
      </w:r>
      <w:r w:rsidR="0070216F" w:rsidRPr="00E45752">
        <w:rPr>
          <w:rFonts w:ascii="Times New Roman" w:hAnsi="Times New Roman" w:cs="Times New Roman"/>
          <w:b/>
          <w:bCs/>
          <w:sz w:val="24"/>
          <w:szCs w:val="24"/>
        </w:rPr>
        <w:t xml:space="preserve">Trend </w:t>
      </w:r>
      <w:r w:rsidR="00014166" w:rsidRPr="00E45752">
        <w:rPr>
          <w:rFonts w:ascii="Times New Roman" w:hAnsi="Times New Roman" w:cs="Times New Roman"/>
          <w:b/>
          <w:bCs/>
          <w:sz w:val="24"/>
          <w:szCs w:val="24"/>
        </w:rPr>
        <w:t>in</w:t>
      </w:r>
      <w:r w:rsidR="0070216F" w:rsidRPr="00E45752">
        <w:rPr>
          <w:rFonts w:ascii="Times New Roman" w:hAnsi="Times New Roman" w:cs="Times New Roman"/>
          <w:b/>
          <w:bCs/>
          <w:sz w:val="24"/>
          <w:szCs w:val="24"/>
        </w:rPr>
        <w:t xml:space="preserve"> </w:t>
      </w:r>
      <w:r w:rsidRPr="00E45752">
        <w:rPr>
          <w:rFonts w:ascii="Times New Roman" w:hAnsi="Times New Roman" w:cs="Times New Roman"/>
          <w:b/>
          <w:bCs/>
          <w:sz w:val="24"/>
          <w:szCs w:val="24"/>
        </w:rPr>
        <w:t>Viral Load Suppression</w:t>
      </w:r>
      <w:r w:rsidR="00014166" w:rsidRPr="00E45752">
        <w:rPr>
          <w:rFonts w:ascii="Times New Roman" w:hAnsi="Times New Roman" w:cs="Times New Roman"/>
          <w:b/>
          <w:bCs/>
          <w:sz w:val="24"/>
          <w:szCs w:val="24"/>
        </w:rPr>
        <w:t>, 2019-2024</w:t>
      </w:r>
    </w:p>
    <w:p w14:paraId="4D438D23" w14:textId="77777777" w:rsidR="003163B4" w:rsidRPr="00E45752" w:rsidRDefault="003163B4" w:rsidP="00E45752">
      <w:pPr>
        <w:spacing w:line="480" w:lineRule="auto"/>
        <w:jc w:val="both"/>
        <w:rPr>
          <w:rFonts w:ascii="Times New Roman" w:hAnsi="Times New Roman" w:cs="Times New Roman"/>
          <w:sz w:val="24"/>
          <w:szCs w:val="24"/>
        </w:rPr>
      </w:pPr>
      <w:r w:rsidRPr="00E45752">
        <w:rPr>
          <w:rFonts w:ascii="Times New Roman" w:hAnsi="Times New Roman" w:cs="Times New Roman"/>
          <w:sz w:val="24"/>
          <w:szCs w:val="24"/>
        </w:rPr>
        <w:t xml:space="preserve">To contextualize the programmatic trajectory of the Plateau State HIV response prior to formal inferential modeling, viral load suppression rates were evaluated descriptively </w:t>
      </w:r>
      <w:r w:rsidR="0070216F" w:rsidRPr="00E45752">
        <w:rPr>
          <w:rFonts w:ascii="Times New Roman" w:hAnsi="Times New Roman" w:cs="Times New Roman"/>
          <w:sz w:val="24"/>
          <w:szCs w:val="24"/>
        </w:rPr>
        <w:t xml:space="preserve">for patients initiated on ART </w:t>
      </w:r>
      <w:r w:rsidRPr="00E45752">
        <w:rPr>
          <w:rFonts w:ascii="Times New Roman" w:hAnsi="Times New Roman" w:cs="Times New Roman"/>
          <w:sz w:val="24"/>
          <w:szCs w:val="24"/>
        </w:rPr>
        <w:t>from October 2019 through September 202</w:t>
      </w:r>
      <w:r w:rsidR="0070216F" w:rsidRPr="00E45752">
        <w:rPr>
          <w:rFonts w:ascii="Times New Roman" w:hAnsi="Times New Roman" w:cs="Times New Roman"/>
          <w:sz w:val="24"/>
          <w:szCs w:val="24"/>
        </w:rPr>
        <w:t xml:space="preserve">4 </w:t>
      </w:r>
      <w:r w:rsidR="0070216F" w:rsidRPr="00043E0C">
        <w:rPr>
          <w:rFonts w:ascii="Times New Roman" w:hAnsi="Times New Roman" w:cs="Times New Roman"/>
          <w:sz w:val="24"/>
          <w:szCs w:val="24"/>
        </w:rPr>
        <w:t>and followed up for results till 2025</w:t>
      </w:r>
    </w:p>
    <w:p w14:paraId="338A4B30" w14:textId="77777777" w:rsidR="0070216F" w:rsidRDefault="0070216F" w:rsidP="005A0130">
      <w:pPr>
        <w:spacing w:line="240" w:lineRule="auto"/>
        <w:rPr>
          <w:noProof/>
        </w:rPr>
      </w:pPr>
      <w:r>
        <w:rPr>
          <w:noProof/>
        </w:rPr>
        <w:drawing>
          <wp:inline distT="0" distB="0" distL="0" distR="0" wp14:anchorId="40BB2B2B" wp14:editId="6773D614">
            <wp:extent cx="4384842" cy="2900754"/>
            <wp:effectExtent l="0" t="0" r="0" b="0"/>
            <wp:docPr id="3225736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11795"/>
                    <a:stretch>
                      <a:fillRect/>
                    </a:stretch>
                  </pic:blipFill>
                  <pic:spPr bwMode="auto">
                    <a:xfrm>
                      <a:off x="0" y="0"/>
                      <a:ext cx="4420480" cy="2924330"/>
                    </a:xfrm>
                    <a:prstGeom prst="rect">
                      <a:avLst/>
                    </a:prstGeom>
                    <a:noFill/>
                    <a:ln>
                      <a:noFill/>
                    </a:ln>
                    <a:extLst>
                      <a:ext uri="{53640926-AAD7-44D8-BBD7-CCE9431645EC}">
                        <a14:shadowObscured xmlns:a14="http://schemas.microsoft.com/office/drawing/2010/main"/>
                      </a:ext>
                    </a:extLst>
                  </pic:spPr>
                </pic:pic>
              </a:graphicData>
            </a:graphic>
          </wp:inline>
        </w:drawing>
      </w:r>
    </w:p>
    <w:p w14:paraId="5B733140" w14:textId="77777777" w:rsidR="0070216F" w:rsidRDefault="0070216F" w:rsidP="0070216F">
      <w:pPr>
        <w:spacing w:after="0"/>
        <w:rPr>
          <w:rFonts w:ascii="Times New Roman" w:hAnsi="Times New Roman" w:cs="Times New Roman"/>
          <w:b/>
          <w:bCs/>
          <w:sz w:val="24"/>
          <w:szCs w:val="24"/>
        </w:rPr>
      </w:pPr>
      <w:r w:rsidRPr="0070216F">
        <w:rPr>
          <w:rFonts w:ascii="Times New Roman" w:hAnsi="Times New Roman" w:cs="Times New Roman"/>
          <w:b/>
          <w:bCs/>
          <w:sz w:val="24"/>
          <w:szCs w:val="24"/>
        </w:rPr>
        <w:t xml:space="preserve">Figure </w:t>
      </w:r>
      <w:r w:rsidR="00B946E1">
        <w:rPr>
          <w:rFonts w:ascii="Times New Roman" w:hAnsi="Times New Roman" w:cs="Times New Roman"/>
          <w:b/>
          <w:bCs/>
          <w:sz w:val="24"/>
          <w:szCs w:val="24"/>
        </w:rPr>
        <w:t>4.</w:t>
      </w:r>
      <w:r w:rsidRPr="0070216F">
        <w:rPr>
          <w:rFonts w:ascii="Times New Roman" w:hAnsi="Times New Roman" w:cs="Times New Roman"/>
          <w:b/>
          <w:bCs/>
          <w:sz w:val="24"/>
          <w:szCs w:val="24"/>
        </w:rPr>
        <w:t xml:space="preserve">1: Trend </w:t>
      </w:r>
      <w:r w:rsidR="00014166">
        <w:rPr>
          <w:rFonts w:ascii="Times New Roman" w:hAnsi="Times New Roman" w:cs="Times New Roman"/>
          <w:b/>
          <w:bCs/>
          <w:sz w:val="24"/>
          <w:szCs w:val="24"/>
        </w:rPr>
        <w:t>in</w:t>
      </w:r>
      <w:r w:rsidRPr="0070216F">
        <w:rPr>
          <w:rFonts w:ascii="Times New Roman" w:hAnsi="Times New Roman" w:cs="Times New Roman"/>
          <w:b/>
          <w:bCs/>
          <w:sz w:val="24"/>
          <w:szCs w:val="24"/>
        </w:rPr>
        <w:t xml:space="preserve"> Viral Load Suppression among PLHIV Initiated on ART (2019-2024)</w:t>
      </w:r>
    </w:p>
    <w:p w14:paraId="6D3542A8" w14:textId="77777777" w:rsidR="00E45752" w:rsidRPr="00E45752" w:rsidRDefault="00E45752" w:rsidP="00E45752">
      <w:pPr>
        <w:spacing w:line="240" w:lineRule="auto"/>
        <w:jc w:val="both"/>
        <w:rPr>
          <w:rFonts w:ascii="Times New Roman" w:hAnsi="Times New Roman" w:cs="Times New Roman"/>
          <w:sz w:val="24"/>
          <w:szCs w:val="24"/>
        </w:rPr>
      </w:pPr>
      <w:r w:rsidRPr="00E45752">
        <w:rPr>
          <w:rFonts w:ascii="Times New Roman" w:hAnsi="Times New Roman" w:cs="Times New Roman"/>
          <w:i/>
          <w:iCs/>
          <w:sz w:val="24"/>
          <w:szCs w:val="24"/>
        </w:rPr>
        <w:t xml:space="preserve">Source: </w:t>
      </w:r>
      <w:r w:rsidRPr="00043E0C">
        <w:rPr>
          <w:rFonts w:ascii="Times New Roman" w:hAnsi="Times New Roman" w:cs="Times New Roman"/>
          <w:i/>
          <w:iCs/>
          <w:sz w:val="24"/>
          <w:szCs w:val="24"/>
        </w:rPr>
        <w:t>Researcher's Field Survey Data (2026)</w:t>
      </w:r>
      <w:r>
        <w:rPr>
          <w:rFonts w:ascii="Times New Roman" w:hAnsi="Times New Roman" w:cs="Times New Roman"/>
          <w:i/>
          <w:iCs/>
          <w:sz w:val="24"/>
          <w:szCs w:val="24"/>
        </w:rPr>
        <w:t xml:space="preserve"> </w:t>
      </w:r>
    </w:p>
    <w:p w14:paraId="2F4B2224" w14:textId="77777777" w:rsidR="00E45752" w:rsidRPr="0070216F" w:rsidRDefault="00E45752" w:rsidP="0070216F">
      <w:pPr>
        <w:spacing w:after="0"/>
        <w:rPr>
          <w:rFonts w:ascii="Times New Roman" w:hAnsi="Times New Roman" w:cs="Times New Roman"/>
          <w:b/>
          <w:bCs/>
          <w:sz w:val="24"/>
          <w:szCs w:val="24"/>
        </w:rPr>
      </w:pPr>
    </w:p>
    <w:p w14:paraId="70698356" w14:textId="77777777" w:rsidR="0070216F" w:rsidRPr="0070216F" w:rsidRDefault="00043E0C" w:rsidP="00043E0C">
      <w:pPr>
        <w:spacing w:after="0" w:line="480" w:lineRule="auto"/>
        <w:jc w:val="both"/>
        <w:rPr>
          <w:rFonts w:ascii="Times New Roman" w:hAnsi="Times New Roman" w:cs="Times New Roman"/>
          <w:sz w:val="24"/>
          <w:szCs w:val="24"/>
        </w:rPr>
      </w:pPr>
      <w:r w:rsidRPr="00043E0C">
        <w:rPr>
          <w:rFonts w:ascii="Times New Roman" w:hAnsi="Times New Roman" w:cs="Times New Roman"/>
          <w:sz w:val="24"/>
          <w:szCs w:val="24"/>
        </w:rPr>
        <w:t>The chart shows a clear divergence in trends between baseline viral load suppression and the most recent documented viral suppression over the period 2019–2024. The Last VL suppression remains consistently high and relatively stable, fluctuating narrowly between 93.1% and 94.9%, peaking in 2020 (94.9%) and ending strong at 94.7% in 2024, indicating sustained program performance at the most recent measurement point. However, the decline in viral suppression observed between 2020 and 2022 may be attributable to health system disruptions resulting from the COVID-19 pandemic. In contrast, baseline VL suppression exhibits greater variability: it moved markedly from 84.2% in 2019 to 92.2% in 2021, reached a peak of 92.7% in 2022, but then declined sharply to 88.4% in 2023 and further to 81.2% in 2024, representing the most striking drop in the series. Notably, the gap between baseline and last VL suppression widened substantially over time—from about 8.9 percentage points in 2019 to a pronounced 13.5 percentage points in 2024—suggesting that while patients eventually achieve high levels of suppression, they are increasingly starting from poorer baseline viral suppression in recent years. Overall, the pattern reflects stable endline outcomes but deteriorating baseline status, which may indicate delays in treatment initiation, interruptions in care, or changes in patient profiles entering the program.</w:t>
      </w:r>
    </w:p>
    <w:p w14:paraId="1AE0664B" w14:textId="77777777" w:rsidR="003163B4" w:rsidRPr="00241C77" w:rsidRDefault="003163B4" w:rsidP="003163B4">
      <w:pPr>
        <w:spacing w:line="480" w:lineRule="auto"/>
        <w:jc w:val="both"/>
        <w:rPr>
          <w:rFonts w:ascii="Times New Roman" w:hAnsi="Times New Roman" w:cs="Times New Roman"/>
          <w:b/>
          <w:sz w:val="24"/>
          <w:szCs w:val="24"/>
        </w:rPr>
      </w:pPr>
      <w:r w:rsidRPr="00241C77">
        <w:rPr>
          <w:rFonts w:ascii="Times New Roman" w:hAnsi="Times New Roman" w:cs="Times New Roman"/>
          <w:b/>
          <w:sz w:val="24"/>
          <w:szCs w:val="24"/>
        </w:rPr>
        <w:t>4.2.3 Phase 2: Bivariate Analysis</w:t>
      </w:r>
    </w:p>
    <w:p w14:paraId="2DC0FC07" w14:textId="77777777" w:rsidR="003163B4" w:rsidRPr="00241C77" w:rsidRDefault="003163B4" w:rsidP="003163B4">
      <w:pPr>
        <w:spacing w:line="480" w:lineRule="auto"/>
        <w:jc w:val="both"/>
        <w:rPr>
          <w:rFonts w:ascii="Times New Roman" w:hAnsi="Times New Roman" w:cs="Times New Roman"/>
          <w:sz w:val="24"/>
          <w:szCs w:val="24"/>
        </w:rPr>
      </w:pPr>
      <w:r w:rsidRPr="00241C77">
        <w:rPr>
          <w:rFonts w:ascii="Times New Roman" w:hAnsi="Times New Roman" w:cs="Times New Roman"/>
          <w:sz w:val="24"/>
          <w:szCs w:val="24"/>
        </w:rPr>
        <w:t>Phase 2 of the analytical sequence utilized univariable logistic regression to evaluate the crude associations between independent predictors and the likelihood of viral load suppression. This phase served as a screening mechanism to identify variables qualifying for the multivariable mixed-effects model based on a purposive inclusion threshold of p &lt; .25.</w:t>
      </w:r>
    </w:p>
    <w:p w14:paraId="5F915588" w14:textId="77777777" w:rsidR="0055187F" w:rsidRDefault="0055187F" w:rsidP="00B946E1">
      <w:pPr>
        <w:spacing w:line="480" w:lineRule="auto"/>
        <w:jc w:val="both"/>
        <w:rPr>
          <w:rFonts w:ascii="Times New Roman" w:hAnsi="Times New Roman" w:cs="Times New Roman"/>
          <w:b/>
          <w:sz w:val="24"/>
          <w:szCs w:val="24"/>
        </w:rPr>
      </w:pPr>
    </w:p>
    <w:p w14:paraId="658B3D10" w14:textId="77777777" w:rsidR="0055187F" w:rsidRDefault="0055187F" w:rsidP="00B946E1">
      <w:pPr>
        <w:spacing w:line="480" w:lineRule="auto"/>
        <w:jc w:val="both"/>
        <w:rPr>
          <w:rFonts w:ascii="Times New Roman" w:hAnsi="Times New Roman" w:cs="Times New Roman"/>
          <w:b/>
          <w:sz w:val="24"/>
          <w:szCs w:val="24"/>
        </w:rPr>
      </w:pPr>
    </w:p>
    <w:p w14:paraId="29B275EA" w14:textId="77777777" w:rsidR="00B946E1" w:rsidRPr="00241C77" w:rsidRDefault="00B946E1" w:rsidP="0055187F">
      <w:pPr>
        <w:spacing w:line="240" w:lineRule="auto"/>
        <w:jc w:val="both"/>
        <w:rPr>
          <w:rFonts w:ascii="Times New Roman" w:hAnsi="Times New Roman" w:cs="Times New Roman"/>
          <w:b/>
          <w:sz w:val="24"/>
          <w:szCs w:val="24"/>
        </w:rPr>
      </w:pPr>
      <w:r w:rsidRPr="00241C77">
        <w:rPr>
          <w:rFonts w:ascii="Times New Roman" w:hAnsi="Times New Roman" w:cs="Times New Roman"/>
          <w:b/>
          <w:sz w:val="24"/>
          <w:szCs w:val="24"/>
        </w:rPr>
        <w:lastRenderedPageBreak/>
        <w:t>Table 4.6: Bivariate Analysis of Predictors Associated with Viral Load Suppression</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325"/>
        <w:gridCol w:w="2345"/>
        <w:gridCol w:w="2250"/>
        <w:gridCol w:w="990"/>
      </w:tblGrid>
      <w:tr w:rsidR="00B946E1" w:rsidRPr="00241C77" w14:paraId="1397BE0E" w14:textId="77777777" w:rsidTr="00FE6BFE">
        <w:trPr>
          <w:tblHeader/>
          <w:tblCellSpacing w:w="15" w:type="dxa"/>
        </w:trPr>
        <w:tc>
          <w:tcPr>
            <w:tcW w:w="0" w:type="auto"/>
            <w:vAlign w:val="center"/>
            <w:hideMark/>
          </w:tcPr>
          <w:p w14:paraId="3E626973" w14:textId="77777777" w:rsidR="00B946E1" w:rsidRPr="00241C77" w:rsidRDefault="00B946E1" w:rsidP="00FE6BFE">
            <w:pPr>
              <w:spacing w:after="0" w:line="240" w:lineRule="auto"/>
              <w:jc w:val="both"/>
              <w:rPr>
                <w:rFonts w:ascii="Times New Roman" w:hAnsi="Times New Roman" w:cs="Times New Roman"/>
                <w:b/>
                <w:bCs/>
                <w:sz w:val="20"/>
                <w:szCs w:val="20"/>
              </w:rPr>
            </w:pPr>
            <w:r w:rsidRPr="00241C77">
              <w:rPr>
                <w:rFonts w:ascii="Times New Roman" w:hAnsi="Times New Roman" w:cs="Times New Roman"/>
                <w:b/>
                <w:bCs/>
                <w:sz w:val="20"/>
                <w:szCs w:val="20"/>
              </w:rPr>
              <w:t>Variable</w:t>
            </w:r>
          </w:p>
        </w:tc>
        <w:tc>
          <w:tcPr>
            <w:tcW w:w="2315" w:type="dxa"/>
            <w:vAlign w:val="center"/>
            <w:hideMark/>
          </w:tcPr>
          <w:p w14:paraId="607439A4" w14:textId="77777777" w:rsidR="00B946E1" w:rsidRPr="00241C77" w:rsidRDefault="00B946E1" w:rsidP="00FE6BFE">
            <w:pPr>
              <w:spacing w:after="0" w:line="240" w:lineRule="auto"/>
              <w:jc w:val="both"/>
              <w:rPr>
                <w:rFonts w:ascii="Times New Roman" w:hAnsi="Times New Roman" w:cs="Times New Roman"/>
                <w:b/>
                <w:bCs/>
                <w:sz w:val="20"/>
                <w:szCs w:val="20"/>
              </w:rPr>
            </w:pPr>
            <w:r w:rsidRPr="00241C77">
              <w:rPr>
                <w:rFonts w:ascii="Times New Roman" w:hAnsi="Times New Roman" w:cs="Times New Roman"/>
                <w:b/>
                <w:bCs/>
                <w:sz w:val="20"/>
                <w:szCs w:val="20"/>
              </w:rPr>
              <w:t>Crude Odds Ratio (</w:t>
            </w:r>
            <w:proofErr w:type="spellStart"/>
            <w:r w:rsidRPr="00241C77">
              <w:rPr>
                <w:rFonts w:ascii="Times New Roman" w:hAnsi="Times New Roman" w:cs="Times New Roman"/>
                <w:b/>
                <w:bCs/>
                <w:sz w:val="20"/>
                <w:szCs w:val="20"/>
              </w:rPr>
              <w:t>cOR</w:t>
            </w:r>
            <w:proofErr w:type="spellEnd"/>
            <w:r w:rsidRPr="00241C77">
              <w:rPr>
                <w:rFonts w:ascii="Times New Roman" w:hAnsi="Times New Roman" w:cs="Times New Roman"/>
                <w:b/>
                <w:bCs/>
                <w:sz w:val="20"/>
                <w:szCs w:val="20"/>
              </w:rPr>
              <w:t>)</w:t>
            </w:r>
          </w:p>
        </w:tc>
        <w:tc>
          <w:tcPr>
            <w:tcW w:w="2220" w:type="dxa"/>
            <w:vAlign w:val="center"/>
            <w:hideMark/>
          </w:tcPr>
          <w:p w14:paraId="65D432C0" w14:textId="77777777" w:rsidR="00B946E1" w:rsidRPr="00241C77" w:rsidRDefault="00B946E1" w:rsidP="00FE6BFE">
            <w:pPr>
              <w:spacing w:after="0" w:line="240" w:lineRule="auto"/>
              <w:jc w:val="both"/>
              <w:rPr>
                <w:rFonts w:ascii="Times New Roman" w:hAnsi="Times New Roman" w:cs="Times New Roman"/>
                <w:b/>
                <w:bCs/>
                <w:sz w:val="20"/>
                <w:szCs w:val="20"/>
              </w:rPr>
            </w:pPr>
            <w:r w:rsidRPr="00241C77">
              <w:rPr>
                <w:rFonts w:ascii="Times New Roman" w:hAnsi="Times New Roman" w:cs="Times New Roman"/>
                <w:b/>
                <w:bCs/>
                <w:sz w:val="20"/>
                <w:szCs w:val="20"/>
              </w:rPr>
              <w:t>95%</w:t>
            </w:r>
            <w:r>
              <w:rPr>
                <w:rFonts w:ascii="Times New Roman" w:hAnsi="Times New Roman" w:cs="Times New Roman"/>
                <w:b/>
                <w:bCs/>
                <w:sz w:val="20"/>
                <w:szCs w:val="20"/>
              </w:rPr>
              <w:t>CI</w:t>
            </w:r>
            <w:r w:rsidRPr="00241C77">
              <w:rPr>
                <w:rFonts w:ascii="Times New Roman" w:hAnsi="Times New Roman" w:cs="Times New Roman"/>
                <w:b/>
                <w:bCs/>
                <w:sz w:val="20"/>
                <w:szCs w:val="20"/>
              </w:rPr>
              <w:t xml:space="preserve"> </w:t>
            </w:r>
          </w:p>
        </w:tc>
        <w:tc>
          <w:tcPr>
            <w:tcW w:w="945" w:type="dxa"/>
            <w:vAlign w:val="center"/>
            <w:hideMark/>
          </w:tcPr>
          <w:p w14:paraId="18ABD85A" w14:textId="77777777" w:rsidR="00B946E1" w:rsidRPr="00241C77" w:rsidRDefault="00B946E1" w:rsidP="00FE6BFE">
            <w:pPr>
              <w:spacing w:after="0" w:line="240" w:lineRule="auto"/>
              <w:jc w:val="both"/>
              <w:rPr>
                <w:rFonts w:ascii="Times New Roman" w:hAnsi="Times New Roman" w:cs="Times New Roman"/>
                <w:b/>
                <w:bCs/>
                <w:sz w:val="20"/>
                <w:szCs w:val="20"/>
              </w:rPr>
            </w:pPr>
            <w:r w:rsidRPr="00241C77">
              <w:rPr>
                <w:rFonts w:ascii="Times New Roman" w:hAnsi="Times New Roman" w:cs="Times New Roman"/>
                <w:b/>
                <w:bCs/>
                <w:sz w:val="20"/>
                <w:szCs w:val="20"/>
              </w:rPr>
              <w:t>p-value</w:t>
            </w:r>
          </w:p>
        </w:tc>
      </w:tr>
      <w:tr w:rsidR="00B946E1" w:rsidRPr="00241C77" w14:paraId="6ECF466B" w14:textId="77777777" w:rsidTr="00FE6BFE">
        <w:trPr>
          <w:tblCellSpacing w:w="15" w:type="dxa"/>
        </w:trPr>
        <w:tc>
          <w:tcPr>
            <w:tcW w:w="0" w:type="auto"/>
            <w:tcBorders>
              <w:top w:val="single" w:sz="4" w:space="0" w:color="auto"/>
            </w:tcBorders>
            <w:vAlign w:val="center"/>
            <w:hideMark/>
          </w:tcPr>
          <w:p w14:paraId="3F62CBE5"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b/>
                <w:bCs/>
                <w:sz w:val="20"/>
                <w:szCs w:val="20"/>
              </w:rPr>
              <w:t>Level 1: Individual &amp; Clinical Factors</w:t>
            </w:r>
          </w:p>
        </w:tc>
        <w:tc>
          <w:tcPr>
            <w:tcW w:w="2315" w:type="dxa"/>
            <w:tcBorders>
              <w:top w:val="single" w:sz="4" w:space="0" w:color="auto"/>
            </w:tcBorders>
            <w:vAlign w:val="center"/>
            <w:hideMark/>
          </w:tcPr>
          <w:p w14:paraId="4C34DB7E" w14:textId="77777777" w:rsidR="00B946E1" w:rsidRPr="00241C77" w:rsidRDefault="00B946E1" w:rsidP="00FE6BFE">
            <w:pPr>
              <w:spacing w:after="0" w:line="240" w:lineRule="auto"/>
              <w:jc w:val="both"/>
              <w:rPr>
                <w:rFonts w:ascii="Times New Roman" w:hAnsi="Times New Roman" w:cs="Times New Roman"/>
                <w:sz w:val="20"/>
                <w:szCs w:val="20"/>
              </w:rPr>
            </w:pPr>
          </w:p>
        </w:tc>
        <w:tc>
          <w:tcPr>
            <w:tcW w:w="2220" w:type="dxa"/>
            <w:tcBorders>
              <w:top w:val="single" w:sz="4" w:space="0" w:color="auto"/>
            </w:tcBorders>
            <w:vAlign w:val="center"/>
            <w:hideMark/>
          </w:tcPr>
          <w:p w14:paraId="22D55FAB" w14:textId="77777777" w:rsidR="00B946E1" w:rsidRPr="00241C77" w:rsidRDefault="00B946E1" w:rsidP="00FE6BFE">
            <w:pPr>
              <w:spacing w:after="0" w:line="240" w:lineRule="auto"/>
              <w:jc w:val="both"/>
              <w:rPr>
                <w:rFonts w:ascii="Times New Roman" w:hAnsi="Times New Roman" w:cs="Times New Roman"/>
                <w:sz w:val="20"/>
                <w:szCs w:val="20"/>
              </w:rPr>
            </w:pPr>
          </w:p>
        </w:tc>
        <w:tc>
          <w:tcPr>
            <w:tcW w:w="945" w:type="dxa"/>
            <w:tcBorders>
              <w:top w:val="single" w:sz="4" w:space="0" w:color="auto"/>
            </w:tcBorders>
            <w:vAlign w:val="center"/>
            <w:hideMark/>
          </w:tcPr>
          <w:p w14:paraId="6EC3F65D" w14:textId="77777777" w:rsidR="00B946E1" w:rsidRPr="00241C77" w:rsidRDefault="00B946E1" w:rsidP="00FE6BFE">
            <w:pPr>
              <w:spacing w:after="0" w:line="240" w:lineRule="auto"/>
              <w:jc w:val="both"/>
              <w:rPr>
                <w:rFonts w:ascii="Times New Roman" w:hAnsi="Times New Roman" w:cs="Times New Roman"/>
                <w:sz w:val="20"/>
                <w:szCs w:val="20"/>
              </w:rPr>
            </w:pPr>
          </w:p>
        </w:tc>
      </w:tr>
      <w:tr w:rsidR="00B946E1" w:rsidRPr="00241C77" w14:paraId="6FB8A49E" w14:textId="77777777" w:rsidTr="00FE6BFE">
        <w:trPr>
          <w:tblCellSpacing w:w="15" w:type="dxa"/>
        </w:trPr>
        <w:tc>
          <w:tcPr>
            <w:tcW w:w="0" w:type="auto"/>
            <w:vAlign w:val="center"/>
            <w:hideMark/>
          </w:tcPr>
          <w:p w14:paraId="20CD61CC"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b/>
                <w:bCs/>
                <w:sz w:val="20"/>
                <w:szCs w:val="20"/>
              </w:rPr>
              <w:t>Baseline Viral Load</w:t>
            </w:r>
          </w:p>
        </w:tc>
        <w:tc>
          <w:tcPr>
            <w:tcW w:w="2315" w:type="dxa"/>
            <w:vAlign w:val="center"/>
            <w:hideMark/>
          </w:tcPr>
          <w:p w14:paraId="022D8A62" w14:textId="77777777" w:rsidR="00B946E1" w:rsidRPr="00241C77" w:rsidRDefault="00B946E1" w:rsidP="00FE6BFE">
            <w:pPr>
              <w:spacing w:after="0" w:line="240" w:lineRule="auto"/>
              <w:jc w:val="both"/>
              <w:rPr>
                <w:rFonts w:ascii="Times New Roman" w:hAnsi="Times New Roman" w:cs="Times New Roman"/>
                <w:sz w:val="20"/>
                <w:szCs w:val="20"/>
              </w:rPr>
            </w:pPr>
          </w:p>
        </w:tc>
        <w:tc>
          <w:tcPr>
            <w:tcW w:w="2220" w:type="dxa"/>
            <w:vAlign w:val="center"/>
            <w:hideMark/>
          </w:tcPr>
          <w:p w14:paraId="282278B7" w14:textId="77777777" w:rsidR="00B946E1" w:rsidRPr="00241C77" w:rsidRDefault="00B946E1" w:rsidP="00FE6BFE">
            <w:pPr>
              <w:spacing w:after="0" w:line="240" w:lineRule="auto"/>
              <w:jc w:val="both"/>
              <w:rPr>
                <w:rFonts w:ascii="Times New Roman" w:hAnsi="Times New Roman" w:cs="Times New Roman"/>
                <w:sz w:val="20"/>
                <w:szCs w:val="20"/>
              </w:rPr>
            </w:pPr>
          </w:p>
        </w:tc>
        <w:tc>
          <w:tcPr>
            <w:tcW w:w="945" w:type="dxa"/>
            <w:vAlign w:val="center"/>
            <w:hideMark/>
          </w:tcPr>
          <w:p w14:paraId="4D7DD747" w14:textId="77777777" w:rsidR="00B946E1" w:rsidRPr="00241C77" w:rsidRDefault="00B946E1" w:rsidP="00FE6BFE">
            <w:pPr>
              <w:spacing w:after="0" w:line="240" w:lineRule="auto"/>
              <w:jc w:val="both"/>
              <w:rPr>
                <w:rFonts w:ascii="Times New Roman" w:hAnsi="Times New Roman" w:cs="Times New Roman"/>
                <w:sz w:val="20"/>
                <w:szCs w:val="20"/>
              </w:rPr>
            </w:pPr>
          </w:p>
        </w:tc>
      </w:tr>
      <w:tr w:rsidR="00B946E1" w:rsidRPr="00241C77" w14:paraId="01F6AC6C" w14:textId="77777777" w:rsidTr="00FE6BFE">
        <w:trPr>
          <w:tblCellSpacing w:w="15" w:type="dxa"/>
        </w:trPr>
        <w:tc>
          <w:tcPr>
            <w:tcW w:w="0" w:type="auto"/>
            <w:vAlign w:val="center"/>
            <w:hideMark/>
          </w:tcPr>
          <w:p w14:paraId="19903BD5"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Suppressed</w:t>
            </w:r>
          </w:p>
        </w:tc>
        <w:tc>
          <w:tcPr>
            <w:tcW w:w="2315" w:type="dxa"/>
            <w:vAlign w:val="center"/>
            <w:hideMark/>
          </w:tcPr>
          <w:p w14:paraId="4D542CBA"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Reference</w:t>
            </w:r>
          </w:p>
        </w:tc>
        <w:tc>
          <w:tcPr>
            <w:tcW w:w="2220" w:type="dxa"/>
            <w:vAlign w:val="center"/>
            <w:hideMark/>
          </w:tcPr>
          <w:p w14:paraId="3144A6F3"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w:t>
            </w:r>
          </w:p>
        </w:tc>
        <w:tc>
          <w:tcPr>
            <w:tcW w:w="945" w:type="dxa"/>
            <w:vAlign w:val="center"/>
            <w:hideMark/>
          </w:tcPr>
          <w:p w14:paraId="31C587C7"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w:t>
            </w:r>
          </w:p>
        </w:tc>
      </w:tr>
      <w:tr w:rsidR="00B946E1" w:rsidRPr="00241C77" w14:paraId="33F47E2F" w14:textId="77777777" w:rsidTr="00FE6BFE">
        <w:trPr>
          <w:tblCellSpacing w:w="15" w:type="dxa"/>
        </w:trPr>
        <w:tc>
          <w:tcPr>
            <w:tcW w:w="0" w:type="auto"/>
            <w:vAlign w:val="center"/>
            <w:hideMark/>
          </w:tcPr>
          <w:p w14:paraId="6F415784"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Unsuppressed</w:t>
            </w:r>
          </w:p>
        </w:tc>
        <w:tc>
          <w:tcPr>
            <w:tcW w:w="2315" w:type="dxa"/>
            <w:vAlign w:val="center"/>
            <w:hideMark/>
          </w:tcPr>
          <w:p w14:paraId="38C74A35"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0.43</w:t>
            </w:r>
          </w:p>
        </w:tc>
        <w:tc>
          <w:tcPr>
            <w:tcW w:w="2220" w:type="dxa"/>
            <w:vAlign w:val="center"/>
            <w:hideMark/>
          </w:tcPr>
          <w:p w14:paraId="5076A959"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[0.34, 0.55]</w:t>
            </w:r>
          </w:p>
        </w:tc>
        <w:tc>
          <w:tcPr>
            <w:tcW w:w="945" w:type="dxa"/>
            <w:vAlign w:val="center"/>
            <w:hideMark/>
          </w:tcPr>
          <w:p w14:paraId="734B89DB"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&lt; .001</w:t>
            </w:r>
          </w:p>
        </w:tc>
      </w:tr>
      <w:tr w:rsidR="00B946E1" w:rsidRPr="00241C77" w14:paraId="54A7D996" w14:textId="77777777" w:rsidTr="00FE6BFE">
        <w:trPr>
          <w:tblCellSpacing w:w="15" w:type="dxa"/>
        </w:trPr>
        <w:tc>
          <w:tcPr>
            <w:tcW w:w="0" w:type="auto"/>
            <w:vAlign w:val="center"/>
            <w:hideMark/>
          </w:tcPr>
          <w:p w14:paraId="4599B301"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b/>
                <w:bCs/>
                <w:sz w:val="20"/>
                <w:szCs w:val="20"/>
              </w:rPr>
              <w:t>Multi-Month Dispensing (MMD)</w:t>
            </w:r>
          </w:p>
        </w:tc>
        <w:tc>
          <w:tcPr>
            <w:tcW w:w="2315" w:type="dxa"/>
            <w:vAlign w:val="center"/>
            <w:hideMark/>
          </w:tcPr>
          <w:p w14:paraId="347516B7" w14:textId="77777777" w:rsidR="00B946E1" w:rsidRPr="00241C77" w:rsidRDefault="00B946E1" w:rsidP="00FE6BFE">
            <w:pPr>
              <w:spacing w:after="0" w:line="240" w:lineRule="auto"/>
              <w:jc w:val="both"/>
              <w:rPr>
                <w:rFonts w:ascii="Times New Roman" w:hAnsi="Times New Roman" w:cs="Times New Roman"/>
                <w:sz w:val="20"/>
                <w:szCs w:val="20"/>
              </w:rPr>
            </w:pPr>
          </w:p>
        </w:tc>
        <w:tc>
          <w:tcPr>
            <w:tcW w:w="2220" w:type="dxa"/>
            <w:vAlign w:val="center"/>
            <w:hideMark/>
          </w:tcPr>
          <w:p w14:paraId="0AF52CCC" w14:textId="77777777" w:rsidR="00B946E1" w:rsidRPr="00241C77" w:rsidRDefault="00B946E1" w:rsidP="00FE6BFE">
            <w:pPr>
              <w:spacing w:after="0" w:line="240" w:lineRule="auto"/>
              <w:jc w:val="both"/>
              <w:rPr>
                <w:rFonts w:ascii="Times New Roman" w:hAnsi="Times New Roman" w:cs="Times New Roman"/>
                <w:sz w:val="20"/>
                <w:szCs w:val="20"/>
              </w:rPr>
            </w:pPr>
          </w:p>
        </w:tc>
        <w:tc>
          <w:tcPr>
            <w:tcW w:w="945" w:type="dxa"/>
            <w:vAlign w:val="center"/>
            <w:hideMark/>
          </w:tcPr>
          <w:p w14:paraId="7AC43811" w14:textId="77777777" w:rsidR="00B946E1" w:rsidRPr="00241C77" w:rsidRDefault="00B946E1" w:rsidP="00FE6BFE">
            <w:pPr>
              <w:spacing w:after="0" w:line="240" w:lineRule="auto"/>
              <w:jc w:val="both"/>
              <w:rPr>
                <w:rFonts w:ascii="Times New Roman" w:hAnsi="Times New Roman" w:cs="Times New Roman"/>
                <w:sz w:val="20"/>
                <w:szCs w:val="20"/>
              </w:rPr>
            </w:pPr>
          </w:p>
        </w:tc>
      </w:tr>
      <w:tr w:rsidR="00B946E1" w:rsidRPr="00241C77" w14:paraId="308AEAA6" w14:textId="77777777" w:rsidTr="00FE6BFE">
        <w:trPr>
          <w:tblCellSpacing w:w="15" w:type="dxa"/>
        </w:trPr>
        <w:tc>
          <w:tcPr>
            <w:tcW w:w="0" w:type="auto"/>
            <w:vAlign w:val="center"/>
            <w:hideMark/>
          </w:tcPr>
          <w:p w14:paraId="4653419C"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MMD 3 months</w:t>
            </w:r>
          </w:p>
        </w:tc>
        <w:tc>
          <w:tcPr>
            <w:tcW w:w="2315" w:type="dxa"/>
            <w:vAlign w:val="center"/>
            <w:hideMark/>
          </w:tcPr>
          <w:p w14:paraId="0308C9A7"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Reference</w:t>
            </w:r>
          </w:p>
        </w:tc>
        <w:tc>
          <w:tcPr>
            <w:tcW w:w="2220" w:type="dxa"/>
            <w:vAlign w:val="center"/>
            <w:hideMark/>
          </w:tcPr>
          <w:p w14:paraId="032CC631"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w:t>
            </w:r>
          </w:p>
        </w:tc>
        <w:tc>
          <w:tcPr>
            <w:tcW w:w="945" w:type="dxa"/>
            <w:vAlign w:val="center"/>
            <w:hideMark/>
          </w:tcPr>
          <w:p w14:paraId="67BBF3F5"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w:t>
            </w:r>
          </w:p>
        </w:tc>
      </w:tr>
      <w:tr w:rsidR="00B946E1" w:rsidRPr="00241C77" w14:paraId="67B774ED" w14:textId="77777777" w:rsidTr="00FE6BFE">
        <w:trPr>
          <w:tblCellSpacing w:w="15" w:type="dxa"/>
        </w:trPr>
        <w:tc>
          <w:tcPr>
            <w:tcW w:w="0" w:type="auto"/>
            <w:vAlign w:val="center"/>
            <w:hideMark/>
          </w:tcPr>
          <w:p w14:paraId="5C589CAC"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MMD 6 months</w:t>
            </w:r>
          </w:p>
        </w:tc>
        <w:tc>
          <w:tcPr>
            <w:tcW w:w="2315" w:type="dxa"/>
            <w:vAlign w:val="center"/>
            <w:hideMark/>
          </w:tcPr>
          <w:p w14:paraId="4E7F5F6E"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1.44</w:t>
            </w:r>
          </w:p>
        </w:tc>
        <w:tc>
          <w:tcPr>
            <w:tcW w:w="2220" w:type="dxa"/>
            <w:vAlign w:val="center"/>
            <w:hideMark/>
          </w:tcPr>
          <w:p w14:paraId="077CDCDA"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[1.17, 1.76]</w:t>
            </w:r>
          </w:p>
        </w:tc>
        <w:tc>
          <w:tcPr>
            <w:tcW w:w="945" w:type="dxa"/>
            <w:vAlign w:val="center"/>
            <w:hideMark/>
          </w:tcPr>
          <w:p w14:paraId="5C313B29"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&lt; .001</w:t>
            </w:r>
          </w:p>
        </w:tc>
      </w:tr>
      <w:tr w:rsidR="00B946E1" w:rsidRPr="00241C77" w14:paraId="0EE3B313" w14:textId="77777777" w:rsidTr="00FE6BFE">
        <w:trPr>
          <w:tblCellSpacing w:w="15" w:type="dxa"/>
        </w:trPr>
        <w:tc>
          <w:tcPr>
            <w:tcW w:w="0" w:type="auto"/>
            <w:vAlign w:val="center"/>
            <w:hideMark/>
          </w:tcPr>
          <w:p w14:paraId="040D8A8F"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Others (1, 2, 4, 5 months)</w:t>
            </w:r>
          </w:p>
        </w:tc>
        <w:tc>
          <w:tcPr>
            <w:tcW w:w="2315" w:type="dxa"/>
            <w:vAlign w:val="center"/>
            <w:hideMark/>
          </w:tcPr>
          <w:p w14:paraId="168936FD"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0.67</w:t>
            </w:r>
          </w:p>
        </w:tc>
        <w:tc>
          <w:tcPr>
            <w:tcW w:w="2220" w:type="dxa"/>
            <w:vAlign w:val="center"/>
            <w:hideMark/>
          </w:tcPr>
          <w:p w14:paraId="290F53BD"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[0.37, 1.36]</w:t>
            </w:r>
          </w:p>
        </w:tc>
        <w:tc>
          <w:tcPr>
            <w:tcW w:w="945" w:type="dxa"/>
            <w:vAlign w:val="center"/>
            <w:hideMark/>
          </w:tcPr>
          <w:p w14:paraId="4C0C4C9B" w14:textId="77777777" w:rsidR="00B946E1" w:rsidRPr="00241C77" w:rsidRDefault="00B946E1" w:rsidP="00FE6BFE">
            <w:pPr>
              <w:spacing w:after="0" w:line="240" w:lineRule="auto"/>
              <w:jc w:val="both"/>
              <w:rPr>
                <w:rFonts w:ascii="Times New Roman" w:hAnsi="Times New Roman" w:cs="Times New Roman"/>
                <w:sz w:val="20"/>
                <w:szCs w:val="20"/>
              </w:rPr>
            </w:pPr>
          </w:p>
        </w:tc>
      </w:tr>
      <w:tr w:rsidR="00B946E1" w:rsidRPr="00241C77" w14:paraId="42EA21AF" w14:textId="77777777" w:rsidTr="00FE6BFE">
        <w:trPr>
          <w:tblCellSpacing w:w="15" w:type="dxa"/>
        </w:trPr>
        <w:tc>
          <w:tcPr>
            <w:tcW w:w="0" w:type="auto"/>
            <w:vAlign w:val="center"/>
            <w:hideMark/>
          </w:tcPr>
          <w:p w14:paraId="50598E6F"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b/>
                <w:bCs/>
                <w:sz w:val="20"/>
                <w:szCs w:val="20"/>
              </w:rPr>
              <w:t>Age at ART Initiation</w:t>
            </w:r>
          </w:p>
        </w:tc>
        <w:tc>
          <w:tcPr>
            <w:tcW w:w="2315" w:type="dxa"/>
            <w:vAlign w:val="center"/>
            <w:hideMark/>
          </w:tcPr>
          <w:p w14:paraId="16BA0A73" w14:textId="77777777" w:rsidR="00B946E1" w:rsidRPr="00241C77" w:rsidRDefault="00B946E1" w:rsidP="00FE6BFE">
            <w:pPr>
              <w:spacing w:after="0" w:line="240" w:lineRule="auto"/>
              <w:jc w:val="both"/>
              <w:rPr>
                <w:rFonts w:ascii="Times New Roman" w:hAnsi="Times New Roman" w:cs="Times New Roman"/>
                <w:sz w:val="20"/>
                <w:szCs w:val="20"/>
              </w:rPr>
            </w:pPr>
          </w:p>
        </w:tc>
        <w:tc>
          <w:tcPr>
            <w:tcW w:w="2220" w:type="dxa"/>
            <w:vAlign w:val="center"/>
            <w:hideMark/>
          </w:tcPr>
          <w:p w14:paraId="7A2F943F" w14:textId="77777777" w:rsidR="00B946E1" w:rsidRPr="00241C77" w:rsidRDefault="00B946E1" w:rsidP="00FE6BFE">
            <w:pPr>
              <w:spacing w:after="0" w:line="240" w:lineRule="auto"/>
              <w:jc w:val="both"/>
              <w:rPr>
                <w:rFonts w:ascii="Times New Roman" w:hAnsi="Times New Roman" w:cs="Times New Roman"/>
                <w:sz w:val="20"/>
                <w:szCs w:val="20"/>
              </w:rPr>
            </w:pPr>
          </w:p>
        </w:tc>
        <w:tc>
          <w:tcPr>
            <w:tcW w:w="945" w:type="dxa"/>
            <w:vAlign w:val="center"/>
            <w:hideMark/>
          </w:tcPr>
          <w:p w14:paraId="0E57371E" w14:textId="77777777" w:rsidR="00B946E1" w:rsidRPr="00241C77" w:rsidRDefault="00B946E1" w:rsidP="00FE6BFE">
            <w:pPr>
              <w:spacing w:after="0" w:line="240" w:lineRule="auto"/>
              <w:jc w:val="both"/>
              <w:rPr>
                <w:rFonts w:ascii="Times New Roman" w:hAnsi="Times New Roman" w:cs="Times New Roman"/>
                <w:sz w:val="20"/>
                <w:szCs w:val="20"/>
              </w:rPr>
            </w:pPr>
          </w:p>
        </w:tc>
      </w:tr>
      <w:tr w:rsidR="00B946E1" w:rsidRPr="00241C77" w14:paraId="6269B18C" w14:textId="77777777" w:rsidTr="00FE6BFE">
        <w:trPr>
          <w:tblCellSpacing w:w="15" w:type="dxa"/>
        </w:trPr>
        <w:tc>
          <w:tcPr>
            <w:tcW w:w="0" w:type="auto"/>
            <w:vAlign w:val="center"/>
            <w:hideMark/>
          </w:tcPr>
          <w:p w14:paraId="2B1B21B9"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18–24 years</w:t>
            </w:r>
          </w:p>
        </w:tc>
        <w:tc>
          <w:tcPr>
            <w:tcW w:w="2315" w:type="dxa"/>
            <w:vAlign w:val="center"/>
            <w:hideMark/>
          </w:tcPr>
          <w:p w14:paraId="4AE9864E"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Reference</w:t>
            </w:r>
          </w:p>
        </w:tc>
        <w:tc>
          <w:tcPr>
            <w:tcW w:w="2220" w:type="dxa"/>
            <w:vAlign w:val="center"/>
            <w:hideMark/>
          </w:tcPr>
          <w:p w14:paraId="7BD23ED7"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w:t>
            </w:r>
          </w:p>
        </w:tc>
        <w:tc>
          <w:tcPr>
            <w:tcW w:w="945" w:type="dxa"/>
            <w:vAlign w:val="center"/>
            <w:hideMark/>
          </w:tcPr>
          <w:p w14:paraId="4BC1BC82"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w:t>
            </w:r>
          </w:p>
        </w:tc>
      </w:tr>
      <w:tr w:rsidR="00B946E1" w:rsidRPr="00241C77" w14:paraId="0DDE0D2A" w14:textId="77777777" w:rsidTr="00FE6BFE">
        <w:trPr>
          <w:tblCellSpacing w:w="15" w:type="dxa"/>
        </w:trPr>
        <w:tc>
          <w:tcPr>
            <w:tcW w:w="0" w:type="auto"/>
            <w:vAlign w:val="center"/>
            <w:hideMark/>
          </w:tcPr>
          <w:p w14:paraId="0BCD3E66"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25–34 years</w:t>
            </w:r>
          </w:p>
        </w:tc>
        <w:tc>
          <w:tcPr>
            <w:tcW w:w="2315" w:type="dxa"/>
            <w:vAlign w:val="center"/>
            <w:hideMark/>
          </w:tcPr>
          <w:p w14:paraId="5BDF902A"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1.21</w:t>
            </w:r>
          </w:p>
        </w:tc>
        <w:tc>
          <w:tcPr>
            <w:tcW w:w="2220" w:type="dxa"/>
            <w:vAlign w:val="center"/>
            <w:hideMark/>
          </w:tcPr>
          <w:p w14:paraId="2AAA958B"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[0.92, 1.60]</w:t>
            </w:r>
          </w:p>
        </w:tc>
        <w:tc>
          <w:tcPr>
            <w:tcW w:w="945" w:type="dxa"/>
            <w:vAlign w:val="center"/>
            <w:hideMark/>
          </w:tcPr>
          <w:p w14:paraId="6D37B9C1"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.039</w:t>
            </w:r>
          </w:p>
        </w:tc>
      </w:tr>
      <w:tr w:rsidR="00B946E1" w:rsidRPr="00241C77" w14:paraId="0453A9E7" w14:textId="77777777" w:rsidTr="00FE6BFE">
        <w:trPr>
          <w:tblCellSpacing w:w="15" w:type="dxa"/>
        </w:trPr>
        <w:tc>
          <w:tcPr>
            <w:tcW w:w="0" w:type="auto"/>
            <w:vAlign w:val="center"/>
            <w:hideMark/>
          </w:tcPr>
          <w:p w14:paraId="1AABB50A"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35–44 years</w:t>
            </w:r>
          </w:p>
        </w:tc>
        <w:tc>
          <w:tcPr>
            <w:tcW w:w="2315" w:type="dxa"/>
            <w:vAlign w:val="center"/>
            <w:hideMark/>
          </w:tcPr>
          <w:p w14:paraId="484CFDA0"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1.47</w:t>
            </w:r>
          </w:p>
        </w:tc>
        <w:tc>
          <w:tcPr>
            <w:tcW w:w="2220" w:type="dxa"/>
            <w:vAlign w:val="center"/>
            <w:hideMark/>
          </w:tcPr>
          <w:p w14:paraId="4CAAB76B"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[1.09, 1.97]</w:t>
            </w:r>
          </w:p>
        </w:tc>
        <w:tc>
          <w:tcPr>
            <w:tcW w:w="945" w:type="dxa"/>
            <w:vAlign w:val="center"/>
            <w:hideMark/>
          </w:tcPr>
          <w:p w14:paraId="4C4B6AF9" w14:textId="77777777" w:rsidR="00B946E1" w:rsidRPr="00241C77" w:rsidRDefault="00B946E1" w:rsidP="00FE6BFE">
            <w:pPr>
              <w:spacing w:after="0" w:line="240" w:lineRule="auto"/>
              <w:jc w:val="both"/>
              <w:rPr>
                <w:rFonts w:ascii="Times New Roman" w:hAnsi="Times New Roman" w:cs="Times New Roman"/>
                <w:sz w:val="20"/>
                <w:szCs w:val="20"/>
              </w:rPr>
            </w:pPr>
          </w:p>
        </w:tc>
      </w:tr>
      <w:tr w:rsidR="00B946E1" w:rsidRPr="00241C77" w14:paraId="2C39EA6F" w14:textId="77777777" w:rsidTr="00FE6BFE">
        <w:trPr>
          <w:tblCellSpacing w:w="15" w:type="dxa"/>
        </w:trPr>
        <w:tc>
          <w:tcPr>
            <w:tcW w:w="0" w:type="auto"/>
            <w:vAlign w:val="center"/>
            <w:hideMark/>
          </w:tcPr>
          <w:p w14:paraId="18A9B56C"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45+ years</w:t>
            </w:r>
          </w:p>
        </w:tc>
        <w:tc>
          <w:tcPr>
            <w:tcW w:w="2315" w:type="dxa"/>
            <w:vAlign w:val="center"/>
            <w:hideMark/>
          </w:tcPr>
          <w:p w14:paraId="41A1B40B"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1.49</w:t>
            </w:r>
          </w:p>
        </w:tc>
        <w:tc>
          <w:tcPr>
            <w:tcW w:w="2220" w:type="dxa"/>
            <w:vAlign w:val="center"/>
            <w:hideMark/>
          </w:tcPr>
          <w:p w14:paraId="7384F298"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[1.06, 2.10]</w:t>
            </w:r>
          </w:p>
        </w:tc>
        <w:tc>
          <w:tcPr>
            <w:tcW w:w="945" w:type="dxa"/>
            <w:vAlign w:val="center"/>
            <w:hideMark/>
          </w:tcPr>
          <w:p w14:paraId="4E5BA0F0" w14:textId="77777777" w:rsidR="00B946E1" w:rsidRPr="00241C77" w:rsidRDefault="00B946E1" w:rsidP="00FE6BFE">
            <w:pPr>
              <w:spacing w:after="0" w:line="240" w:lineRule="auto"/>
              <w:jc w:val="both"/>
              <w:rPr>
                <w:rFonts w:ascii="Times New Roman" w:hAnsi="Times New Roman" w:cs="Times New Roman"/>
                <w:sz w:val="20"/>
                <w:szCs w:val="20"/>
              </w:rPr>
            </w:pPr>
          </w:p>
        </w:tc>
      </w:tr>
      <w:tr w:rsidR="00B946E1" w:rsidRPr="00241C77" w14:paraId="129C3CB9" w14:textId="77777777" w:rsidTr="00FE6BFE">
        <w:trPr>
          <w:tblCellSpacing w:w="15" w:type="dxa"/>
        </w:trPr>
        <w:tc>
          <w:tcPr>
            <w:tcW w:w="0" w:type="auto"/>
            <w:vAlign w:val="center"/>
            <w:hideMark/>
          </w:tcPr>
          <w:p w14:paraId="44E37698"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b/>
                <w:bCs/>
                <w:sz w:val="20"/>
                <w:szCs w:val="20"/>
              </w:rPr>
              <w:t>Sex</w:t>
            </w:r>
          </w:p>
        </w:tc>
        <w:tc>
          <w:tcPr>
            <w:tcW w:w="2315" w:type="dxa"/>
            <w:vAlign w:val="center"/>
            <w:hideMark/>
          </w:tcPr>
          <w:p w14:paraId="65498FFD" w14:textId="77777777" w:rsidR="00B946E1" w:rsidRPr="00241C77" w:rsidRDefault="00B946E1" w:rsidP="00FE6BFE">
            <w:pPr>
              <w:spacing w:after="0" w:line="240" w:lineRule="auto"/>
              <w:jc w:val="both"/>
              <w:rPr>
                <w:rFonts w:ascii="Times New Roman" w:hAnsi="Times New Roman" w:cs="Times New Roman"/>
                <w:sz w:val="20"/>
                <w:szCs w:val="20"/>
              </w:rPr>
            </w:pPr>
          </w:p>
        </w:tc>
        <w:tc>
          <w:tcPr>
            <w:tcW w:w="2220" w:type="dxa"/>
            <w:vAlign w:val="center"/>
            <w:hideMark/>
          </w:tcPr>
          <w:p w14:paraId="5225D6E5" w14:textId="77777777" w:rsidR="00B946E1" w:rsidRPr="00241C77" w:rsidRDefault="00B946E1" w:rsidP="00FE6BFE">
            <w:pPr>
              <w:spacing w:after="0" w:line="240" w:lineRule="auto"/>
              <w:jc w:val="both"/>
              <w:rPr>
                <w:rFonts w:ascii="Times New Roman" w:hAnsi="Times New Roman" w:cs="Times New Roman"/>
                <w:sz w:val="20"/>
                <w:szCs w:val="20"/>
              </w:rPr>
            </w:pPr>
          </w:p>
        </w:tc>
        <w:tc>
          <w:tcPr>
            <w:tcW w:w="945" w:type="dxa"/>
            <w:vAlign w:val="center"/>
            <w:hideMark/>
          </w:tcPr>
          <w:p w14:paraId="10B1DDF2" w14:textId="77777777" w:rsidR="00B946E1" w:rsidRPr="00241C77" w:rsidRDefault="00B946E1" w:rsidP="00FE6BFE">
            <w:pPr>
              <w:spacing w:after="0" w:line="240" w:lineRule="auto"/>
              <w:jc w:val="both"/>
              <w:rPr>
                <w:rFonts w:ascii="Times New Roman" w:hAnsi="Times New Roman" w:cs="Times New Roman"/>
                <w:sz w:val="20"/>
                <w:szCs w:val="20"/>
              </w:rPr>
            </w:pPr>
          </w:p>
        </w:tc>
      </w:tr>
      <w:tr w:rsidR="00B946E1" w:rsidRPr="00241C77" w14:paraId="23B2332B" w14:textId="77777777" w:rsidTr="00FE6BFE">
        <w:trPr>
          <w:tblCellSpacing w:w="15" w:type="dxa"/>
        </w:trPr>
        <w:tc>
          <w:tcPr>
            <w:tcW w:w="0" w:type="auto"/>
            <w:vAlign w:val="center"/>
            <w:hideMark/>
          </w:tcPr>
          <w:p w14:paraId="0ED23457"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Male</w:t>
            </w:r>
          </w:p>
        </w:tc>
        <w:tc>
          <w:tcPr>
            <w:tcW w:w="2315" w:type="dxa"/>
            <w:vAlign w:val="center"/>
            <w:hideMark/>
          </w:tcPr>
          <w:p w14:paraId="312EAAC0"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Reference</w:t>
            </w:r>
          </w:p>
        </w:tc>
        <w:tc>
          <w:tcPr>
            <w:tcW w:w="2220" w:type="dxa"/>
            <w:vAlign w:val="center"/>
            <w:hideMark/>
          </w:tcPr>
          <w:p w14:paraId="6659439E"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w:t>
            </w:r>
          </w:p>
        </w:tc>
        <w:tc>
          <w:tcPr>
            <w:tcW w:w="945" w:type="dxa"/>
            <w:vAlign w:val="center"/>
            <w:hideMark/>
          </w:tcPr>
          <w:p w14:paraId="0983E343"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w:t>
            </w:r>
          </w:p>
        </w:tc>
      </w:tr>
      <w:tr w:rsidR="00B946E1" w:rsidRPr="00241C77" w14:paraId="066A564C" w14:textId="77777777" w:rsidTr="00FE6BFE">
        <w:trPr>
          <w:tblCellSpacing w:w="15" w:type="dxa"/>
        </w:trPr>
        <w:tc>
          <w:tcPr>
            <w:tcW w:w="0" w:type="auto"/>
            <w:vAlign w:val="center"/>
            <w:hideMark/>
          </w:tcPr>
          <w:p w14:paraId="0661CA72"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Female</w:t>
            </w:r>
          </w:p>
        </w:tc>
        <w:tc>
          <w:tcPr>
            <w:tcW w:w="2315" w:type="dxa"/>
            <w:vAlign w:val="center"/>
            <w:hideMark/>
          </w:tcPr>
          <w:p w14:paraId="70A03860"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0.88</w:t>
            </w:r>
          </w:p>
        </w:tc>
        <w:tc>
          <w:tcPr>
            <w:tcW w:w="2220" w:type="dxa"/>
            <w:vAlign w:val="center"/>
            <w:hideMark/>
          </w:tcPr>
          <w:p w14:paraId="4D9FA739"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[0.72, 1.08]</w:t>
            </w:r>
          </w:p>
        </w:tc>
        <w:tc>
          <w:tcPr>
            <w:tcW w:w="945" w:type="dxa"/>
            <w:vAlign w:val="center"/>
            <w:hideMark/>
          </w:tcPr>
          <w:p w14:paraId="00DF025D"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.240</w:t>
            </w:r>
          </w:p>
        </w:tc>
      </w:tr>
      <w:tr w:rsidR="00B946E1" w:rsidRPr="00241C77" w14:paraId="783884EF" w14:textId="77777777" w:rsidTr="00FE6BFE">
        <w:trPr>
          <w:tblCellSpacing w:w="15" w:type="dxa"/>
        </w:trPr>
        <w:tc>
          <w:tcPr>
            <w:tcW w:w="0" w:type="auto"/>
            <w:vAlign w:val="center"/>
            <w:hideMark/>
          </w:tcPr>
          <w:p w14:paraId="387D510A"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b/>
                <w:bCs/>
                <w:sz w:val="20"/>
                <w:szCs w:val="20"/>
              </w:rPr>
              <w:t>Marital Status</w:t>
            </w:r>
          </w:p>
        </w:tc>
        <w:tc>
          <w:tcPr>
            <w:tcW w:w="2315" w:type="dxa"/>
            <w:vAlign w:val="center"/>
            <w:hideMark/>
          </w:tcPr>
          <w:p w14:paraId="3A9AD125" w14:textId="77777777" w:rsidR="00B946E1" w:rsidRPr="00241C77" w:rsidRDefault="00B946E1" w:rsidP="00FE6BFE">
            <w:pPr>
              <w:spacing w:after="0" w:line="240" w:lineRule="auto"/>
              <w:jc w:val="both"/>
              <w:rPr>
                <w:rFonts w:ascii="Times New Roman" w:hAnsi="Times New Roman" w:cs="Times New Roman"/>
                <w:sz w:val="20"/>
                <w:szCs w:val="20"/>
              </w:rPr>
            </w:pPr>
          </w:p>
        </w:tc>
        <w:tc>
          <w:tcPr>
            <w:tcW w:w="2220" w:type="dxa"/>
            <w:vAlign w:val="center"/>
            <w:hideMark/>
          </w:tcPr>
          <w:p w14:paraId="6056513B" w14:textId="77777777" w:rsidR="00B946E1" w:rsidRPr="00241C77" w:rsidRDefault="00B946E1" w:rsidP="00FE6BFE">
            <w:pPr>
              <w:spacing w:after="0" w:line="240" w:lineRule="auto"/>
              <w:jc w:val="both"/>
              <w:rPr>
                <w:rFonts w:ascii="Times New Roman" w:hAnsi="Times New Roman" w:cs="Times New Roman"/>
                <w:sz w:val="20"/>
                <w:szCs w:val="20"/>
              </w:rPr>
            </w:pPr>
          </w:p>
        </w:tc>
        <w:tc>
          <w:tcPr>
            <w:tcW w:w="945" w:type="dxa"/>
            <w:vAlign w:val="center"/>
            <w:hideMark/>
          </w:tcPr>
          <w:p w14:paraId="6A7727A3" w14:textId="77777777" w:rsidR="00B946E1" w:rsidRPr="00241C77" w:rsidRDefault="00B946E1" w:rsidP="00FE6BFE">
            <w:pPr>
              <w:spacing w:after="0" w:line="240" w:lineRule="auto"/>
              <w:jc w:val="both"/>
              <w:rPr>
                <w:rFonts w:ascii="Times New Roman" w:hAnsi="Times New Roman" w:cs="Times New Roman"/>
                <w:sz w:val="20"/>
                <w:szCs w:val="20"/>
              </w:rPr>
            </w:pPr>
          </w:p>
        </w:tc>
      </w:tr>
      <w:tr w:rsidR="00B946E1" w:rsidRPr="00241C77" w14:paraId="7C2650CA" w14:textId="77777777" w:rsidTr="00FE6BFE">
        <w:trPr>
          <w:tblCellSpacing w:w="15" w:type="dxa"/>
        </w:trPr>
        <w:tc>
          <w:tcPr>
            <w:tcW w:w="0" w:type="auto"/>
            <w:vAlign w:val="center"/>
            <w:hideMark/>
          </w:tcPr>
          <w:p w14:paraId="2B50B42B"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Married</w:t>
            </w:r>
          </w:p>
        </w:tc>
        <w:tc>
          <w:tcPr>
            <w:tcW w:w="2315" w:type="dxa"/>
            <w:vAlign w:val="center"/>
            <w:hideMark/>
          </w:tcPr>
          <w:p w14:paraId="521CAC76"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Reference</w:t>
            </w:r>
          </w:p>
        </w:tc>
        <w:tc>
          <w:tcPr>
            <w:tcW w:w="2220" w:type="dxa"/>
            <w:vAlign w:val="center"/>
            <w:hideMark/>
          </w:tcPr>
          <w:p w14:paraId="311118B7"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w:t>
            </w:r>
          </w:p>
        </w:tc>
        <w:tc>
          <w:tcPr>
            <w:tcW w:w="945" w:type="dxa"/>
            <w:vAlign w:val="center"/>
            <w:hideMark/>
          </w:tcPr>
          <w:p w14:paraId="77EDE2E5"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w:t>
            </w:r>
          </w:p>
        </w:tc>
      </w:tr>
      <w:tr w:rsidR="00B946E1" w:rsidRPr="00241C77" w14:paraId="44EF1600" w14:textId="77777777" w:rsidTr="00FE6BFE">
        <w:trPr>
          <w:tblCellSpacing w:w="15" w:type="dxa"/>
        </w:trPr>
        <w:tc>
          <w:tcPr>
            <w:tcW w:w="0" w:type="auto"/>
            <w:vAlign w:val="center"/>
            <w:hideMark/>
          </w:tcPr>
          <w:p w14:paraId="64F66146"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Never married</w:t>
            </w:r>
          </w:p>
        </w:tc>
        <w:tc>
          <w:tcPr>
            <w:tcW w:w="2315" w:type="dxa"/>
            <w:vAlign w:val="center"/>
            <w:hideMark/>
          </w:tcPr>
          <w:p w14:paraId="5AFE9910"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0.73</w:t>
            </w:r>
          </w:p>
        </w:tc>
        <w:tc>
          <w:tcPr>
            <w:tcW w:w="2220" w:type="dxa"/>
            <w:vAlign w:val="center"/>
            <w:hideMark/>
          </w:tcPr>
          <w:p w14:paraId="7442E475"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[0.60, 0.90]</w:t>
            </w:r>
          </w:p>
        </w:tc>
        <w:tc>
          <w:tcPr>
            <w:tcW w:w="945" w:type="dxa"/>
            <w:vAlign w:val="center"/>
            <w:hideMark/>
          </w:tcPr>
          <w:p w14:paraId="4543610D"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.013</w:t>
            </w:r>
          </w:p>
        </w:tc>
      </w:tr>
      <w:tr w:rsidR="00B946E1" w:rsidRPr="00241C77" w14:paraId="3BDCF1C9" w14:textId="77777777" w:rsidTr="00FE6BFE">
        <w:trPr>
          <w:tblCellSpacing w:w="15" w:type="dxa"/>
        </w:trPr>
        <w:tc>
          <w:tcPr>
            <w:tcW w:w="0" w:type="auto"/>
            <w:vAlign w:val="center"/>
            <w:hideMark/>
          </w:tcPr>
          <w:p w14:paraId="232BD585"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Divorced / Widowed / Cohabiting</w:t>
            </w:r>
          </w:p>
        </w:tc>
        <w:tc>
          <w:tcPr>
            <w:tcW w:w="2315" w:type="dxa"/>
            <w:vAlign w:val="center"/>
            <w:hideMark/>
          </w:tcPr>
          <w:p w14:paraId="63AB08C9"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0.91</w:t>
            </w:r>
          </w:p>
        </w:tc>
        <w:tc>
          <w:tcPr>
            <w:tcW w:w="2220" w:type="dxa"/>
            <w:vAlign w:val="center"/>
            <w:hideMark/>
          </w:tcPr>
          <w:p w14:paraId="337CED13"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[0.64, 1.33]</w:t>
            </w:r>
          </w:p>
        </w:tc>
        <w:tc>
          <w:tcPr>
            <w:tcW w:w="945" w:type="dxa"/>
            <w:vAlign w:val="center"/>
            <w:hideMark/>
          </w:tcPr>
          <w:p w14:paraId="5A9FB483" w14:textId="77777777" w:rsidR="00B946E1" w:rsidRPr="00241C77" w:rsidRDefault="00B946E1" w:rsidP="00FE6BFE">
            <w:pPr>
              <w:spacing w:after="0" w:line="240" w:lineRule="auto"/>
              <w:jc w:val="both"/>
              <w:rPr>
                <w:rFonts w:ascii="Times New Roman" w:hAnsi="Times New Roman" w:cs="Times New Roman"/>
                <w:sz w:val="20"/>
                <w:szCs w:val="20"/>
              </w:rPr>
            </w:pPr>
          </w:p>
        </w:tc>
      </w:tr>
      <w:tr w:rsidR="00B946E1" w:rsidRPr="00241C77" w14:paraId="118D9DEC" w14:textId="77777777" w:rsidTr="00FE6BFE">
        <w:trPr>
          <w:tblCellSpacing w:w="15" w:type="dxa"/>
        </w:trPr>
        <w:tc>
          <w:tcPr>
            <w:tcW w:w="0" w:type="auto"/>
            <w:vAlign w:val="center"/>
            <w:hideMark/>
          </w:tcPr>
          <w:p w14:paraId="263490F3"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b/>
                <w:bCs/>
                <w:sz w:val="20"/>
                <w:szCs w:val="20"/>
              </w:rPr>
              <w:t>Educational Attainment</w:t>
            </w:r>
          </w:p>
        </w:tc>
        <w:tc>
          <w:tcPr>
            <w:tcW w:w="2315" w:type="dxa"/>
            <w:vAlign w:val="center"/>
            <w:hideMark/>
          </w:tcPr>
          <w:p w14:paraId="49A98774" w14:textId="77777777" w:rsidR="00B946E1" w:rsidRPr="00241C77" w:rsidRDefault="00B946E1" w:rsidP="00FE6BFE">
            <w:pPr>
              <w:spacing w:after="0" w:line="240" w:lineRule="auto"/>
              <w:jc w:val="both"/>
              <w:rPr>
                <w:rFonts w:ascii="Times New Roman" w:hAnsi="Times New Roman" w:cs="Times New Roman"/>
                <w:sz w:val="20"/>
                <w:szCs w:val="20"/>
              </w:rPr>
            </w:pPr>
          </w:p>
        </w:tc>
        <w:tc>
          <w:tcPr>
            <w:tcW w:w="2220" w:type="dxa"/>
            <w:vAlign w:val="center"/>
            <w:hideMark/>
          </w:tcPr>
          <w:p w14:paraId="07BE4A6E" w14:textId="77777777" w:rsidR="00B946E1" w:rsidRPr="00241C77" w:rsidRDefault="00B946E1" w:rsidP="00FE6BFE">
            <w:pPr>
              <w:spacing w:after="0" w:line="240" w:lineRule="auto"/>
              <w:jc w:val="both"/>
              <w:rPr>
                <w:rFonts w:ascii="Times New Roman" w:hAnsi="Times New Roman" w:cs="Times New Roman"/>
                <w:sz w:val="20"/>
                <w:szCs w:val="20"/>
              </w:rPr>
            </w:pPr>
          </w:p>
        </w:tc>
        <w:tc>
          <w:tcPr>
            <w:tcW w:w="945" w:type="dxa"/>
            <w:vAlign w:val="center"/>
            <w:hideMark/>
          </w:tcPr>
          <w:p w14:paraId="2A3A16E8" w14:textId="77777777" w:rsidR="00B946E1" w:rsidRPr="00241C77" w:rsidRDefault="00B946E1" w:rsidP="00FE6BFE">
            <w:pPr>
              <w:spacing w:after="0" w:line="240" w:lineRule="auto"/>
              <w:jc w:val="both"/>
              <w:rPr>
                <w:rFonts w:ascii="Times New Roman" w:hAnsi="Times New Roman" w:cs="Times New Roman"/>
                <w:sz w:val="20"/>
                <w:szCs w:val="20"/>
              </w:rPr>
            </w:pPr>
          </w:p>
        </w:tc>
      </w:tr>
      <w:tr w:rsidR="00B946E1" w:rsidRPr="00241C77" w14:paraId="637DC3A4" w14:textId="77777777" w:rsidTr="00FE6BFE">
        <w:trPr>
          <w:tblCellSpacing w:w="15" w:type="dxa"/>
        </w:trPr>
        <w:tc>
          <w:tcPr>
            <w:tcW w:w="0" w:type="auto"/>
            <w:vAlign w:val="center"/>
            <w:hideMark/>
          </w:tcPr>
          <w:p w14:paraId="00F01FD5"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No formal education</w:t>
            </w:r>
          </w:p>
        </w:tc>
        <w:tc>
          <w:tcPr>
            <w:tcW w:w="2315" w:type="dxa"/>
            <w:vAlign w:val="center"/>
            <w:hideMark/>
          </w:tcPr>
          <w:p w14:paraId="1701F198"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Reference</w:t>
            </w:r>
          </w:p>
        </w:tc>
        <w:tc>
          <w:tcPr>
            <w:tcW w:w="2220" w:type="dxa"/>
            <w:vAlign w:val="center"/>
            <w:hideMark/>
          </w:tcPr>
          <w:p w14:paraId="409E0513"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w:t>
            </w:r>
          </w:p>
        </w:tc>
        <w:tc>
          <w:tcPr>
            <w:tcW w:w="945" w:type="dxa"/>
            <w:vAlign w:val="center"/>
            <w:hideMark/>
          </w:tcPr>
          <w:p w14:paraId="0935795E"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w:t>
            </w:r>
          </w:p>
        </w:tc>
      </w:tr>
      <w:tr w:rsidR="00B946E1" w:rsidRPr="00241C77" w14:paraId="744951CE" w14:textId="77777777" w:rsidTr="00FE6BFE">
        <w:trPr>
          <w:tblCellSpacing w:w="15" w:type="dxa"/>
        </w:trPr>
        <w:tc>
          <w:tcPr>
            <w:tcW w:w="0" w:type="auto"/>
            <w:vAlign w:val="center"/>
            <w:hideMark/>
          </w:tcPr>
          <w:p w14:paraId="6AC76921"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Primary school</w:t>
            </w:r>
          </w:p>
        </w:tc>
        <w:tc>
          <w:tcPr>
            <w:tcW w:w="2315" w:type="dxa"/>
            <w:vAlign w:val="center"/>
            <w:hideMark/>
          </w:tcPr>
          <w:p w14:paraId="7F190F2B"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1.40</w:t>
            </w:r>
          </w:p>
        </w:tc>
        <w:tc>
          <w:tcPr>
            <w:tcW w:w="2220" w:type="dxa"/>
            <w:vAlign w:val="center"/>
            <w:hideMark/>
          </w:tcPr>
          <w:p w14:paraId="7F67F24F"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[1.04, 1.87]</w:t>
            </w:r>
          </w:p>
        </w:tc>
        <w:tc>
          <w:tcPr>
            <w:tcW w:w="945" w:type="dxa"/>
            <w:vAlign w:val="center"/>
            <w:hideMark/>
          </w:tcPr>
          <w:p w14:paraId="51C7AD1F"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.023</w:t>
            </w:r>
          </w:p>
        </w:tc>
      </w:tr>
      <w:tr w:rsidR="00B946E1" w:rsidRPr="00241C77" w14:paraId="22AC4957" w14:textId="77777777" w:rsidTr="00FE6BFE">
        <w:trPr>
          <w:tblCellSpacing w:w="15" w:type="dxa"/>
        </w:trPr>
        <w:tc>
          <w:tcPr>
            <w:tcW w:w="0" w:type="auto"/>
            <w:vAlign w:val="center"/>
            <w:hideMark/>
          </w:tcPr>
          <w:p w14:paraId="3BD439FB"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Secondary school</w:t>
            </w:r>
          </w:p>
        </w:tc>
        <w:tc>
          <w:tcPr>
            <w:tcW w:w="2315" w:type="dxa"/>
            <w:vAlign w:val="center"/>
            <w:hideMark/>
          </w:tcPr>
          <w:p w14:paraId="57C12C9F"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1.42</w:t>
            </w:r>
          </w:p>
        </w:tc>
        <w:tc>
          <w:tcPr>
            <w:tcW w:w="2220" w:type="dxa"/>
            <w:vAlign w:val="center"/>
            <w:hideMark/>
          </w:tcPr>
          <w:p w14:paraId="28D9B2D2"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[1.05, 1.90]</w:t>
            </w:r>
          </w:p>
        </w:tc>
        <w:tc>
          <w:tcPr>
            <w:tcW w:w="945" w:type="dxa"/>
            <w:vAlign w:val="center"/>
            <w:hideMark/>
          </w:tcPr>
          <w:p w14:paraId="42ADDAB6" w14:textId="77777777" w:rsidR="00B946E1" w:rsidRPr="00241C77" w:rsidRDefault="00B946E1" w:rsidP="00FE6BFE">
            <w:pPr>
              <w:spacing w:after="0" w:line="240" w:lineRule="auto"/>
              <w:jc w:val="both"/>
              <w:rPr>
                <w:rFonts w:ascii="Times New Roman" w:hAnsi="Times New Roman" w:cs="Times New Roman"/>
                <w:sz w:val="20"/>
                <w:szCs w:val="20"/>
              </w:rPr>
            </w:pPr>
          </w:p>
        </w:tc>
      </w:tr>
      <w:tr w:rsidR="00B946E1" w:rsidRPr="00241C77" w14:paraId="66A9B294" w14:textId="77777777" w:rsidTr="00FE6BFE">
        <w:trPr>
          <w:tblCellSpacing w:w="15" w:type="dxa"/>
        </w:trPr>
        <w:tc>
          <w:tcPr>
            <w:tcW w:w="0" w:type="auto"/>
            <w:vAlign w:val="center"/>
            <w:hideMark/>
          </w:tcPr>
          <w:p w14:paraId="4686648C"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Tertiary complete</w:t>
            </w:r>
          </w:p>
        </w:tc>
        <w:tc>
          <w:tcPr>
            <w:tcW w:w="2315" w:type="dxa"/>
            <w:vAlign w:val="center"/>
            <w:hideMark/>
          </w:tcPr>
          <w:p w14:paraId="2CCC35D0"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1.83</w:t>
            </w:r>
          </w:p>
        </w:tc>
        <w:tc>
          <w:tcPr>
            <w:tcW w:w="2220" w:type="dxa"/>
            <w:vAlign w:val="center"/>
            <w:hideMark/>
          </w:tcPr>
          <w:p w14:paraId="31393612"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[1.27, 2.66]</w:t>
            </w:r>
          </w:p>
        </w:tc>
        <w:tc>
          <w:tcPr>
            <w:tcW w:w="945" w:type="dxa"/>
            <w:vAlign w:val="center"/>
            <w:hideMark/>
          </w:tcPr>
          <w:p w14:paraId="7ADC0B48" w14:textId="77777777" w:rsidR="00B946E1" w:rsidRPr="00241C77" w:rsidRDefault="00B946E1" w:rsidP="00FE6BFE">
            <w:pPr>
              <w:spacing w:after="0" w:line="240" w:lineRule="auto"/>
              <w:jc w:val="both"/>
              <w:rPr>
                <w:rFonts w:ascii="Times New Roman" w:hAnsi="Times New Roman" w:cs="Times New Roman"/>
                <w:sz w:val="20"/>
                <w:szCs w:val="20"/>
              </w:rPr>
            </w:pPr>
          </w:p>
        </w:tc>
      </w:tr>
      <w:tr w:rsidR="00B946E1" w:rsidRPr="00241C77" w14:paraId="5E2452FC" w14:textId="77777777" w:rsidTr="00FE6BFE">
        <w:trPr>
          <w:tblCellSpacing w:w="15" w:type="dxa"/>
        </w:trPr>
        <w:tc>
          <w:tcPr>
            <w:tcW w:w="0" w:type="auto"/>
            <w:vAlign w:val="center"/>
            <w:hideMark/>
          </w:tcPr>
          <w:p w14:paraId="1734C77D"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Other (Vocational / Arabic)</w:t>
            </w:r>
          </w:p>
        </w:tc>
        <w:tc>
          <w:tcPr>
            <w:tcW w:w="2315" w:type="dxa"/>
            <w:vAlign w:val="center"/>
            <w:hideMark/>
          </w:tcPr>
          <w:p w14:paraId="5ED5B337"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1.04</w:t>
            </w:r>
          </w:p>
        </w:tc>
        <w:tc>
          <w:tcPr>
            <w:tcW w:w="2220" w:type="dxa"/>
            <w:vAlign w:val="center"/>
            <w:hideMark/>
          </w:tcPr>
          <w:p w14:paraId="474936A6"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[0.55, 2.21]</w:t>
            </w:r>
          </w:p>
        </w:tc>
        <w:tc>
          <w:tcPr>
            <w:tcW w:w="945" w:type="dxa"/>
            <w:vAlign w:val="center"/>
            <w:hideMark/>
          </w:tcPr>
          <w:p w14:paraId="5EC246D5" w14:textId="77777777" w:rsidR="00B946E1" w:rsidRPr="00241C77" w:rsidRDefault="00B946E1" w:rsidP="00FE6BFE">
            <w:pPr>
              <w:spacing w:after="0" w:line="240" w:lineRule="auto"/>
              <w:jc w:val="both"/>
              <w:rPr>
                <w:rFonts w:ascii="Times New Roman" w:hAnsi="Times New Roman" w:cs="Times New Roman"/>
                <w:sz w:val="20"/>
                <w:szCs w:val="20"/>
              </w:rPr>
            </w:pPr>
          </w:p>
        </w:tc>
      </w:tr>
      <w:tr w:rsidR="00B946E1" w:rsidRPr="00241C77" w14:paraId="0BEB502F" w14:textId="77777777" w:rsidTr="00FE6BFE">
        <w:trPr>
          <w:tblCellSpacing w:w="15" w:type="dxa"/>
        </w:trPr>
        <w:tc>
          <w:tcPr>
            <w:tcW w:w="0" w:type="auto"/>
            <w:vAlign w:val="center"/>
            <w:hideMark/>
          </w:tcPr>
          <w:p w14:paraId="3290862F"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b/>
                <w:bCs/>
                <w:sz w:val="20"/>
                <w:szCs w:val="20"/>
              </w:rPr>
              <w:t>Employment Status</w:t>
            </w:r>
          </w:p>
        </w:tc>
        <w:tc>
          <w:tcPr>
            <w:tcW w:w="2315" w:type="dxa"/>
            <w:vAlign w:val="center"/>
            <w:hideMark/>
          </w:tcPr>
          <w:p w14:paraId="6D787D7B" w14:textId="77777777" w:rsidR="00B946E1" w:rsidRPr="00241C77" w:rsidRDefault="00B946E1" w:rsidP="00FE6BFE">
            <w:pPr>
              <w:spacing w:after="0" w:line="240" w:lineRule="auto"/>
              <w:jc w:val="both"/>
              <w:rPr>
                <w:rFonts w:ascii="Times New Roman" w:hAnsi="Times New Roman" w:cs="Times New Roman"/>
                <w:sz w:val="20"/>
                <w:szCs w:val="20"/>
              </w:rPr>
            </w:pPr>
          </w:p>
        </w:tc>
        <w:tc>
          <w:tcPr>
            <w:tcW w:w="2220" w:type="dxa"/>
            <w:vAlign w:val="center"/>
            <w:hideMark/>
          </w:tcPr>
          <w:p w14:paraId="4272D1AB" w14:textId="77777777" w:rsidR="00B946E1" w:rsidRPr="00241C77" w:rsidRDefault="00B946E1" w:rsidP="00FE6BFE">
            <w:pPr>
              <w:spacing w:after="0" w:line="240" w:lineRule="auto"/>
              <w:jc w:val="both"/>
              <w:rPr>
                <w:rFonts w:ascii="Times New Roman" w:hAnsi="Times New Roman" w:cs="Times New Roman"/>
                <w:sz w:val="20"/>
                <w:szCs w:val="20"/>
              </w:rPr>
            </w:pPr>
          </w:p>
        </w:tc>
        <w:tc>
          <w:tcPr>
            <w:tcW w:w="945" w:type="dxa"/>
            <w:vAlign w:val="center"/>
            <w:hideMark/>
          </w:tcPr>
          <w:p w14:paraId="49E25BDF" w14:textId="77777777" w:rsidR="00B946E1" w:rsidRPr="00241C77" w:rsidRDefault="00B946E1" w:rsidP="00FE6BFE">
            <w:pPr>
              <w:spacing w:after="0" w:line="240" w:lineRule="auto"/>
              <w:jc w:val="both"/>
              <w:rPr>
                <w:rFonts w:ascii="Times New Roman" w:hAnsi="Times New Roman" w:cs="Times New Roman"/>
                <w:sz w:val="20"/>
                <w:szCs w:val="20"/>
              </w:rPr>
            </w:pPr>
          </w:p>
        </w:tc>
      </w:tr>
      <w:tr w:rsidR="00B946E1" w:rsidRPr="00241C77" w14:paraId="3465DF69" w14:textId="77777777" w:rsidTr="00FE6BFE">
        <w:trPr>
          <w:tblCellSpacing w:w="15" w:type="dxa"/>
        </w:trPr>
        <w:tc>
          <w:tcPr>
            <w:tcW w:w="0" w:type="auto"/>
            <w:vAlign w:val="center"/>
            <w:hideMark/>
          </w:tcPr>
          <w:p w14:paraId="5D6FCA34"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Employed</w:t>
            </w:r>
          </w:p>
        </w:tc>
        <w:tc>
          <w:tcPr>
            <w:tcW w:w="2315" w:type="dxa"/>
            <w:vAlign w:val="center"/>
            <w:hideMark/>
          </w:tcPr>
          <w:p w14:paraId="24AD1066"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Reference</w:t>
            </w:r>
          </w:p>
        </w:tc>
        <w:tc>
          <w:tcPr>
            <w:tcW w:w="2220" w:type="dxa"/>
            <w:vAlign w:val="center"/>
            <w:hideMark/>
          </w:tcPr>
          <w:p w14:paraId="1E5AD4ED"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w:t>
            </w:r>
          </w:p>
        </w:tc>
        <w:tc>
          <w:tcPr>
            <w:tcW w:w="945" w:type="dxa"/>
            <w:vAlign w:val="center"/>
            <w:hideMark/>
          </w:tcPr>
          <w:p w14:paraId="1DA74099"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w:t>
            </w:r>
          </w:p>
        </w:tc>
      </w:tr>
      <w:tr w:rsidR="00B946E1" w:rsidRPr="00241C77" w14:paraId="3F6253B1" w14:textId="77777777" w:rsidTr="00FE6BFE">
        <w:trPr>
          <w:tblCellSpacing w:w="15" w:type="dxa"/>
        </w:trPr>
        <w:tc>
          <w:tcPr>
            <w:tcW w:w="0" w:type="auto"/>
            <w:vAlign w:val="center"/>
            <w:hideMark/>
          </w:tcPr>
          <w:p w14:paraId="433890F7"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Unemployed / Student / Retired</w:t>
            </w:r>
          </w:p>
        </w:tc>
        <w:tc>
          <w:tcPr>
            <w:tcW w:w="2315" w:type="dxa"/>
            <w:vAlign w:val="center"/>
            <w:hideMark/>
          </w:tcPr>
          <w:p w14:paraId="6C1E3B0E"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0.78</w:t>
            </w:r>
          </w:p>
        </w:tc>
        <w:tc>
          <w:tcPr>
            <w:tcW w:w="2220" w:type="dxa"/>
            <w:vAlign w:val="center"/>
            <w:hideMark/>
          </w:tcPr>
          <w:p w14:paraId="5ECC746E"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[0.59, 1.02]</w:t>
            </w:r>
          </w:p>
        </w:tc>
        <w:tc>
          <w:tcPr>
            <w:tcW w:w="945" w:type="dxa"/>
            <w:vAlign w:val="center"/>
            <w:hideMark/>
          </w:tcPr>
          <w:p w14:paraId="649B92F9"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.071</w:t>
            </w:r>
          </w:p>
        </w:tc>
      </w:tr>
      <w:tr w:rsidR="00B946E1" w:rsidRPr="00241C77" w14:paraId="00B5B12B" w14:textId="77777777" w:rsidTr="00FE6BFE">
        <w:trPr>
          <w:tblCellSpacing w:w="15" w:type="dxa"/>
        </w:trPr>
        <w:tc>
          <w:tcPr>
            <w:tcW w:w="0" w:type="auto"/>
            <w:vAlign w:val="center"/>
            <w:hideMark/>
          </w:tcPr>
          <w:p w14:paraId="3A318318"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b/>
                <w:bCs/>
                <w:sz w:val="20"/>
                <w:szCs w:val="20"/>
              </w:rPr>
              <w:t>WHO Clinical Stage</w:t>
            </w:r>
          </w:p>
        </w:tc>
        <w:tc>
          <w:tcPr>
            <w:tcW w:w="2315" w:type="dxa"/>
            <w:vAlign w:val="center"/>
            <w:hideMark/>
          </w:tcPr>
          <w:p w14:paraId="187F08BC" w14:textId="77777777" w:rsidR="00B946E1" w:rsidRPr="00241C77" w:rsidRDefault="00B946E1" w:rsidP="00FE6BFE">
            <w:pPr>
              <w:spacing w:after="0" w:line="240" w:lineRule="auto"/>
              <w:jc w:val="both"/>
              <w:rPr>
                <w:rFonts w:ascii="Times New Roman" w:hAnsi="Times New Roman" w:cs="Times New Roman"/>
                <w:sz w:val="20"/>
                <w:szCs w:val="20"/>
              </w:rPr>
            </w:pPr>
          </w:p>
        </w:tc>
        <w:tc>
          <w:tcPr>
            <w:tcW w:w="2220" w:type="dxa"/>
            <w:vAlign w:val="center"/>
            <w:hideMark/>
          </w:tcPr>
          <w:p w14:paraId="5C7EE60B" w14:textId="77777777" w:rsidR="00B946E1" w:rsidRPr="00241C77" w:rsidRDefault="00B946E1" w:rsidP="00FE6BFE">
            <w:pPr>
              <w:spacing w:after="0" w:line="240" w:lineRule="auto"/>
              <w:jc w:val="both"/>
              <w:rPr>
                <w:rFonts w:ascii="Times New Roman" w:hAnsi="Times New Roman" w:cs="Times New Roman"/>
                <w:sz w:val="20"/>
                <w:szCs w:val="20"/>
              </w:rPr>
            </w:pPr>
          </w:p>
        </w:tc>
        <w:tc>
          <w:tcPr>
            <w:tcW w:w="945" w:type="dxa"/>
            <w:vAlign w:val="center"/>
            <w:hideMark/>
          </w:tcPr>
          <w:p w14:paraId="0B4C145B" w14:textId="77777777" w:rsidR="00B946E1" w:rsidRPr="00241C77" w:rsidRDefault="00B946E1" w:rsidP="00FE6BFE">
            <w:pPr>
              <w:spacing w:after="0" w:line="240" w:lineRule="auto"/>
              <w:jc w:val="both"/>
              <w:rPr>
                <w:rFonts w:ascii="Times New Roman" w:hAnsi="Times New Roman" w:cs="Times New Roman"/>
                <w:sz w:val="20"/>
                <w:szCs w:val="20"/>
              </w:rPr>
            </w:pPr>
          </w:p>
        </w:tc>
      </w:tr>
      <w:tr w:rsidR="00B946E1" w:rsidRPr="00241C77" w14:paraId="05CED8DB" w14:textId="77777777" w:rsidTr="00FE6BFE">
        <w:trPr>
          <w:tblCellSpacing w:w="15" w:type="dxa"/>
        </w:trPr>
        <w:tc>
          <w:tcPr>
            <w:tcW w:w="0" w:type="auto"/>
            <w:vAlign w:val="center"/>
            <w:hideMark/>
          </w:tcPr>
          <w:p w14:paraId="555A6462"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Stage III / IV (Advanced)</w:t>
            </w:r>
          </w:p>
        </w:tc>
        <w:tc>
          <w:tcPr>
            <w:tcW w:w="2315" w:type="dxa"/>
            <w:vAlign w:val="center"/>
            <w:hideMark/>
          </w:tcPr>
          <w:p w14:paraId="07C9F26D"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Reference</w:t>
            </w:r>
          </w:p>
        </w:tc>
        <w:tc>
          <w:tcPr>
            <w:tcW w:w="2220" w:type="dxa"/>
            <w:vAlign w:val="center"/>
            <w:hideMark/>
          </w:tcPr>
          <w:p w14:paraId="6965F0F9"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w:t>
            </w:r>
          </w:p>
        </w:tc>
        <w:tc>
          <w:tcPr>
            <w:tcW w:w="945" w:type="dxa"/>
            <w:vAlign w:val="center"/>
            <w:hideMark/>
          </w:tcPr>
          <w:p w14:paraId="06DA7533"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w:t>
            </w:r>
          </w:p>
        </w:tc>
      </w:tr>
      <w:tr w:rsidR="00B946E1" w:rsidRPr="00241C77" w14:paraId="425F7B29" w14:textId="77777777" w:rsidTr="00FE6BFE">
        <w:trPr>
          <w:tblCellSpacing w:w="15" w:type="dxa"/>
        </w:trPr>
        <w:tc>
          <w:tcPr>
            <w:tcW w:w="0" w:type="auto"/>
            <w:vAlign w:val="center"/>
            <w:hideMark/>
          </w:tcPr>
          <w:p w14:paraId="6B620D4B"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Stage I</w:t>
            </w:r>
          </w:p>
        </w:tc>
        <w:tc>
          <w:tcPr>
            <w:tcW w:w="2315" w:type="dxa"/>
            <w:vAlign w:val="center"/>
            <w:hideMark/>
          </w:tcPr>
          <w:p w14:paraId="2BA4D7E1"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1.28</w:t>
            </w:r>
          </w:p>
        </w:tc>
        <w:tc>
          <w:tcPr>
            <w:tcW w:w="2220" w:type="dxa"/>
            <w:vAlign w:val="center"/>
            <w:hideMark/>
          </w:tcPr>
          <w:p w14:paraId="6DFAA049"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[0.73, 2.09]</w:t>
            </w:r>
          </w:p>
        </w:tc>
        <w:tc>
          <w:tcPr>
            <w:tcW w:w="945" w:type="dxa"/>
            <w:vAlign w:val="center"/>
            <w:hideMark/>
          </w:tcPr>
          <w:p w14:paraId="42E410A6"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.537</w:t>
            </w:r>
          </w:p>
        </w:tc>
      </w:tr>
      <w:tr w:rsidR="00B946E1" w:rsidRPr="00241C77" w14:paraId="3383BFF9" w14:textId="77777777" w:rsidTr="00FE6BFE">
        <w:trPr>
          <w:tblCellSpacing w:w="15" w:type="dxa"/>
        </w:trPr>
        <w:tc>
          <w:tcPr>
            <w:tcW w:w="0" w:type="auto"/>
            <w:vAlign w:val="center"/>
            <w:hideMark/>
          </w:tcPr>
          <w:p w14:paraId="640498FA"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Stage II</w:t>
            </w:r>
          </w:p>
        </w:tc>
        <w:tc>
          <w:tcPr>
            <w:tcW w:w="2315" w:type="dxa"/>
            <w:vAlign w:val="center"/>
            <w:hideMark/>
          </w:tcPr>
          <w:p w14:paraId="1F6D9ACB"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1.13</w:t>
            </w:r>
          </w:p>
        </w:tc>
        <w:tc>
          <w:tcPr>
            <w:tcW w:w="2220" w:type="dxa"/>
            <w:vAlign w:val="center"/>
            <w:hideMark/>
          </w:tcPr>
          <w:p w14:paraId="4AD82DC5"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[0.61, 2.02]</w:t>
            </w:r>
          </w:p>
        </w:tc>
        <w:tc>
          <w:tcPr>
            <w:tcW w:w="945" w:type="dxa"/>
            <w:vAlign w:val="center"/>
            <w:hideMark/>
          </w:tcPr>
          <w:p w14:paraId="6260B81B" w14:textId="77777777" w:rsidR="00B946E1" w:rsidRPr="00241C77" w:rsidRDefault="00B946E1" w:rsidP="00FE6BFE">
            <w:pPr>
              <w:spacing w:after="0" w:line="240" w:lineRule="auto"/>
              <w:jc w:val="both"/>
              <w:rPr>
                <w:rFonts w:ascii="Times New Roman" w:hAnsi="Times New Roman" w:cs="Times New Roman"/>
                <w:sz w:val="20"/>
                <w:szCs w:val="20"/>
              </w:rPr>
            </w:pPr>
          </w:p>
        </w:tc>
      </w:tr>
      <w:tr w:rsidR="00B946E1" w:rsidRPr="00241C77" w14:paraId="1ECE89C9" w14:textId="77777777" w:rsidTr="00FE6BFE">
        <w:trPr>
          <w:tblCellSpacing w:w="15" w:type="dxa"/>
        </w:trPr>
        <w:tc>
          <w:tcPr>
            <w:tcW w:w="0" w:type="auto"/>
            <w:vAlign w:val="center"/>
            <w:hideMark/>
          </w:tcPr>
          <w:p w14:paraId="606876F7"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b/>
                <w:bCs/>
                <w:sz w:val="20"/>
                <w:szCs w:val="20"/>
              </w:rPr>
              <w:t>Current ART Regimen</w:t>
            </w:r>
          </w:p>
        </w:tc>
        <w:tc>
          <w:tcPr>
            <w:tcW w:w="2315" w:type="dxa"/>
            <w:vAlign w:val="center"/>
            <w:hideMark/>
          </w:tcPr>
          <w:p w14:paraId="22A8D4D3" w14:textId="77777777" w:rsidR="00B946E1" w:rsidRPr="00241C77" w:rsidRDefault="00B946E1" w:rsidP="00FE6BFE">
            <w:pPr>
              <w:spacing w:after="0" w:line="240" w:lineRule="auto"/>
              <w:jc w:val="both"/>
              <w:rPr>
                <w:rFonts w:ascii="Times New Roman" w:hAnsi="Times New Roman" w:cs="Times New Roman"/>
                <w:sz w:val="20"/>
                <w:szCs w:val="20"/>
              </w:rPr>
            </w:pPr>
          </w:p>
        </w:tc>
        <w:tc>
          <w:tcPr>
            <w:tcW w:w="2220" w:type="dxa"/>
            <w:vAlign w:val="center"/>
            <w:hideMark/>
          </w:tcPr>
          <w:p w14:paraId="41F95621" w14:textId="77777777" w:rsidR="00B946E1" w:rsidRPr="00241C77" w:rsidRDefault="00B946E1" w:rsidP="00FE6BFE">
            <w:pPr>
              <w:spacing w:after="0" w:line="240" w:lineRule="auto"/>
              <w:jc w:val="both"/>
              <w:rPr>
                <w:rFonts w:ascii="Times New Roman" w:hAnsi="Times New Roman" w:cs="Times New Roman"/>
                <w:sz w:val="20"/>
                <w:szCs w:val="20"/>
              </w:rPr>
            </w:pPr>
          </w:p>
        </w:tc>
        <w:tc>
          <w:tcPr>
            <w:tcW w:w="945" w:type="dxa"/>
            <w:vAlign w:val="center"/>
            <w:hideMark/>
          </w:tcPr>
          <w:p w14:paraId="156A01AA" w14:textId="77777777" w:rsidR="00B946E1" w:rsidRPr="00241C77" w:rsidRDefault="00B946E1" w:rsidP="00FE6BFE">
            <w:pPr>
              <w:spacing w:after="0" w:line="240" w:lineRule="auto"/>
              <w:jc w:val="both"/>
              <w:rPr>
                <w:rFonts w:ascii="Times New Roman" w:hAnsi="Times New Roman" w:cs="Times New Roman"/>
                <w:sz w:val="20"/>
                <w:szCs w:val="20"/>
              </w:rPr>
            </w:pPr>
          </w:p>
        </w:tc>
      </w:tr>
      <w:tr w:rsidR="00B946E1" w:rsidRPr="00241C77" w14:paraId="7CBED726" w14:textId="77777777" w:rsidTr="00FE6BFE">
        <w:trPr>
          <w:tblCellSpacing w:w="15" w:type="dxa"/>
        </w:trPr>
        <w:tc>
          <w:tcPr>
            <w:tcW w:w="0" w:type="auto"/>
            <w:vAlign w:val="center"/>
            <w:hideMark/>
          </w:tcPr>
          <w:p w14:paraId="7488B23E"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Dolutegravir (DTG)</w:t>
            </w:r>
          </w:p>
        </w:tc>
        <w:tc>
          <w:tcPr>
            <w:tcW w:w="2315" w:type="dxa"/>
            <w:vAlign w:val="center"/>
            <w:hideMark/>
          </w:tcPr>
          <w:p w14:paraId="3B2AE6A4"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Reference</w:t>
            </w:r>
          </w:p>
        </w:tc>
        <w:tc>
          <w:tcPr>
            <w:tcW w:w="2220" w:type="dxa"/>
            <w:vAlign w:val="center"/>
            <w:hideMark/>
          </w:tcPr>
          <w:p w14:paraId="77DEEDA1"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w:t>
            </w:r>
          </w:p>
        </w:tc>
        <w:tc>
          <w:tcPr>
            <w:tcW w:w="945" w:type="dxa"/>
            <w:vAlign w:val="center"/>
            <w:hideMark/>
          </w:tcPr>
          <w:p w14:paraId="3E4F2157"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w:t>
            </w:r>
          </w:p>
        </w:tc>
      </w:tr>
      <w:tr w:rsidR="00B946E1" w:rsidRPr="00241C77" w14:paraId="7B776E4A" w14:textId="77777777" w:rsidTr="00FE6BFE">
        <w:trPr>
          <w:tblCellSpacing w:w="15" w:type="dxa"/>
        </w:trPr>
        <w:tc>
          <w:tcPr>
            <w:tcW w:w="0" w:type="auto"/>
            <w:vAlign w:val="center"/>
            <w:hideMark/>
          </w:tcPr>
          <w:p w14:paraId="4050D71F"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Others</w:t>
            </w:r>
          </w:p>
        </w:tc>
        <w:tc>
          <w:tcPr>
            <w:tcW w:w="2315" w:type="dxa"/>
            <w:vAlign w:val="center"/>
            <w:hideMark/>
          </w:tcPr>
          <w:p w14:paraId="7859A616"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0.34</w:t>
            </w:r>
          </w:p>
        </w:tc>
        <w:tc>
          <w:tcPr>
            <w:tcW w:w="2220" w:type="dxa"/>
            <w:vAlign w:val="center"/>
            <w:hideMark/>
          </w:tcPr>
          <w:p w14:paraId="2245946D"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[0.13, 1.18]</w:t>
            </w:r>
          </w:p>
        </w:tc>
        <w:tc>
          <w:tcPr>
            <w:tcW w:w="945" w:type="dxa"/>
            <w:vAlign w:val="center"/>
            <w:hideMark/>
          </w:tcPr>
          <w:p w14:paraId="625BEBF1"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.084</w:t>
            </w:r>
          </w:p>
        </w:tc>
      </w:tr>
      <w:tr w:rsidR="00B946E1" w:rsidRPr="00241C77" w14:paraId="24FA0F04" w14:textId="77777777" w:rsidTr="00FE6BFE">
        <w:trPr>
          <w:tblCellSpacing w:w="15" w:type="dxa"/>
        </w:trPr>
        <w:tc>
          <w:tcPr>
            <w:tcW w:w="0" w:type="auto"/>
            <w:vAlign w:val="center"/>
            <w:hideMark/>
          </w:tcPr>
          <w:p w14:paraId="2FCF02BF"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b/>
                <w:bCs/>
                <w:sz w:val="20"/>
                <w:szCs w:val="20"/>
              </w:rPr>
              <w:t>Duration on ART</w:t>
            </w:r>
          </w:p>
        </w:tc>
        <w:tc>
          <w:tcPr>
            <w:tcW w:w="2315" w:type="dxa"/>
            <w:vAlign w:val="center"/>
            <w:hideMark/>
          </w:tcPr>
          <w:p w14:paraId="33A92896" w14:textId="77777777" w:rsidR="00B946E1" w:rsidRPr="00241C77" w:rsidRDefault="00B946E1" w:rsidP="00FE6BFE">
            <w:pPr>
              <w:spacing w:after="0" w:line="240" w:lineRule="auto"/>
              <w:jc w:val="both"/>
              <w:rPr>
                <w:rFonts w:ascii="Times New Roman" w:hAnsi="Times New Roman" w:cs="Times New Roman"/>
                <w:sz w:val="20"/>
                <w:szCs w:val="20"/>
              </w:rPr>
            </w:pPr>
          </w:p>
        </w:tc>
        <w:tc>
          <w:tcPr>
            <w:tcW w:w="2220" w:type="dxa"/>
            <w:vAlign w:val="center"/>
            <w:hideMark/>
          </w:tcPr>
          <w:p w14:paraId="7B86DC1A" w14:textId="77777777" w:rsidR="00B946E1" w:rsidRPr="00241C77" w:rsidRDefault="00B946E1" w:rsidP="00FE6BFE">
            <w:pPr>
              <w:spacing w:after="0" w:line="240" w:lineRule="auto"/>
              <w:jc w:val="both"/>
              <w:rPr>
                <w:rFonts w:ascii="Times New Roman" w:hAnsi="Times New Roman" w:cs="Times New Roman"/>
                <w:sz w:val="20"/>
                <w:szCs w:val="20"/>
              </w:rPr>
            </w:pPr>
          </w:p>
        </w:tc>
        <w:tc>
          <w:tcPr>
            <w:tcW w:w="945" w:type="dxa"/>
            <w:vAlign w:val="center"/>
            <w:hideMark/>
          </w:tcPr>
          <w:p w14:paraId="7FB6DAEF" w14:textId="77777777" w:rsidR="00B946E1" w:rsidRPr="00241C77" w:rsidRDefault="00B946E1" w:rsidP="00FE6BFE">
            <w:pPr>
              <w:spacing w:after="0" w:line="240" w:lineRule="auto"/>
              <w:jc w:val="both"/>
              <w:rPr>
                <w:rFonts w:ascii="Times New Roman" w:hAnsi="Times New Roman" w:cs="Times New Roman"/>
                <w:sz w:val="20"/>
                <w:szCs w:val="20"/>
              </w:rPr>
            </w:pPr>
          </w:p>
        </w:tc>
      </w:tr>
      <w:tr w:rsidR="00B946E1" w:rsidRPr="00241C77" w14:paraId="4F568EE2" w14:textId="77777777" w:rsidTr="00FE6BFE">
        <w:trPr>
          <w:tblCellSpacing w:w="15" w:type="dxa"/>
        </w:trPr>
        <w:tc>
          <w:tcPr>
            <w:tcW w:w="0" w:type="auto"/>
            <w:vAlign w:val="center"/>
            <w:hideMark/>
          </w:tcPr>
          <w:p w14:paraId="281EE099"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1–2 years</w:t>
            </w:r>
          </w:p>
        </w:tc>
        <w:tc>
          <w:tcPr>
            <w:tcW w:w="2315" w:type="dxa"/>
            <w:vAlign w:val="center"/>
            <w:hideMark/>
          </w:tcPr>
          <w:p w14:paraId="439B26BF"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Reference</w:t>
            </w:r>
          </w:p>
        </w:tc>
        <w:tc>
          <w:tcPr>
            <w:tcW w:w="2220" w:type="dxa"/>
            <w:vAlign w:val="center"/>
            <w:hideMark/>
          </w:tcPr>
          <w:p w14:paraId="322A4D12"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w:t>
            </w:r>
          </w:p>
        </w:tc>
        <w:tc>
          <w:tcPr>
            <w:tcW w:w="945" w:type="dxa"/>
            <w:vAlign w:val="center"/>
            <w:hideMark/>
          </w:tcPr>
          <w:p w14:paraId="1BDB83A8"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w:t>
            </w:r>
          </w:p>
        </w:tc>
      </w:tr>
      <w:tr w:rsidR="00B946E1" w:rsidRPr="00241C77" w14:paraId="49299B2A" w14:textId="77777777" w:rsidTr="00FE6BFE">
        <w:trPr>
          <w:tblCellSpacing w:w="15" w:type="dxa"/>
        </w:trPr>
        <w:tc>
          <w:tcPr>
            <w:tcW w:w="0" w:type="auto"/>
            <w:vAlign w:val="center"/>
            <w:hideMark/>
          </w:tcPr>
          <w:p w14:paraId="46B45F8C"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3–4 years</w:t>
            </w:r>
          </w:p>
        </w:tc>
        <w:tc>
          <w:tcPr>
            <w:tcW w:w="2315" w:type="dxa"/>
            <w:vAlign w:val="center"/>
            <w:hideMark/>
          </w:tcPr>
          <w:p w14:paraId="10C269D6"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0.89</w:t>
            </w:r>
          </w:p>
        </w:tc>
        <w:tc>
          <w:tcPr>
            <w:tcW w:w="2220" w:type="dxa"/>
            <w:vAlign w:val="center"/>
            <w:hideMark/>
          </w:tcPr>
          <w:p w14:paraId="0D62E068"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[0.69, 1.14]</w:t>
            </w:r>
          </w:p>
        </w:tc>
        <w:tc>
          <w:tcPr>
            <w:tcW w:w="945" w:type="dxa"/>
            <w:vAlign w:val="center"/>
            <w:hideMark/>
          </w:tcPr>
          <w:p w14:paraId="2547A8F6"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.645</w:t>
            </w:r>
          </w:p>
        </w:tc>
      </w:tr>
      <w:tr w:rsidR="00B946E1" w:rsidRPr="00241C77" w14:paraId="244F2F13" w14:textId="77777777" w:rsidTr="00FE6BFE">
        <w:trPr>
          <w:tblCellSpacing w:w="15" w:type="dxa"/>
        </w:trPr>
        <w:tc>
          <w:tcPr>
            <w:tcW w:w="0" w:type="auto"/>
            <w:vAlign w:val="center"/>
            <w:hideMark/>
          </w:tcPr>
          <w:p w14:paraId="5C328421"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5–7 years</w:t>
            </w:r>
          </w:p>
        </w:tc>
        <w:tc>
          <w:tcPr>
            <w:tcW w:w="2315" w:type="dxa"/>
            <w:vAlign w:val="center"/>
            <w:hideMark/>
          </w:tcPr>
          <w:p w14:paraId="1903D915"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0.90</w:t>
            </w:r>
          </w:p>
        </w:tc>
        <w:tc>
          <w:tcPr>
            <w:tcW w:w="2220" w:type="dxa"/>
            <w:vAlign w:val="center"/>
            <w:hideMark/>
          </w:tcPr>
          <w:p w14:paraId="43ABAE1B"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[0.69, 1.18]</w:t>
            </w:r>
          </w:p>
        </w:tc>
        <w:tc>
          <w:tcPr>
            <w:tcW w:w="945" w:type="dxa"/>
            <w:vAlign w:val="center"/>
            <w:hideMark/>
          </w:tcPr>
          <w:p w14:paraId="2C43137B" w14:textId="77777777" w:rsidR="00B946E1" w:rsidRPr="00241C77" w:rsidRDefault="00B946E1" w:rsidP="00FE6BFE">
            <w:pPr>
              <w:spacing w:after="0" w:line="240" w:lineRule="auto"/>
              <w:jc w:val="both"/>
              <w:rPr>
                <w:rFonts w:ascii="Times New Roman" w:hAnsi="Times New Roman" w:cs="Times New Roman"/>
                <w:sz w:val="20"/>
                <w:szCs w:val="20"/>
              </w:rPr>
            </w:pPr>
          </w:p>
        </w:tc>
      </w:tr>
      <w:tr w:rsidR="00B946E1" w:rsidRPr="00241C77" w14:paraId="423FCA9F" w14:textId="77777777" w:rsidTr="00FE6BFE">
        <w:trPr>
          <w:tblCellSpacing w:w="15" w:type="dxa"/>
        </w:trPr>
        <w:tc>
          <w:tcPr>
            <w:tcW w:w="0" w:type="auto"/>
            <w:vAlign w:val="center"/>
            <w:hideMark/>
          </w:tcPr>
          <w:p w14:paraId="0CCDBA22"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b/>
                <w:bCs/>
                <w:sz w:val="20"/>
                <w:szCs w:val="20"/>
              </w:rPr>
              <w:t>DSD Model</w:t>
            </w:r>
          </w:p>
        </w:tc>
        <w:tc>
          <w:tcPr>
            <w:tcW w:w="2315" w:type="dxa"/>
            <w:vAlign w:val="center"/>
            <w:hideMark/>
          </w:tcPr>
          <w:p w14:paraId="4B6A4FBE" w14:textId="77777777" w:rsidR="00B946E1" w:rsidRPr="00241C77" w:rsidRDefault="00B946E1" w:rsidP="00FE6BFE">
            <w:pPr>
              <w:spacing w:after="0" w:line="240" w:lineRule="auto"/>
              <w:jc w:val="both"/>
              <w:rPr>
                <w:rFonts w:ascii="Times New Roman" w:hAnsi="Times New Roman" w:cs="Times New Roman"/>
                <w:sz w:val="20"/>
                <w:szCs w:val="20"/>
              </w:rPr>
            </w:pPr>
          </w:p>
        </w:tc>
        <w:tc>
          <w:tcPr>
            <w:tcW w:w="2220" w:type="dxa"/>
            <w:vAlign w:val="center"/>
            <w:hideMark/>
          </w:tcPr>
          <w:p w14:paraId="4881F800" w14:textId="77777777" w:rsidR="00B946E1" w:rsidRPr="00241C77" w:rsidRDefault="00B946E1" w:rsidP="00FE6BFE">
            <w:pPr>
              <w:spacing w:after="0" w:line="240" w:lineRule="auto"/>
              <w:jc w:val="both"/>
              <w:rPr>
                <w:rFonts w:ascii="Times New Roman" w:hAnsi="Times New Roman" w:cs="Times New Roman"/>
                <w:sz w:val="20"/>
                <w:szCs w:val="20"/>
              </w:rPr>
            </w:pPr>
          </w:p>
        </w:tc>
        <w:tc>
          <w:tcPr>
            <w:tcW w:w="945" w:type="dxa"/>
            <w:vAlign w:val="center"/>
            <w:hideMark/>
          </w:tcPr>
          <w:p w14:paraId="3D13F8E2" w14:textId="77777777" w:rsidR="00B946E1" w:rsidRPr="00241C77" w:rsidRDefault="00B946E1" w:rsidP="00FE6BFE">
            <w:pPr>
              <w:spacing w:after="0" w:line="240" w:lineRule="auto"/>
              <w:jc w:val="both"/>
              <w:rPr>
                <w:rFonts w:ascii="Times New Roman" w:hAnsi="Times New Roman" w:cs="Times New Roman"/>
                <w:sz w:val="20"/>
                <w:szCs w:val="20"/>
              </w:rPr>
            </w:pPr>
          </w:p>
        </w:tc>
      </w:tr>
      <w:tr w:rsidR="00B946E1" w:rsidRPr="00241C77" w14:paraId="0195E4C4" w14:textId="77777777" w:rsidTr="00FE6BFE">
        <w:trPr>
          <w:tblCellSpacing w:w="15" w:type="dxa"/>
        </w:trPr>
        <w:tc>
          <w:tcPr>
            <w:tcW w:w="0" w:type="auto"/>
            <w:vAlign w:val="center"/>
            <w:hideMark/>
          </w:tcPr>
          <w:p w14:paraId="244D0B68" w14:textId="77777777" w:rsidR="00B946E1" w:rsidRPr="00241C77" w:rsidRDefault="00B946E1" w:rsidP="00FE6BFE">
            <w:pPr>
              <w:spacing w:after="0" w:line="240" w:lineRule="auto"/>
              <w:jc w:val="both"/>
              <w:rPr>
                <w:rFonts w:ascii="Times New Roman" w:hAnsi="Times New Roman" w:cs="Times New Roman"/>
                <w:sz w:val="20"/>
                <w:szCs w:val="20"/>
              </w:rPr>
            </w:pPr>
            <w:proofErr w:type="spellStart"/>
            <w:r w:rsidRPr="00241C77">
              <w:rPr>
                <w:rFonts w:ascii="Times New Roman" w:hAnsi="Times New Roman" w:cs="Times New Roman"/>
                <w:sz w:val="20"/>
                <w:szCs w:val="20"/>
              </w:rPr>
              <w:lastRenderedPageBreak/>
              <w:t>Decentralised</w:t>
            </w:r>
            <w:proofErr w:type="spellEnd"/>
            <w:r w:rsidRPr="00241C77">
              <w:rPr>
                <w:rFonts w:ascii="Times New Roman" w:hAnsi="Times New Roman" w:cs="Times New Roman"/>
                <w:sz w:val="20"/>
                <w:szCs w:val="20"/>
              </w:rPr>
              <w:t xml:space="preserve"> Drug Delivery</w:t>
            </w:r>
          </w:p>
        </w:tc>
        <w:tc>
          <w:tcPr>
            <w:tcW w:w="2315" w:type="dxa"/>
            <w:vAlign w:val="center"/>
            <w:hideMark/>
          </w:tcPr>
          <w:p w14:paraId="3ABB5FDC"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Reference</w:t>
            </w:r>
          </w:p>
        </w:tc>
        <w:tc>
          <w:tcPr>
            <w:tcW w:w="2220" w:type="dxa"/>
            <w:vAlign w:val="center"/>
            <w:hideMark/>
          </w:tcPr>
          <w:p w14:paraId="415954E9"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w:t>
            </w:r>
          </w:p>
        </w:tc>
        <w:tc>
          <w:tcPr>
            <w:tcW w:w="945" w:type="dxa"/>
            <w:vAlign w:val="center"/>
            <w:hideMark/>
          </w:tcPr>
          <w:p w14:paraId="1B1B4E41"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w:t>
            </w:r>
          </w:p>
        </w:tc>
      </w:tr>
      <w:tr w:rsidR="00B946E1" w:rsidRPr="00241C77" w14:paraId="3EADC54D" w14:textId="77777777" w:rsidTr="00FE6BFE">
        <w:trPr>
          <w:tblCellSpacing w:w="15" w:type="dxa"/>
        </w:trPr>
        <w:tc>
          <w:tcPr>
            <w:tcW w:w="0" w:type="auto"/>
            <w:vAlign w:val="center"/>
            <w:hideMark/>
          </w:tcPr>
          <w:p w14:paraId="6E75DBD0"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Facility Dispensing</w:t>
            </w:r>
          </w:p>
        </w:tc>
        <w:tc>
          <w:tcPr>
            <w:tcW w:w="2315" w:type="dxa"/>
            <w:vAlign w:val="center"/>
            <w:hideMark/>
          </w:tcPr>
          <w:p w14:paraId="3A7EA5A3"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0.93</w:t>
            </w:r>
          </w:p>
        </w:tc>
        <w:tc>
          <w:tcPr>
            <w:tcW w:w="2220" w:type="dxa"/>
            <w:vAlign w:val="center"/>
            <w:hideMark/>
          </w:tcPr>
          <w:p w14:paraId="27A532F6"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[0.52, 1.56]</w:t>
            </w:r>
          </w:p>
        </w:tc>
        <w:tc>
          <w:tcPr>
            <w:tcW w:w="945" w:type="dxa"/>
            <w:vAlign w:val="center"/>
            <w:hideMark/>
          </w:tcPr>
          <w:p w14:paraId="07A0CB8E"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.807</w:t>
            </w:r>
          </w:p>
        </w:tc>
      </w:tr>
      <w:tr w:rsidR="00B946E1" w:rsidRPr="00241C77" w14:paraId="6BA029C8" w14:textId="77777777" w:rsidTr="00FE6BFE">
        <w:trPr>
          <w:tblCellSpacing w:w="15" w:type="dxa"/>
        </w:trPr>
        <w:tc>
          <w:tcPr>
            <w:tcW w:w="0" w:type="auto"/>
            <w:vAlign w:val="center"/>
            <w:hideMark/>
          </w:tcPr>
          <w:p w14:paraId="2B76F616"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b/>
                <w:bCs/>
                <w:sz w:val="20"/>
                <w:szCs w:val="20"/>
              </w:rPr>
              <w:t>Level 2: Facility Structural Factors</w:t>
            </w:r>
          </w:p>
        </w:tc>
        <w:tc>
          <w:tcPr>
            <w:tcW w:w="2315" w:type="dxa"/>
            <w:vAlign w:val="center"/>
            <w:hideMark/>
          </w:tcPr>
          <w:p w14:paraId="0DCB7F0A" w14:textId="77777777" w:rsidR="00B946E1" w:rsidRPr="00241C77" w:rsidRDefault="00B946E1" w:rsidP="00FE6BFE">
            <w:pPr>
              <w:spacing w:after="0" w:line="240" w:lineRule="auto"/>
              <w:jc w:val="both"/>
              <w:rPr>
                <w:rFonts w:ascii="Times New Roman" w:hAnsi="Times New Roman" w:cs="Times New Roman"/>
                <w:sz w:val="20"/>
                <w:szCs w:val="20"/>
              </w:rPr>
            </w:pPr>
          </w:p>
        </w:tc>
        <w:tc>
          <w:tcPr>
            <w:tcW w:w="2220" w:type="dxa"/>
            <w:vAlign w:val="center"/>
            <w:hideMark/>
          </w:tcPr>
          <w:p w14:paraId="52D55C54" w14:textId="77777777" w:rsidR="00B946E1" w:rsidRPr="00241C77" w:rsidRDefault="00B946E1" w:rsidP="00FE6BFE">
            <w:pPr>
              <w:spacing w:after="0" w:line="240" w:lineRule="auto"/>
              <w:jc w:val="both"/>
              <w:rPr>
                <w:rFonts w:ascii="Times New Roman" w:hAnsi="Times New Roman" w:cs="Times New Roman"/>
                <w:sz w:val="20"/>
                <w:szCs w:val="20"/>
              </w:rPr>
            </w:pPr>
          </w:p>
        </w:tc>
        <w:tc>
          <w:tcPr>
            <w:tcW w:w="945" w:type="dxa"/>
            <w:vAlign w:val="center"/>
            <w:hideMark/>
          </w:tcPr>
          <w:p w14:paraId="5E43D71C" w14:textId="77777777" w:rsidR="00B946E1" w:rsidRPr="00241C77" w:rsidRDefault="00B946E1" w:rsidP="00FE6BFE">
            <w:pPr>
              <w:spacing w:after="0" w:line="240" w:lineRule="auto"/>
              <w:jc w:val="both"/>
              <w:rPr>
                <w:rFonts w:ascii="Times New Roman" w:hAnsi="Times New Roman" w:cs="Times New Roman"/>
                <w:sz w:val="20"/>
                <w:szCs w:val="20"/>
              </w:rPr>
            </w:pPr>
          </w:p>
        </w:tc>
      </w:tr>
      <w:tr w:rsidR="00B946E1" w:rsidRPr="00241C77" w14:paraId="4CAAAC6A" w14:textId="77777777" w:rsidTr="00FE6BFE">
        <w:trPr>
          <w:tblCellSpacing w:w="15" w:type="dxa"/>
        </w:trPr>
        <w:tc>
          <w:tcPr>
            <w:tcW w:w="0" w:type="auto"/>
            <w:vAlign w:val="center"/>
            <w:hideMark/>
          </w:tcPr>
          <w:p w14:paraId="7A6FCAF9"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b/>
                <w:bCs/>
                <w:sz w:val="20"/>
                <w:szCs w:val="20"/>
              </w:rPr>
              <w:t>Facility Location</w:t>
            </w:r>
          </w:p>
        </w:tc>
        <w:tc>
          <w:tcPr>
            <w:tcW w:w="2315" w:type="dxa"/>
            <w:vAlign w:val="center"/>
            <w:hideMark/>
          </w:tcPr>
          <w:p w14:paraId="2DCAB343" w14:textId="77777777" w:rsidR="00B946E1" w:rsidRPr="00241C77" w:rsidRDefault="00B946E1" w:rsidP="00FE6BFE">
            <w:pPr>
              <w:spacing w:after="0" w:line="240" w:lineRule="auto"/>
              <w:jc w:val="both"/>
              <w:rPr>
                <w:rFonts w:ascii="Times New Roman" w:hAnsi="Times New Roman" w:cs="Times New Roman"/>
                <w:sz w:val="20"/>
                <w:szCs w:val="20"/>
              </w:rPr>
            </w:pPr>
          </w:p>
        </w:tc>
        <w:tc>
          <w:tcPr>
            <w:tcW w:w="2220" w:type="dxa"/>
            <w:vAlign w:val="center"/>
            <w:hideMark/>
          </w:tcPr>
          <w:p w14:paraId="544BCE1B" w14:textId="77777777" w:rsidR="00B946E1" w:rsidRPr="00241C77" w:rsidRDefault="00B946E1" w:rsidP="00FE6BFE">
            <w:pPr>
              <w:spacing w:after="0" w:line="240" w:lineRule="auto"/>
              <w:jc w:val="both"/>
              <w:rPr>
                <w:rFonts w:ascii="Times New Roman" w:hAnsi="Times New Roman" w:cs="Times New Roman"/>
                <w:sz w:val="20"/>
                <w:szCs w:val="20"/>
              </w:rPr>
            </w:pPr>
          </w:p>
        </w:tc>
        <w:tc>
          <w:tcPr>
            <w:tcW w:w="945" w:type="dxa"/>
            <w:vAlign w:val="center"/>
            <w:hideMark/>
          </w:tcPr>
          <w:p w14:paraId="7B2EC78F" w14:textId="77777777" w:rsidR="00B946E1" w:rsidRPr="00241C77" w:rsidRDefault="00B946E1" w:rsidP="00FE6BFE">
            <w:pPr>
              <w:spacing w:after="0" w:line="240" w:lineRule="auto"/>
              <w:jc w:val="both"/>
              <w:rPr>
                <w:rFonts w:ascii="Times New Roman" w:hAnsi="Times New Roman" w:cs="Times New Roman"/>
                <w:sz w:val="20"/>
                <w:szCs w:val="20"/>
              </w:rPr>
            </w:pPr>
          </w:p>
        </w:tc>
      </w:tr>
      <w:tr w:rsidR="00B946E1" w:rsidRPr="00241C77" w14:paraId="699C6B62" w14:textId="77777777" w:rsidTr="00FE6BFE">
        <w:trPr>
          <w:tblCellSpacing w:w="15" w:type="dxa"/>
        </w:trPr>
        <w:tc>
          <w:tcPr>
            <w:tcW w:w="0" w:type="auto"/>
            <w:vAlign w:val="center"/>
            <w:hideMark/>
          </w:tcPr>
          <w:p w14:paraId="4AA534E6"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Rural</w:t>
            </w:r>
          </w:p>
        </w:tc>
        <w:tc>
          <w:tcPr>
            <w:tcW w:w="2315" w:type="dxa"/>
            <w:vAlign w:val="center"/>
            <w:hideMark/>
          </w:tcPr>
          <w:p w14:paraId="3EEB45F4"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Reference</w:t>
            </w:r>
          </w:p>
        </w:tc>
        <w:tc>
          <w:tcPr>
            <w:tcW w:w="2220" w:type="dxa"/>
            <w:vAlign w:val="center"/>
            <w:hideMark/>
          </w:tcPr>
          <w:p w14:paraId="62E778C8"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w:t>
            </w:r>
          </w:p>
        </w:tc>
        <w:tc>
          <w:tcPr>
            <w:tcW w:w="945" w:type="dxa"/>
            <w:vAlign w:val="center"/>
            <w:hideMark/>
          </w:tcPr>
          <w:p w14:paraId="65117402"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w:t>
            </w:r>
          </w:p>
        </w:tc>
      </w:tr>
      <w:tr w:rsidR="00B946E1" w:rsidRPr="00241C77" w14:paraId="4853F244" w14:textId="77777777" w:rsidTr="00FE6BFE">
        <w:trPr>
          <w:tblCellSpacing w:w="15" w:type="dxa"/>
        </w:trPr>
        <w:tc>
          <w:tcPr>
            <w:tcW w:w="0" w:type="auto"/>
            <w:vAlign w:val="center"/>
            <w:hideMark/>
          </w:tcPr>
          <w:p w14:paraId="30D075B4"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Urban</w:t>
            </w:r>
          </w:p>
        </w:tc>
        <w:tc>
          <w:tcPr>
            <w:tcW w:w="2315" w:type="dxa"/>
            <w:vAlign w:val="center"/>
            <w:hideMark/>
          </w:tcPr>
          <w:p w14:paraId="484051D5"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1.31</w:t>
            </w:r>
          </w:p>
        </w:tc>
        <w:tc>
          <w:tcPr>
            <w:tcW w:w="2220" w:type="dxa"/>
            <w:vAlign w:val="center"/>
            <w:hideMark/>
          </w:tcPr>
          <w:p w14:paraId="6690313E"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[1.08, 1.60]</w:t>
            </w:r>
          </w:p>
        </w:tc>
        <w:tc>
          <w:tcPr>
            <w:tcW w:w="945" w:type="dxa"/>
            <w:vAlign w:val="center"/>
            <w:hideMark/>
          </w:tcPr>
          <w:p w14:paraId="44BE01B2"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.007</w:t>
            </w:r>
          </w:p>
        </w:tc>
      </w:tr>
      <w:tr w:rsidR="00B946E1" w:rsidRPr="00241C77" w14:paraId="0777CC01" w14:textId="77777777" w:rsidTr="00FE6BFE">
        <w:trPr>
          <w:tblCellSpacing w:w="15" w:type="dxa"/>
        </w:trPr>
        <w:tc>
          <w:tcPr>
            <w:tcW w:w="0" w:type="auto"/>
            <w:vAlign w:val="center"/>
            <w:hideMark/>
          </w:tcPr>
          <w:p w14:paraId="5781E40F"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b/>
                <w:bCs/>
                <w:sz w:val="20"/>
                <w:szCs w:val="20"/>
              </w:rPr>
              <w:t>Facility Ownership</w:t>
            </w:r>
          </w:p>
        </w:tc>
        <w:tc>
          <w:tcPr>
            <w:tcW w:w="2315" w:type="dxa"/>
            <w:vAlign w:val="center"/>
            <w:hideMark/>
          </w:tcPr>
          <w:p w14:paraId="2D16E69F" w14:textId="77777777" w:rsidR="00B946E1" w:rsidRPr="00241C77" w:rsidRDefault="00B946E1" w:rsidP="00FE6BFE">
            <w:pPr>
              <w:spacing w:after="0" w:line="240" w:lineRule="auto"/>
              <w:jc w:val="both"/>
              <w:rPr>
                <w:rFonts w:ascii="Times New Roman" w:hAnsi="Times New Roman" w:cs="Times New Roman"/>
                <w:sz w:val="20"/>
                <w:szCs w:val="20"/>
              </w:rPr>
            </w:pPr>
          </w:p>
        </w:tc>
        <w:tc>
          <w:tcPr>
            <w:tcW w:w="2220" w:type="dxa"/>
            <w:vAlign w:val="center"/>
            <w:hideMark/>
          </w:tcPr>
          <w:p w14:paraId="629A2D10" w14:textId="77777777" w:rsidR="00B946E1" w:rsidRPr="00241C77" w:rsidRDefault="00B946E1" w:rsidP="00FE6BFE">
            <w:pPr>
              <w:spacing w:after="0" w:line="240" w:lineRule="auto"/>
              <w:jc w:val="both"/>
              <w:rPr>
                <w:rFonts w:ascii="Times New Roman" w:hAnsi="Times New Roman" w:cs="Times New Roman"/>
                <w:sz w:val="20"/>
                <w:szCs w:val="20"/>
              </w:rPr>
            </w:pPr>
          </w:p>
        </w:tc>
        <w:tc>
          <w:tcPr>
            <w:tcW w:w="945" w:type="dxa"/>
            <w:vAlign w:val="center"/>
            <w:hideMark/>
          </w:tcPr>
          <w:p w14:paraId="4FBFADB5" w14:textId="77777777" w:rsidR="00B946E1" w:rsidRPr="00241C77" w:rsidRDefault="00B946E1" w:rsidP="00FE6BFE">
            <w:pPr>
              <w:spacing w:after="0" w:line="240" w:lineRule="auto"/>
              <w:jc w:val="both"/>
              <w:rPr>
                <w:rFonts w:ascii="Times New Roman" w:hAnsi="Times New Roman" w:cs="Times New Roman"/>
                <w:sz w:val="20"/>
                <w:szCs w:val="20"/>
              </w:rPr>
            </w:pPr>
          </w:p>
        </w:tc>
      </w:tr>
      <w:tr w:rsidR="00B946E1" w:rsidRPr="00241C77" w14:paraId="1E1A8BF6" w14:textId="77777777" w:rsidTr="00FE6BFE">
        <w:trPr>
          <w:tblCellSpacing w:w="15" w:type="dxa"/>
        </w:trPr>
        <w:tc>
          <w:tcPr>
            <w:tcW w:w="0" w:type="auto"/>
            <w:vAlign w:val="center"/>
            <w:hideMark/>
          </w:tcPr>
          <w:p w14:paraId="19D9EE46"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Non-public</w:t>
            </w:r>
          </w:p>
        </w:tc>
        <w:tc>
          <w:tcPr>
            <w:tcW w:w="2315" w:type="dxa"/>
            <w:vAlign w:val="center"/>
            <w:hideMark/>
          </w:tcPr>
          <w:p w14:paraId="5896B7D7"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Reference</w:t>
            </w:r>
          </w:p>
        </w:tc>
        <w:tc>
          <w:tcPr>
            <w:tcW w:w="2220" w:type="dxa"/>
            <w:vAlign w:val="center"/>
            <w:hideMark/>
          </w:tcPr>
          <w:p w14:paraId="291786BA"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w:t>
            </w:r>
          </w:p>
        </w:tc>
        <w:tc>
          <w:tcPr>
            <w:tcW w:w="945" w:type="dxa"/>
            <w:vAlign w:val="center"/>
            <w:hideMark/>
          </w:tcPr>
          <w:p w14:paraId="06985C53"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w:t>
            </w:r>
          </w:p>
        </w:tc>
      </w:tr>
      <w:tr w:rsidR="00B946E1" w:rsidRPr="00241C77" w14:paraId="62485ACA" w14:textId="77777777" w:rsidTr="00FE6BFE">
        <w:trPr>
          <w:tblCellSpacing w:w="15" w:type="dxa"/>
        </w:trPr>
        <w:tc>
          <w:tcPr>
            <w:tcW w:w="0" w:type="auto"/>
            <w:vAlign w:val="center"/>
            <w:hideMark/>
          </w:tcPr>
          <w:p w14:paraId="7B780B7E"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Public</w:t>
            </w:r>
          </w:p>
        </w:tc>
        <w:tc>
          <w:tcPr>
            <w:tcW w:w="2315" w:type="dxa"/>
            <w:vAlign w:val="center"/>
            <w:hideMark/>
          </w:tcPr>
          <w:p w14:paraId="475DEAA4"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1.02</w:t>
            </w:r>
          </w:p>
        </w:tc>
        <w:tc>
          <w:tcPr>
            <w:tcW w:w="2220" w:type="dxa"/>
            <w:vAlign w:val="center"/>
            <w:hideMark/>
          </w:tcPr>
          <w:p w14:paraId="78FF77CE"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[0.84, 1.24]</w:t>
            </w:r>
          </w:p>
        </w:tc>
        <w:tc>
          <w:tcPr>
            <w:tcW w:w="945" w:type="dxa"/>
            <w:vAlign w:val="center"/>
            <w:hideMark/>
          </w:tcPr>
          <w:p w14:paraId="7BA41F0E"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.838</w:t>
            </w:r>
          </w:p>
        </w:tc>
      </w:tr>
      <w:tr w:rsidR="00B946E1" w:rsidRPr="00241C77" w14:paraId="610F5AC0" w14:textId="77777777" w:rsidTr="00FE6BFE">
        <w:trPr>
          <w:tblCellSpacing w:w="15" w:type="dxa"/>
        </w:trPr>
        <w:tc>
          <w:tcPr>
            <w:tcW w:w="0" w:type="auto"/>
            <w:vAlign w:val="center"/>
            <w:hideMark/>
          </w:tcPr>
          <w:p w14:paraId="0CCFD738"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b/>
                <w:bCs/>
                <w:sz w:val="20"/>
                <w:szCs w:val="20"/>
              </w:rPr>
              <w:t>Facility Tier</w:t>
            </w:r>
          </w:p>
        </w:tc>
        <w:tc>
          <w:tcPr>
            <w:tcW w:w="2315" w:type="dxa"/>
            <w:vAlign w:val="center"/>
            <w:hideMark/>
          </w:tcPr>
          <w:p w14:paraId="1C803F09" w14:textId="77777777" w:rsidR="00B946E1" w:rsidRPr="00241C77" w:rsidRDefault="00B946E1" w:rsidP="00FE6BFE">
            <w:pPr>
              <w:spacing w:after="0" w:line="240" w:lineRule="auto"/>
              <w:jc w:val="both"/>
              <w:rPr>
                <w:rFonts w:ascii="Times New Roman" w:hAnsi="Times New Roman" w:cs="Times New Roman"/>
                <w:sz w:val="20"/>
                <w:szCs w:val="20"/>
              </w:rPr>
            </w:pPr>
          </w:p>
        </w:tc>
        <w:tc>
          <w:tcPr>
            <w:tcW w:w="2220" w:type="dxa"/>
            <w:vAlign w:val="center"/>
            <w:hideMark/>
          </w:tcPr>
          <w:p w14:paraId="7EFEFEE1" w14:textId="77777777" w:rsidR="00B946E1" w:rsidRPr="00241C77" w:rsidRDefault="00B946E1" w:rsidP="00FE6BFE">
            <w:pPr>
              <w:spacing w:after="0" w:line="240" w:lineRule="auto"/>
              <w:jc w:val="both"/>
              <w:rPr>
                <w:rFonts w:ascii="Times New Roman" w:hAnsi="Times New Roman" w:cs="Times New Roman"/>
                <w:sz w:val="20"/>
                <w:szCs w:val="20"/>
              </w:rPr>
            </w:pPr>
          </w:p>
        </w:tc>
        <w:tc>
          <w:tcPr>
            <w:tcW w:w="945" w:type="dxa"/>
            <w:vAlign w:val="center"/>
            <w:hideMark/>
          </w:tcPr>
          <w:p w14:paraId="1784E9F0" w14:textId="77777777" w:rsidR="00B946E1" w:rsidRPr="00241C77" w:rsidRDefault="00B946E1" w:rsidP="00FE6BFE">
            <w:pPr>
              <w:spacing w:after="0" w:line="240" w:lineRule="auto"/>
              <w:jc w:val="both"/>
              <w:rPr>
                <w:rFonts w:ascii="Times New Roman" w:hAnsi="Times New Roman" w:cs="Times New Roman"/>
                <w:sz w:val="20"/>
                <w:szCs w:val="20"/>
              </w:rPr>
            </w:pPr>
          </w:p>
        </w:tc>
      </w:tr>
      <w:tr w:rsidR="00B946E1" w:rsidRPr="00241C77" w14:paraId="21B43B8B" w14:textId="77777777" w:rsidTr="00FE6BFE">
        <w:trPr>
          <w:tblCellSpacing w:w="15" w:type="dxa"/>
        </w:trPr>
        <w:tc>
          <w:tcPr>
            <w:tcW w:w="0" w:type="auto"/>
            <w:vAlign w:val="center"/>
            <w:hideMark/>
          </w:tcPr>
          <w:p w14:paraId="25196B4B"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Non-tertiary</w:t>
            </w:r>
          </w:p>
        </w:tc>
        <w:tc>
          <w:tcPr>
            <w:tcW w:w="2315" w:type="dxa"/>
            <w:vAlign w:val="center"/>
            <w:hideMark/>
          </w:tcPr>
          <w:p w14:paraId="5B35D32B"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Reference</w:t>
            </w:r>
          </w:p>
        </w:tc>
        <w:tc>
          <w:tcPr>
            <w:tcW w:w="2220" w:type="dxa"/>
            <w:vAlign w:val="center"/>
            <w:hideMark/>
          </w:tcPr>
          <w:p w14:paraId="3AF2F7EE"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w:t>
            </w:r>
          </w:p>
        </w:tc>
        <w:tc>
          <w:tcPr>
            <w:tcW w:w="945" w:type="dxa"/>
            <w:vAlign w:val="center"/>
            <w:hideMark/>
          </w:tcPr>
          <w:p w14:paraId="161E411A"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w:t>
            </w:r>
          </w:p>
        </w:tc>
      </w:tr>
      <w:tr w:rsidR="00B946E1" w:rsidRPr="00241C77" w14:paraId="312BAA58" w14:textId="77777777" w:rsidTr="00FE6BFE">
        <w:trPr>
          <w:tblCellSpacing w:w="15" w:type="dxa"/>
        </w:trPr>
        <w:tc>
          <w:tcPr>
            <w:tcW w:w="0" w:type="auto"/>
            <w:vAlign w:val="center"/>
            <w:hideMark/>
          </w:tcPr>
          <w:p w14:paraId="1A5D06B6"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Tertiary</w:t>
            </w:r>
          </w:p>
        </w:tc>
        <w:tc>
          <w:tcPr>
            <w:tcW w:w="2315" w:type="dxa"/>
            <w:vAlign w:val="center"/>
            <w:hideMark/>
          </w:tcPr>
          <w:p w14:paraId="7DD724F8"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1.17</w:t>
            </w:r>
          </w:p>
        </w:tc>
        <w:tc>
          <w:tcPr>
            <w:tcW w:w="2220" w:type="dxa"/>
            <w:vAlign w:val="center"/>
            <w:hideMark/>
          </w:tcPr>
          <w:p w14:paraId="41B2286B"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[0.92, 1.50]</w:t>
            </w:r>
          </w:p>
        </w:tc>
        <w:tc>
          <w:tcPr>
            <w:tcW w:w="945" w:type="dxa"/>
            <w:vAlign w:val="center"/>
            <w:hideMark/>
          </w:tcPr>
          <w:p w14:paraId="6AC5611E" w14:textId="77777777" w:rsidR="00B946E1" w:rsidRPr="00241C77" w:rsidRDefault="00B946E1" w:rsidP="00FE6BFE">
            <w:pPr>
              <w:spacing w:after="0" w:line="240" w:lineRule="auto"/>
              <w:jc w:val="both"/>
              <w:rPr>
                <w:rFonts w:ascii="Times New Roman" w:hAnsi="Times New Roman" w:cs="Times New Roman"/>
                <w:sz w:val="20"/>
                <w:szCs w:val="20"/>
              </w:rPr>
            </w:pPr>
            <w:r w:rsidRPr="00241C77">
              <w:rPr>
                <w:rFonts w:ascii="Times New Roman" w:hAnsi="Times New Roman" w:cs="Times New Roman"/>
                <w:sz w:val="20"/>
                <w:szCs w:val="20"/>
              </w:rPr>
              <w:t>.201</w:t>
            </w:r>
          </w:p>
        </w:tc>
      </w:tr>
    </w:tbl>
    <w:p w14:paraId="7332C1EA" w14:textId="77777777" w:rsidR="00B946E1" w:rsidRPr="00241C77" w:rsidRDefault="00B946E1" w:rsidP="00B946E1">
      <w:pPr>
        <w:spacing w:line="480" w:lineRule="auto"/>
        <w:jc w:val="both"/>
        <w:rPr>
          <w:rFonts w:ascii="Times New Roman" w:hAnsi="Times New Roman" w:cs="Times New Roman"/>
          <w:sz w:val="24"/>
          <w:szCs w:val="24"/>
        </w:rPr>
      </w:pPr>
      <w:r w:rsidRPr="00241C77">
        <w:rPr>
          <w:rFonts w:ascii="Times New Roman" w:hAnsi="Times New Roman" w:cs="Times New Roman"/>
          <w:sz w:val="24"/>
          <w:szCs w:val="24"/>
        </w:rPr>
        <w:t>Source: Researcher’s Computation (2026)</w:t>
      </w:r>
    </w:p>
    <w:p w14:paraId="7D4626F0" w14:textId="77777777" w:rsidR="003163B4" w:rsidRPr="00241C77" w:rsidRDefault="003163B4" w:rsidP="003163B4">
      <w:pPr>
        <w:spacing w:line="480" w:lineRule="auto"/>
        <w:jc w:val="both"/>
        <w:rPr>
          <w:rFonts w:ascii="Times New Roman" w:hAnsi="Times New Roman" w:cs="Times New Roman"/>
          <w:sz w:val="24"/>
          <w:szCs w:val="24"/>
        </w:rPr>
      </w:pPr>
      <w:r w:rsidRPr="00241C77">
        <w:rPr>
          <w:rFonts w:ascii="Times New Roman" w:hAnsi="Times New Roman" w:cs="Times New Roman"/>
          <w:sz w:val="24"/>
          <w:szCs w:val="24"/>
        </w:rPr>
        <w:t>The bivariate analysis revealed highly significant crude associations across clinical, demographic, and institutional domains. Within the clinical parameters, entering care with an unsuppressed baseline viral load emerged as a severe risk factor, associated with a 57% reduction in the crude odds of achieving eventual suppression (</w:t>
      </w:r>
      <w:proofErr w:type="spellStart"/>
      <w:r w:rsidRPr="00241C77">
        <w:rPr>
          <w:rFonts w:ascii="Times New Roman" w:hAnsi="Times New Roman" w:cs="Times New Roman"/>
          <w:sz w:val="24"/>
          <w:szCs w:val="24"/>
        </w:rPr>
        <w:t>cOR</w:t>
      </w:r>
      <w:proofErr w:type="spellEnd"/>
      <w:r w:rsidRPr="00241C77">
        <w:rPr>
          <w:rFonts w:ascii="Times New Roman" w:hAnsi="Times New Roman" w:cs="Times New Roman"/>
          <w:sz w:val="24"/>
          <w:szCs w:val="24"/>
        </w:rPr>
        <w:t xml:space="preserve"> = 0.43; 95% CI [0.34, 0.55]; p &lt; .001). Conversely, programmatic optimization demonstrated clear benefits: patients maintained on six-month multi-month dispensing (MMD 6) exhibited 44% higher odds of virologic success compared to those on standard three-month schedules (</w:t>
      </w:r>
      <w:proofErr w:type="spellStart"/>
      <w:r w:rsidRPr="00241C77">
        <w:rPr>
          <w:rFonts w:ascii="Times New Roman" w:hAnsi="Times New Roman" w:cs="Times New Roman"/>
          <w:sz w:val="24"/>
          <w:szCs w:val="24"/>
        </w:rPr>
        <w:t>cOR</w:t>
      </w:r>
      <w:proofErr w:type="spellEnd"/>
      <w:r w:rsidRPr="00241C77">
        <w:rPr>
          <w:rFonts w:ascii="Times New Roman" w:hAnsi="Times New Roman" w:cs="Times New Roman"/>
          <w:sz w:val="24"/>
          <w:szCs w:val="24"/>
        </w:rPr>
        <w:t xml:space="preserve"> = 1.44; p &lt; .001)</w:t>
      </w:r>
    </w:p>
    <w:p w14:paraId="0750CBFD" w14:textId="77777777" w:rsidR="003163B4" w:rsidRPr="00241C77" w:rsidRDefault="003163B4" w:rsidP="003163B4">
      <w:pPr>
        <w:spacing w:line="480" w:lineRule="auto"/>
        <w:jc w:val="both"/>
        <w:rPr>
          <w:rFonts w:ascii="Times New Roman" w:hAnsi="Times New Roman" w:cs="Times New Roman"/>
          <w:sz w:val="24"/>
          <w:szCs w:val="24"/>
        </w:rPr>
      </w:pPr>
      <w:r w:rsidRPr="00241C77">
        <w:rPr>
          <w:rFonts w:ascii="Times New Roman" w:hAnsi="Times New Roman" w:cs="Times New Roman"/>
          <w:sz w:val="24"/>
          <w:szCs w:val="24"/>
        </w:rPr>
        <w:t xml:space="preserve">Sociodemographic indicators followed distinct behavioral gradients. A clear age-related progression was </w:t>
      </w:r>
      <w:r>
        <w:rPr>
          <w:rFonts w:ascii="Times New Roman" w:hAnsi="Times New Roman" w:cs="Times New Roman"/>
          <w:sz w:val="24"/>
          <w:szCs w:val="24"/>
        </w:rPr>
        <w:t xml:space="preserve">observed, wherein older cohorts </w:t>
      </w:r>
      <w:r w:rsidRPr="00241C77">
        <w:rPr>
          <w:rFonts w:ascii="Times New Roman" w:hAnsi="Times New Roman" w:cs="Times New Roman"/>
          <w:sz w:val="24"/>
          <w:szCs w:val="24"/>
        </w:rPr>
        <w:t>specifically those aged 35–44 years (</w:t>
      </w:r>
      <w:proofErr w:type="spellStart"/>
      <w:r w:rsidRPr="00241C77">
        <w:rPr>
          <w:rFonts w:ascii="Times New Roman" w:hAnsi="Times New Roman" w:cs="Times New Roman"/>
          <w:sz w:val="24"/>
          <w:szCs w:val="24"/>
        </w:rPr>
        <w:t>cOR</w:t>
      </w:r>
      <w:proofErr w:type="spellEnd"/>
      <w:r w:rsidRPr="00241C77">
        <w:rPr>
          <w:rFonts w:ascii="Times New Roman" w:hAnsi="Times New Roman" w:cs="Times New Roman"/>
          <w:sz w:val="24"/>
          <w:szCs w:val="24"/>
        </w:rPr>
        <w:t xml:space="preserve"> = 1.47) and 45+ years (</w:t>
      </w:r>
      <w:proofErr w:type="spellStart"/>
      <w:r w:rsidRPr="00241C77">
        <w:rPr>
          <w:rFonts w:ascii="Times New Roman" w:hAnsi="Times New Roman" w:cs="Times New Roman"/>
          <w:sz w:val="24"/>
          <w:szCs w:val="24"/>
        </w:rPr>
        <w:t>cOR</w:t>
      </w:r>
      <w:proofErr w:type="spellEnd"/>
      <w:r w:rsidRPr="00241C77">
        <w:rPr>
          <w:rFonts w:ascii="Times New Roman" w:hAnsi="Times New Roman" w:cs="Times New Roman"/>
          <w:sz w:val="24"/>
          <w:szCs w:val="24"/>
        </w:rPr>
        <w:t xml:space="preserve"> = 1.49)</w:t>
      </w:r>
      <w:r>
        <w:rPr>
          <w:rFonts w:ascii="Times New Roman" w:hAnsi="Times New Roman" w:cs="Times New Roman"/>
          <w:sz w:val="24"/>
          <w:szCs w:val="24"/>
        </w:rPr>
        <w:t xml:space="preserve"> </w:t>
      </w:r>
      <w:r w:rsidRPr="00241C77">
        <w:rPr>
          <w:rFonts w:ascii="Times New Roman" w:hAnsi="Times New Roman" w:cs="Times New Roman"/>
          <w:sz w:val="24"/>
          <w:szCs w:val="24"/>
        </w:rPr>
        <w:t>demonstrated significantly higher odds of suppression relative to the youngest demographic (18–24 years). Educational attainment exhibited a similarly strong dose-response relationship, peaking among those with tertiary education (</w:t>
      </w:r>
      <w:proofErr w:type="spellStart"/>
      <w:r w:rsidRPr="00241C77">
        <w:rPr>
          <w:rFonts w:ascii="Times New Roman" w:hAnsi="Times New Roman" w:cs="Times New Roman"/>
          <w:sz w:val="24"/>
          <w:szCs w:val="24"/>
        </w:rPr>
        <w:t>cOR</w:t>
      </w:r>
      <w:proofErr w:type="spellEnd"/>
      <w:r w:rsidRPr="00241C77">
        <w:rPr>
          <w:rFonts w:ascii="Times New Roman" w:hAnsi="Times New Roman" w:cs="Times New Roman"/>
          <w:sz w:val="24"/>
          <w:szCs w:val="24"/>
        </w:rPr>
        <w:t xml:space="preserve"> = 1.83; p = .023). Marital status also heavily moderated patient vulnerability; never-married individuals experienced a 27% decrease in the crude odds of suppression compared to their married counterparts (</w:t>
      </w:r>
      <w:proofErr w:type="spellStart"/>
      <w:r w:rsidRPr="00241C77">
        <w:rPr>
          <w:rFonts w:ascii="Times New Roman" w:hAnsi="Times New Roman" w:cs="Times New Roman"/>
          <w:sz w:val="24"/>
          <w:szCs w:val="24"/>
        </w:rPr>
        <w:t>cOR</w:t>
      </w:r>
      <w:proofErr w:type="spellEnd"/>
      <w:r w:rsidRPr="00241C77">
        <w:rPr>
          <w:rFonts w:ascii="Times New Roman" w:hAnsi="Times New Roman" w:cs="Times New Roman"/>
          <w:sz w:val="24"/>
          <w:szCs w:val="24"/>
        </w:rPr>
        <w:t xml:space="preserve"> = 0.73; p = .013), underscoring the theoretical importance of partnership-based treatment support.</w:t>
      </w:r>
    </w:p>
    <w:p w14:paraId="41AE53B2" w14:textId="77777777" w:rsidR="003163B4" w:rsidRPr="00241C77" w:rsidRDefault="003163B4" w:rsidP="003163B4">
      <w:pPr>
        <w:spacing w:line="480" w:lineRule="auto"/>
        <w:jc w:val="both"/>
        <w:rPr>
          <w:rFonts w:ascii="Times New Roman" w:hAnsi="Times New Roman" w:cs="Times New Roman"/>
          <w:sz w:val="24"/>
          <w:szCs w:val="24"/>
        </w:rPr>
      </w:pPr>
      <w:r w:rsidRPr="00241C77">
        <w:rPr>
          <w:rFonts w:ascii="Times New Roman" w:hAnsi="Times New Roman" w:cs="Times New Roman"/>
          <w:sz w:val="24"/>
          <w:szCs w:val="24"/>
        </w:rPr>
        <w:lastRenderedPageBreak/>
        <w:t>At the institutional level (Level 2), the univariable analysis confirmed the descriptive rural disadvantage noted in Phase 1. Patients receiving care in urban facilities had 31% higher odds of viral suppression compared to those in rural settings (</w:t>
      </w:r>
      <w:proofErr w:type="spellStart"/>
      <w:r w:rsidRPr="00241C77">
        <w:rPr>
          <w:rFonts w:ascii="Times New Roman" w:hAnsi="Times New Roman" w:cs="Times New Roman"/>
          <w:sz w:val="24"/>
          <w:szCs w:val="24"/>
        </w:rPr>
        <w:t>cOR</w:t>
      </w:r>
      <w:proofErr w:type="spellEnd"/>
      <w:r w:rsidRPr="00241C77">
        <w:rPr>
          <w:rFonts w:ascii="Times New Roman" w:hAnsi="Times New Roman" w:cs="Times New Roman"/>
          <w:sz w:val="24"/>
          <w:szCs w:val="24"/>
        </w:rPr>
        <w:t xml:space="preserve"> = 1.31; p = .007).</w:t>
      </w:r>
    </w:p>
    <w:p w14:paraId="57CDA2A3" w14:textId="77777777" w:rsidR="003163B4" w:rsidRDefault="003163B4" w:rsidP="003163B4">
      <w:pPr>
        <w:spacing w:line="480" w:lineRule="auto"/>
        <w:jc w:val="both"/>
        <w:rPr>
          <w:rFonts w:ascii="Times New Roman" w:hAnsi="Times New Roman" w:cs="Times New Roman"/>
          <w:sz w:val="24"/>
          <w:szCs w:val="24"/>
        </w:rPr>
      </w:pPr>
      <w:r w:rsidRPr="00241C77">
        <w:rPr>
          <w:rFonts w:ascii="Times New Roman" w:hAnsi="Times New Roman" w:cs="Times New Roman"/>
          <w:sz w:val="24"/>
          <w:szCs w:val="24"/>
        </w:rPr>
        <w:t>Based on the predefined p &lt; .25 entry criterion, variables including Baseline Viral Load, MMD, Age, Sex, Marital Status, Education, Employment, Regimen, Facility Location, and Facility Tier empirically qualified for advancement. Furthermore, to prevent residual confounding, established theoretical covariates that f</w:t>
      </w:r>
      <w:r>
        <w:rPr>
          <w:rFonts w:ascii="Times New Roman" w:hAnsi="Times New Roman" w:cs="Times New Roman"/>
          <w:sz w:val="24"/>
          <w:szCs w:val="24"/>
        </w:rPr>
        <w:t xml:space="preserve">ailed the statistical screening </w:t>
      </w:r>
      <w:r w:rsidRPr="00241C77">
        <w:rPr>
          <w:rFonts w:ascii="Times New Roman" w:hAnsi="Times New Roman" w:cs="Times New Roman"/>
          <w:sz w:val="24"/>
          <w:szCs w:val="24"/>
        </w:rPr>
        <w:t>specifically WHO Clinical Stage (p = .537) and Duration on ART (p = .645)</w:t>
      </w:r>
      <w:r>
        <w:rPr>
          <w:rFonts w:ascii="Times New Roman" w:hAnsi="Times New Roman" w:cs="Times New Roman"/>
          <w:sz w:val="24"/>
          <w:szCs w:val="24"/>
        </w:rPr>
        <w:t xml:space="preserve"> </w:t>
      </w:r>
      <w:r w:rsidRPr="00241C77">
        <w:rPr>
          <w:rFonts w:ascii="Times New Roman" w:hAnsi="Times New Roman" w:cs="Times New Roman"/>
          <w:sz w:val="24"/>
          <w:szCs w:val="24"/>
        </w:rPr>
        <w:t>were mandatorily retained for the multivariab</w:t>
      </w:r>
      <w:r>
        <w:rPr>
          <w:rFonts w:ascii="Times New Roman" w:hAnsi="Times New Roman" w:cs="Times New Roman"/>
          <w:sz w:val="24"/>
          <w:szCs w:val="24"/>
        </w:rPr>
        <w:t>le mixed-effects modeling phase.</w:t>
      </w:r>
    </w:p>
    <w:p w14:paraId="06E5324B" w14:textId="77777777" w:rsidR="003163B4" w:rsidRDefault="003163B4" w:rsidP="003163B4">
      <w:pPr>
        <w:spacing w:line="480" w:lineRule="auto"/>
        <w:jc w:val="both"/>
        <w:rPr>
          <w:rFonts w:ascii="Times New Roman" w:hAnsi="Times New Roman" w:cs="Times New Roman"/>
          <w:b/>
          <w:bCs/>
          <w:sz w:val="24"/>
          <w:szCs w:val="24"/>
        </w:rPr>
      </w:pPr>
      <w:r w:rsidRPr="00241C77">
        <w:rPr>
          <w:rFonts w:ascii="Times New Roman" w:hAnsi="Times New Roman" w:cs="Times New Roman"/>
          <w:b/>
          <w:bCs/>
          <w:sz w:val="24"/>
          <w:szCs w:val="24"/>
        </w:rPr>
        <w:t>4.2.4 Phase 3 and 4: Multilevel Analysis Results</w:t>
      </w:r>
    </w:p>
    <w:p w14:paraId="21C70A04" w14:textId="77777777" w:rsidR="003163B4" w:rsidRPr="00B25D2C" w:rsidRDefault="003163B4" w:rsidP="003163B4">
      <w:pPr>
        <w:spacing w:line="480" w:lineRule="auto"/>
        <w:jc w:val="both"/>
        <w:rPr>
          <w:rFonts w:ascii="Times New Roman" w:hAnsi="Times New Roman" w:cs="Times New Roman"/>
          <w:bCs/>
          <w:sz w:val="24"/>
          <w:szCs w:val="24"/>
        </w:rPr>
      </w:pPr>
      <w:r w:rsidRPr="00B25D2C">
        <w:rPr>
          <w:rFonts w:ascii="Times New Roman" w:hAnsi="Times New Roman" w:cs="Times New Roman"/>
          <w:bCs/>
          <w:sz w:val="24"/>
          <w:szCs w:val="24"/>
        </w:rPr>
        <w:t xml:space="preserve">Building upon the bivariate screening, this section details the results of the multilevel logistic regression models employed to isolate the independent determinants of viral load suppression. The analytical sequence progresses from an intercept-only null model (Phase 3) to comprehensive multivariable frameworks (Phase 4) that account for the hierarchical nesting of patients within treatment facilities. This approach ensures a </w:t>
      </w:r>
      <w:r w:rsidR="00B946E1">
        <w:rPr>
          <w:rFonts w:ascii="Times New Roman" w:hAnsi="Times New Roman" w:cs="Times New Roman"/>
          <w:bCs/>
          <w:sz w:val="24"/>
          <w:szCs w:val="24"/>
        </w:rPr>
        <w:t>statistical</w:t>
      </w:r>
      <w:r w:rsidRPr="00B25D2C">
        <w:rPr>
          <w:rFonts w:ascii="Times New Roman" w:hAnsi="Times New Roman" w:cs="Times New Roman"/>
          <w:bCs/>
          <w:sz w:val="24"/>
          <w:szCs w:val="24"/>
        </w:rPr>
        <w:t xml:space="preserve"> rigorous estimation of adjusted odds ratios by simultaneously controlling for individual-level clinical predictors and facility-level structural variances.</w:t>
      </w:r>
    </w:p>
    <w:p w14:paraId="6BD7F9B7" w14:textId="77777777" w:rsidR="003163B4" w:rsidRPr="001D17EC" w:rsidRDefault="003163B4" w:rsidP="003163B4">
      <w:pPr>
        <w:spacing w:before="100" w:beforeAutospacing="1" w:after="100" w:afterAutospacing="1" w:line="480" w:lineRule="auto"/>
        <w:jc w:val="both"/>
        <w:rPr>
          <w:rFonts w:ascii="Times New Roman" w:eastAsia="Times New Roman" w:hAnsi="Times New Roman" w:cs="Times New Roman"/>
          <w:b/>
          <w:sz w:val="24"/>
          <w:szCs w:val="24"/>
        </w:rPr>
      </w:pPr>
      <w:r w:rsidRPr="001D17EC">
        <w:rPr>
          <w:rFonts w:ascii="Times New Roman" w:eastAsia="Times New Roman" w:hAnsi="Times New Roman" w:cs="Times New Roman"/>
          <w:b/>
          <w:sz w:val="24"/>
          <w:szCs w:val="24"/>
        </w:rPr>
        <w:t>4.2.4.1 Null Model: Quantifying Facility-Level Variance</w:t>
      </w:r>
    </w:p>
    <w:p w14:paraId="5793DF82" w14:textId="77777777" w:rsidR="003163B4" w:rsidRPr="001D17EC" w:rsidRDefault="003163B4" w:rsidP="003163B4">
      <w:pPr>
        <w:spacing w:before="100" w:beforeAutospacing="1" w:after="100" w:afterAutospacing="1" w:line="480" w:lineRule="auto"/>
        <w:jc w:val="both"/>
        <w:rPr>
          <w:rFonts w:ascii="Times New Roman" w:eastAsia="Times New Roman" w:hAnsi="Times New Roman" w:cs="Times New Roman"/>
          <w:sz w:val="24"/>
          <w:szCs w:val="24"/>
        </w:rPr>
      </w:pPr>
      <w:r w:rsidRPr="001D17EC">
        <w:rPr>
          <w:rFonts w:ascii="Times New Roman" w:eastAsia="Times New Roman" w:hAnsi="Times New Roman" w:cs="Times New Roman"/>
          <w:sz w:val="24"/>
          <w:szCs w:val="24"/>
        </w:rPr>
        <w:t xml:space="preserve">Prior to the introduction of fixed effects, an intercept-only null model (Phase 3) was fitted to partition the total variance in viral load suppression between the individual patient level (Level 1) and the facility level (Level 2). This step is </w:t>
      </w:r>
      <w:r w:rsidR="00B946E1">
        <w:rPr>
          <w:rFonts w:ascii="Times New Roman" w:eastAsia="Times New Roman" w:hAnsi="Times New Roman" w:cs="Times New Roman"/>
          <w:sz w:val="24"/>
          <w:szCs w:val="24"/>
        </w:rPr>
        <w:t>statistically</w:t>
      </w:r>
      <w:r w:rsidRPr="001D17EC">
        <w:rPr>
          <w:rFonts w:ascii="Times New Roman" w:eastAsia="Times New Roman" w:hAnsi="Times New Roman" w:cs="Times New Roman"/>
          <w:sz w:val="24"/>
          <w:szCs w:val="24"/>
        </w:rPr>
        <w:t xml:space="preserve"> essential to establish the baseline institutional heterogeneity across the care cascade.</w:t>
      </w:r>
    </w:p>
    <w:p w14:paraId="5EF26C25" w14:textId="77777777" w:rsidR="003163B4" w:rsidRPr="001D17EC" w:rsidRDefault="003163B4" w:rsidP="003163B4">
      <w:pPr>
        <w:spacing w:before="100" w:beforeAutospacing="1" w:after="0" w:line="480" w:lineRule="auto"/>
        <w:jc w:val="both"/>
        <w:rPr>
          <w:rFonts w:ascii="Times New Roman" w:eastAsia="Times New Roman" w:hAnsi="Times New Roman" w:cs="Times New Roman"/>
          <w:b/>
          <w:sz w:val="24"/>
          <w:szCs w:val="24"/>
        </w:rPr>
      </w:pPr>
      <w:r w:rsidRPr="001D17EC">
        <w:rPr>
          <w:rFonts w:ascii="Times New Roman" w:eastAsia="Times New Roman" w:hAnsi="Times New Roman" w:cs="Times New Roman"/>
          <w:b/>
          <w:sz w:val="24"/>
          <w:szCs w:val="24"/>
        </w:rPr>
        <w:lastRenderedPageBreak/>
        <w:t>Table 4.7: Null Model Variance Parameters for Viral Load Suppression</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588"/>
        <w:gridCol w:w="906"/>
      </w:tblGrid>
      <w:tr w:rsidR="003163B4" w:rsidRPr="001D17EC" w14:paraId="5B9D3246" w14:textId="77777777" w:rsidTr="00496CBB">
        <w:trPr>
          <w:tblHeader/>
          <w:tblCellSpacing w:w="15" w:type="dxa"/>
        </w:trPr>
        <w:tc>
          <w:tcPr>
            <w:tcW w:w="0" w:type="auto"/>
            <w:vAlign w:val="center"/>
            <w:hideMark/>
          </w:tcPr>
          <w:p w14:paraId="152BB331" w14:textId="77777777" w:rsidR="003163B4" w:rsidRPr="001D17EC" w:rsidRDefault="003163B4" w:rsidP="00496CBB">
            <w:pPr>
              <w:spacing w:after="0" w:line="240" w:lineRule="auto"/>
              <w:jc w:val="both"/>
              <w:rPr>
                <w:rFonts w:ascii="Times New Roman" w:eastAsia="Times New Roman" w:hAnsi="Times New Roman" w:cs="Times New Roman"/>
                <w:b/>
                <w:bCs/>
              </w:rPr>
            </w:pPr>
            <w:r w:rsidRPr="001D17EC">
              <w:rPr>
                <w:rFonts w:ascii="Times New Roman" w:eastAsia="Times New Roman" w:hAnsi="Times New Roman" w:cs="Times New Roman"/>
                <w:b/>
                <w:bCs/>
              </w:rPr>
              <w:t>Parameter</w:t>
            </w:r>
          </w:p>
        </w:tc>
        <w:tc>
          <w:tcPr>
            <w:tcW w:w="0" w:type="auto"/>
            <w:vAlign w:val="center"/>
            <w:hideMark/>
          </w:tcPr>
          <w:p w14:paraId="488619EB" w14:textId="77777777" w:rsidR="003163B4" w:rsidRPr="001D17EC" w:rsidRDefault="003163B4" w:rsidP="00496CBB">
            <w:pPr>
              <w:spacing w:after="0" w:line="240" w:lineRule="auto"/>
              <w:jc w:val="both"/>
              <w:rPr>
                <w:rFonts w:ascii="Times New Roman" w:eastAsia="Times New Roman" w:hAnsi="Times New Roman" w:cs="Times New Roman"/>
                <w:b/>
                <w:bCs/>
              </w:rPr>
            </w:pPr>
            <w:r w:rsidRPr="001D17EC">
              <w:rPr>
                <w:rFonts w:ascii="Times New Roman" w:eastAsia="Times New Roman" w:hAnsi="Times New Roman" w:cs="Times New Roman"/>
                <w:b/>
                <w:bCs/>
              </w:rPr>
              <w:t>Estimate</w:t>
            </w:r>
          </w:p>
        </w:tc>
      </w:tr>
      <w:tr w:rsidR="003163B4" w:rsidRPr="001D17EC" w14:paraId="7F999B4C" w14:textId="77777777" w:rsidTr="00496CBB">
        <w:trPr>
          <w:tblCellSpacing w:w="15" w:type="dxa"/>
        </w:trPr>
        <w:tc>
          <w:tcPr>
            <w:tcW w:w="0" w:type="auto"/>
            <w:tcBorders>
              <w:top w:val="single" w:sz="4" w:space="0" w:color="auto"/>
            </w:tcBorders>
            <w:vAlign w:val="center"/>
            <w:hideMark/>
          </w:tcPr>
          <w:p w14:paraId="389E8278" w14:textId="77777777" w:rsidR="003163B4" w:rsidRPr="001D17EC" w:rsidRDefault="003163B4" w:rsidP="00496CBB">
            <w:pPr>
              <w:spacing w:after="0" w:line="240" w:lineRule="auto"/>
              <w:jc w:val="both"/>
              <w:rPr>
                <w:rFonts w:ascii="Times New Roman" w:eastAsia="Times New Roman" w:hAnsi="Times New Roman" w:cs="Times New Roman"/>
              </w:rPr>
            </w:pPr>
            <w:r w:rsidRPr="001D17EC">
              <w:rPr>
                <w:rFonts w:ascii="Times New Roman" w:eastAsia="Times New Roman" w:hAnsi="Times New Roman" w:cs="Times New Roman"/>
              </w:rPr>
              <w:t>Between-Facility Variance (τ²)</w:t>
            </w:r>
          </w:p>
        </w:tc>
        <w:tc>
          <w:tcPr>
            <w:tcW w:w="0" w:type="auto"/>
            <w:tcBorders>
              <w:top w:val="single" w:sz="4" w:space="0" w:color="auto"/>
            </w:tcBorders>
            <w:vAlign w:val="center"/>
            <w:hideMark/>
          </w:tcPr>
          <w:p w14:paraId="340003AC" w14:textId="77777777" w:rsidR="003163B4" w:rsidRPr="001D17EC" w:rsidRDefault="003163B4" w:rsidP="00496CBB">
            <w:pPr>
              <w:spacing w:after="0" w:line="240" w:lineRule="auto"/>
              <w:jc w:val="both"/>
              <w:rPr>
                <w:rFonts w:ascii="Times New Roman" w:eastAsia="Times New Roman" w:hAnsi="Times New Roman" w:cs="Times New Roman"/>
              </w:rPr>
            </w:pPr>
            <w:r w:rsidRPr="001D17EC">
              <w:rPr>
                <w:rFonts w:ascii="Times New Roman" w:eastAsia="Times New Roman" w:hAnsi="Times New Roman" w:cs="Times New Roman"/>
              </w:rPr>
              <w:t>0.107</w:t>
            </w:r>
          </w:p>
        </w:tc>
      </w:tr>
      <w:tr w:rsidR="003163B4" w:rsidRPr="001D17EC" w14:paraId="17527C64" w14:textId="77777777" w:rsidTr="00496CBB">
        <w:trPr>
          <w:tblCellSpacing w:w="15" w:type="dxa"/>
        </w:trPr>
        <w:tc>
          <w:tcPr>
            <w:tcW w:w="0" w:type="auto"/>
            <w:vAlign w:val="center"/>
            <w:hideMark/>
          </w:tcPr>
          <w:p w14:paraId="42E7AD31" w14:textId="77777777" w:rsidR="003163B4" w:rsidRPr="001D17EC" w:rsidRDefault="003163B4" w:rsidP="00496CBB">
            <w:pPr>
              <w:spacing w:after="0" w:line="240" w:lineRule="auto"/>
              <w:jc w:val="both"/>
              <w:rPr>
                <w:rFonts w:ascii="Times New Roman" w:eastAsia="Times New Roman" w:hAnsi="Times New Roman" w:cs="Times New Roman"/>
              </w:rPr>
            </w:pPr>
            <w:r w:rsidRPr="001D17EC">
              <w:rPr>
                <w:rFonts w:ascii="Times New Roman" w:eastAsia="Times New Roman" w:hAnsi="Times New Roman" w:cs="Times New Roman"/>
              </w:rPr>
              <w:t>Intraclass Correlation Coefficient (ICC)</w:t>
            </w:r>
          </w:p>
        </w:tc>
        <w:tc>
          <w:tcPr>
            <w:tcW w:w="0" w:type="auto"/>
            <w:vAlign w:val="center"/>
            <w:hideMark/>
          </w:tcPr>
          <w:p w14:paraId="4CEC10EF" w14:textId="77777777" w:rsidR="003163B4" w:rsidRPr="001D17EC" w:rsidRDefault="003163B4" w:rsidP="00496CBB">
            <w:pPr>
              <w:spacing w:after="0" w:line="240" w:lineRule="auto"/>
              <w:jc w:val="both"/>
              <w:rPr>
                <w:rFonts w:ascii="Times New Roman" w:eastAsia="Times New Roman" w:hAnsi="Times New Roman" w:cs="Times New Roman"/>
              </w:rPr>
            </w:pPr>
            <w:r w:rsidRPr="001D17EC">
              <w:rPr>
                <w:rFonts w:ascii="Times New Roman" w:eastAsia="Times New Roman" w:hAnsi="Times New Roman" w:cs="Times New Roman"/>
              </w:rPr>
              <w:t>3.16%</w:t>
            </w:r>
          </w:p>
        </w:tc>
      </w:tr>
      <w:tr w:rsidR="003163B4" w:rsidRPr="001D17EC" w14:paraId="1897A596" w14:textId="77777777" w:rsidTr="00496CBB">
        <w:trPr>
          <w:tblCellSpacing w:w="15" w:type="dxa"/>
        </w:trPr>
        <w:tc>
          <w:tcPr>
            <w:tcW w:w="0" w:type="auto"/>
            <w:vAlign w:val="center"/>
            <w:hideMark/>
          </w:tcPr>
          <w:p w14:paraId="527ABA74" w14:textId="77777777" w:rsidR="003163B4" w:rsidRPr="001D17EC" w:rsidRDefault="003163B4" w:rsidP="00496CBB">
            <w:pPr>
              <w:spacing w:after="0" w:line="240" w:lineRule="auto"/>
              <w:jc w:val="both"/>
              <w:rPr>
                <w:rFonts w:ascii="Times New Roman" w:eastAsia="Times New Roman" w:hAnsi="Times New Roman" w:cs="Times New Roman"/>
              </w:rPr>
            </w:pPr>
            <w:r w:rsidRPr="001D17EC">
              <w:rPr>
                <w:rFonts w:ascii="Times New Roman" w:eastAsia="Times New Roman" w:hAnsi="Times New Roman" w:cs="Times New Roman"/>
              </w:rPr>
              <w:t>Median Odds Ratio (MOR)</w:t>
            </w:r>
          </w:p>
        </w:tc>
        <w:tc>
          <w:tcPr>
            <w:tcW w:w="0" w:type="auto"/>
            <w:vAlign w:val="center"/>
            <w:hideMark/>
          </w:tcPr>
          <w:p w14:paraId="494FE1D6" w14:textId="77777777" w:rsidR="003163B4" w:rsidRPr="001D17EC" w:rsidRDefault="003163B4" w:rsidP="00496CBB">
            <w:pPr>
              <w:spacing w:after="0" w:line="240" w:lineRule="auto"/>
              <w:jc w:val="both"/>
              <w:rPr>
                <w:rFonts w:ascii="Times New Roman" w:eastAsia="Times New Roman" w:hAnsi="Times New Roman" w:cs="Times New Roman"/>
              </w:rPr>
            </w:pPr>
            <w:r w:rsidRPr="001D17EC">
              <w:rPr>
                <w:rFonts w:ascii="Times New Roman" w:eastAsia="Times New Roman" w:hAnsi="Times New Roman" w:cs="Times New Roman"/>
              </w:rPr>
              <w:t>1.36</w:t>
            </w:r>
            <w:r w:rsidR="001C6DEB">
              <w:rPr>
                <w:rFonts w:ascii="Times New Roman" w:eastAsia="Times New Roman" w:hAnsi="Times New Roman" w:cs="Times New Roman"/>
              </w:rPr>
              <w:t>5</w:t>
            </w:r>
          </w:p>
        </w:tc>
      </w:tr>
    </w:tbl>
    <w:p w14:paraId="0CB832FA" w14:textId="77777777" w:rsidR="003163B4" w:rsidRPr="001D17EC" w:rsidRDefault="003163B4" w:rsidP="003163B4">
      <w:pPr>
        <w:spacing w:after="100" w:afterAutospacing="1" w:line="480" w:lineRule="auto"/>
        <w:jc w:val="both"/>
        <w:rPr>
          <w:rFonts w:ascii="Times New Roman" w:eastAsia="Times New Roman" w:hAnsi="Times New Roman" w:cs="Times New Roman"/>
          <w:sz w:val="24"/>
          <w:szCs w:val="24"/>
        </w:rPr>
      </w:pPr>
      <w:r w:rsidRPr="001D17EC">
        <w:rPr>
          <w:rFonts w:ascii="Times New Roman" w:eastAsia="Times New Roman" w:hAnsi="Times New Roman" w:cs="Times New Roman"/>
          <w:sz w:val="24"/>
          <w:szCs w:val="24"/>
        </w:rPr>
        <w:t>Source: Researcher’s Computation (2026)</w:t>
      </w:r>
    </w:p>
    <w:p w14:paraId="11885F3D" w14:textId="77777777" w:rsidR="003163B4" w:rsidRPr="001D17EC" w:rsidRDefault="003163B4" w:rsidP="003163B4">
      <w:pPr>
        <w:spacing w:before="100" w:beforeAutospacing="1" w:after="100" w:afterAutospacing="1" w:line="480" w:lineRule="auto"/>
        <w:jc w:val="both"/>
        <w:rPr>
          <w:rFonts w:ascii="Times New Roman" w:eastAsia="Times New Roman" w:hAnsi="Times New Roman" w:cs="Times New Roman"/>
          <w:sz w:val="24"/>
          <w:szCs w:val="24"/>
        </w:rPr>
      </w:pPr>
      <w:r w:rsidRPr="001D17EC">
        <w:rPr>
          <w:rFonts w:ascii="Times New Roman" w:eastAsia="Times New Roman" w:hAnsi="Times New Roman" w:cs="Times New Roman"/>
          <w:sz w:val="24"/>
          <w:szCs w:val="24"/>
        </w:rPr>
        <w:t xml:space="preserve">The Intraclass Correlation Coefficient (ICC) of 3.16% empirically justifies the utilization of a multilevel framework for this </w:t>
      </w:r>
      <w:r w:rsidR="004B6F07">
        <w:rPr>
          <w:rFonts w:ascii="Times New Roman" w:eastAsia="Times New Roman" w:hAnsi="Times New Roman" w:cs="Times New Roman"/>
          <w:sz w:val="24"/>
          <w:szCs w:val="24"/>
        </w:rPr>
        <w:t>study</w:t>
      </w:r>
      <w:r w:rsidRPr="001D17EC">
        <w:rPr>
          <w:rFonts w:ascii="Times New Roman" w:eastAsia="Times New Roman" w:hAnsi="Times New Roman" w:cs="Times New Roman"/>
          <w:sz w:val="24"/>
          <w:szCs w:val="24"/>
        </w:rPr>
        <w:t>. It confirms that patient observations are not strictly independent; approximately 3.16% of the total variance in viral load suppression is attributable to clustering within the 35 specific healthcare facilities. While modest in absolute terms, this variance violates the assumptions of standard logistic regression, mandating a hierarchical approach.</w:t>
      </w:r>
    </w:p>
    <w:p w14:paraId="37BA6667" w14:textId="77777777" w:rsidR="003163B4" w:rsidRPr="001D17EC" w:rsidRDefault="003163B4" w:rsidP="003163B4">
      <w:pPr>
        <w:spacing w:before="100" w:beforeAutospacing="1" w:after="100" w:afterAutospacing="1" w:line="480" w:lineRule="auto"/>
        <w:jc w:val="both"/>
        <w:rPr>
          <w:rFonts w:ascii="Times New Roman" w:eastAsia="Times New Roman" w:hAnsi="Times New Roman" w:cs="Times New Roman"/>
          <w:sz w:val="24"/>
          <w:szCs w:val="24"/>
        </w:rPr>
      </w:pPr>
      <w:r w:rsidRPr="001D17EC">
        <w:rPr>
          <w:rFonts w:ascii="Times New Roman" w:eastAsia="Times New Roman" w:hAnsi="Times New Roman" w:cs="Times New Roman"/>
          <w:sz w:val="24"/>
          <w:szCs w:val="24"/>
        </w:rPr>
        <w:t xml:space="preserve">Furthermore, the Median Odds Ratio (MOR) provides a clinically intuitive translation of this variance. An MOR of 1.365 signifies that if a patient were randomly transferred from a facility with a systematically lower suppression probability to one with a higher probability, their odds of achieving virologic </w:t>
      </w:r>
      <w:r>
        <w:rPr>
          <w:rFonts w:ascii="Times New Roman" w:eastAsia="Times New Roman" w:hAnsi="Times New Roman" w:cs="Times New Roman"/>
          <w:sz w:val="24"/>
          <w:szCs w:val="24"/>
        </w:rPr>
        <w:t xml:space="preserve">success would increase by 36.5% </w:t>
      </w:r>
      <w:r w:rsidRPr="001D17EC">
        <w:rPr>
          <w:rFonts w:ascii="Times New Roman" w:eastAsia="Times New Roman" w:hAnsi="Times New Roman" w:cs="Times New Roman"/>
          <w:sz w:val="24"/>
          <w:szCs w:val="24"/>
        </w:rPr>
        <w:t xml:space="preserve">solely due to institutional context. This </w:t>
      </w:r>
      <w:r>
        <w:rPr>
          <w:rFonts w:ascii="Times New Roman" w:eastAsia="Times New Roman" w:hAnsi="Times New Roman" w:cs="Times New Roman"/>
          <w:sz w:val="24"/>
          <w:szCs w:val="24"/>
        </w:rPr>
        <w:t>statistically</w:t>
      </w:r>
      <w:r w:rsidRPr="001D17EC">
        <w:rPr>
          <w:rFonts w:ascii="Times New Roman" w:eastAsia="Times New Roman" w:hAnsi="Times New Roman" w:cs="Times New Roman"/>
          <w:sz w:val="24"/>
          <w:szCs w:val="24"/>
        </w:rPr>
        <w:t xml:space="preserve"> confirms that the facility environment exerts a non-negligible baseline effect on patient outcomes, which must be formally accounted for before individual-level predictors can be accurately isolated.</w:t>
      </w:r>
    </w:p>
    <w:p w14:paraId="04F73C96" w14:textId="77777777" w:rsidR="003163B4" w:rsidRPr="00E40DC6" w:rsidRDefault="003163B4" w:rsidP="003163B4">
      <w:pPr>
        <w:spacing w:line="480" w:lineRule="auto"/>
        <w:jc w:val="both"/>
        <w:rPr>
          <w:rFonts w:ascii="Times New Roman" w:hAnsi="Times New Roman" w:cs="Times New Roman"/>
          <w:b/>
          <w:sz w:val="24"/>
          <w:szCs w:val="24"/>
        </w:rPr>
      </w:pPr>
      <w:r w:rsidRPr="00E40DC6">
        <w:rPr>
          <w:rFonts w:ascii="Times New Roman" w:hAnsi="Times New Roman" w:cs="Times New Roman"/>
          <w:b/>
          <w:sz w:val="24"/>
          <w:szCs w:val="24"/>
        </w:rPr>
        <w:t>4.2.4.2 Model Comparison and Structural Findings</w:t>
      </w:r>
    </w:p>
    <w:p w14:paraId="1BDBFEB1" w14:textId="77777777" w:rsidR="003163B4" w:rsidRPr="001D17EC" w:rsidRDefault="003163B4" w:rsidP="003163B4">
      <w:pPr>
        <w:spacing w:line="480" w:lineRule="auto"/>
        <w:jc w:val="both"/>
        <w:rPr>
          <w:rFonts w:ascii="Times New Roman" w:hAnsi="Times New Roman" w:cs="Times New Roman"/>
          <w:sz w:val="24"/>
          <w:szCs w:val="24"/>
        </w:rPr>
      </w:pPr>
      <w:r w:rsidRPr="001D17EC">
        <w:rPr>
          <w:rFonts w:ascii="Times New Roman" w:hAnsi="Times New Roman" w:cs="Times New Roman"/>
          <w:sz w:val="24"/>
          <w:szCs w:val="24"/>
        </w:rPr>
        <w:t>To determine the specific drivers of this institutional variance, two mixed-effects models were fitted: Model 1 (Individual and Clinical factors only) and Model 2 (Individual + Facility factors). A Likelihood Ratio Test was conducted to compare the predictive fit of the two models.</w:t>
      </w:r>
    </w:p>
    <w:p w14:paraId="61C6889E" w14:textId="77777777" w:rsidR="003163B4" w:rsidRPr="001D17EC" w:rsidRDefault="003163B4" w:rsidP="003163B4">
      <w:pPr>
        <w:spacing w:line="480" w:lineRule="auto"/>
        <w:jc w:val="both"/>
        <w:rPr>
          <w:rFonts w:ascii="Times New Roman" w:hAnsi="Times New Roman" w:cs="Times New Roman"/>
          <w:sz w:val="24"/>
          <w:szCs w:val="24"/>
        </w:rPr>
      </w:pPr>
      <w:r w:rsidRPr="001D17EC">
        <w:rPr>
          <w:rFonts w:ascii="Times New Roman" w:hAnsi="Times New Roman" w:cs="Times New Roman"/>
          <w:sz w:val="24"/>
          <w:szCs w:val="24"/>
        </w:rPr>
        <w:lastRenderedPageBreak/>
        <w:t>The test yielded a non-significant result (χ</w:t>
      </w:r>
      <w:proofErr w:type="gramStart"/>
      <w:r w:rsidRPr="001D17EC">
        <w:rPr>
          <w:rFonts w:ascii="Times New Roman" w:hAnsi="Times New Roman" w:cs="Times New Roman"/>
          <w:sz w:val="24"/>
          <w:szCs w:val="24"/>
        </w:rPr>
        <w:t>²(</w:t>
      </w:r>
      <w:proofErr w:type="gramEnd"/>
      <w:r w:rsidRPr="001D17EC">
        <w:rPr>
          <w:rFonts w:ascii="Times New Roman" w:hAnsi="Times New Roman" w:cs="Times New Roman"/>
          <w:sz w:val="24"/>
          <w:szCs w:val="24"/>
        </w:rPr>
        <w:t>3) = 2.696, p = .441), establishing that the addition of broad facility structural predictors (Location, Tier, and Ownership) did not significantly improve the model's predictive capacity over individual facto</w:t>
      </w:r>
      <w:r>
        <w:rPr>
          <w:rFonts w:ascii="Times New Roman" w:hAnsi="Times New Roman" w:cs="Times New Roman"/>
          <w:sz w:val="24"/>
          <w:szCs w:val="24"/>
        </w:rPr>
        <w:t xml:space="preserve">rs alone. Consequently, Model 1 </w:t>
      </w:r>
      <w:r w:rsidRPr="001D17EC">
        <w:rPr>
          <w:rFonts w:ascii="Times New Roman" w:hAnsi="Times New Roman" w:cs="Times New Roman"/>
          <w:sz w:val="24"/>
          <w:szCs w:val="24"/>
        </w:rPr>
        <w:t>which exhibited a lower Akaike Information Criterion (AIC = 3335.3 compared to Model 2's 3338.6)</w:t>
      </w:r>
      <w:r>
        <w:rPr>
          <w:rFonts w:ascii="Times New Roman" w:hAnsi="Times New Roman" w:cs="Times New Roman"/>
          <w:sz w:val="24"/>
          <w:szCs w:val="24"/>
        </w:rPr>
        <w:t xml:space="preserve"> </w:t>
      </w:r>
      <w:r w:rsidRPr="001D17EC">
        <w:rPr>
          <w:rFonts w:ascii="Times New Roman" w:hAnsi="Times New Roman" w:cs="Times New Roman"/>
          <w:sz w:val="24"/>
          <w:szCs w:val="24"/>
        </w:rPr>
        <w:t>provides the most parsimonious explanation for virologic success. From a public health policy perspective, this empirical finding is critical: it demonstrates that the clinical and sociodemographic characteristics a patient brings to care far outweigh whether the care facility is urban, rural, public, or private.</w:t>
      </w:r>
    </w:p>
    <w:p w14:paraId="1873F7B5" w14:textId="77777777" w:rsidR="003163B4" w:rsidRPr="00B070D5" w:rsidRDefault="003163B4" w:rsidP="003163B4">
      <w:pPr>
        <w:spacing w:line="480" w:lineRule="auto"/>
        <w:jc w:val="both"/>
        <w:rPr>
          <w:rFonts w:ascii="Times New Roman" w:hAnsi="Times New Roman" w:cs="Times New Roman"/>
          <w:b/>
          <w:sz w:val="24"/>
          <w:szCs w:val="24"/>
        </w:rPr>
      </w:pPr>
      <w:r w:rsidRPr="00B070D5">
        <w:rPr>
          <w:rFonts w:ascii="Times New Roman" w:hAnsi="Times New Roman" w:cs="Times New Roman"/>
          <w:b/>
          <w:sz w:val="24"/>
          <w:szCs w:val="24"/>
        </w:rPr>
        <w:t>4.2.4.3 Multilevel Determinants of Viral Load Suppression</w:t>
      </w:r>
    </w:p>
    <w:p w14:paraId="33F29A38" w14:textId="77777777" w:rsidR="003163B4" w:rsidRPr="001D17EC" w:rsidRDefault="003163B4" w:rsidP="003163B4">
      <w:pPr>
        <w:spacing w:line="480" w:lineRule="auto"/>
        <w:jc w:val="both"/>
        <w:rPr>
          <w:rFonts w:ascii="Times New Roman" w:hAnsi="Times New Roman" w:cs="Times New Roman"/>
          <w:sz w:val="24"/>
          <w:szCs w:val="24"/>
        </w:rPr>
      </w:pPr>
      <w:r w:rsidRPr="001D17EC">
        <w:rPr>
          <w:rFonts w:ascii="Times New Roman" w:hAnsi="Times New Roman" w:cs="Times New Roman"/>
          <w:sz w:val="24"/>
          <w:szCs w:val="24"/>
        </w:rPr>
        <w:t>Table 4.8 presents the fully adjusted odds ratios (</w:t>
      </w:r>
      <w:proofErr w:type="spellStart"/>
      <w:r w:rsidRPr="001D17EC">
        <w:rPr>
          <w:rFonts w:ascii="Times New Roman" w:hAnsi="Times New Roman" w:cs="Times New Roman"/>
          <w:sz w:val="24"/>
          <w:szCs w:val="24"/>
        </w:rPr>
        <w:t>aOR</w:t>
      </w:r>
      <w:proofErr w:type="spellEnd"/>
      <w:r w:rsidRPr="001D17EC">
        <w:rPr>
          <w:rFonts w:ascii="Times New Roman" w:hAnsi="Times New Roman" w:cs="Times New Roman"/>
          <w:sz w:val="24"/>
          <w:szCs w:val="24"/>
        </w:rPr>
        <w:t>) for the side-by-side multilevel logistic regression models.</w:t>
      </w:r>
    </w:p>
    <w:p w14:paraId="7D132A69" w14:textId="77777777" w:rsidR="003163B4" w:rsidRPr="00B070D5" w:rsidRDefault="003163B4" w:rsidP="0055187F">
      <w:pPr>
        <w:spacing w:line="240" w:lineRule="auto"/>
        <w:jc w:val="both"/>
        <w:rPr>
          <w:rFonts w:ascii="Times New Roman" w:hAnsi="Times New Roman" w:cs="Times New Roman"/>
          <w:b/>
          <w:sz w:val="24"/>
          <w:szCs w:val="24"/>
        </w:rPr>
      </w:pPr>
      <w:r w:rsidRPr="00B070D5">
        <w:rPr>
          <w:rFonts w:ascii="Times New Roman" w:hAnsi="Times New Roman" w:cs="Times New Roman"/>
          <w:b/>
          <w:sz w:val="24"/>
          <w:szCs w:val="24"/>
        </w:rPr>
        <w:t>Table 4.8: Multilevel Mixed-Effects Logistic Regression Models (N = 7,029)</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963"/>
        <w:gridCol w:w="3326"/>
        <w:gridCol w:w="3071"/>
      </w:tblGrid>
      <w:tr w:rsidR="003163B4" w:rsidRPr="001D17EC" w14:paraId="6AA7308B" w14:textId="77777777" w:rsidTr="00496CBB">
        <w:trPr>
          <w:tblHeader/>
          <w:tblCellSpacing w:w="15" w:type="dxa"/>
        </w:trPr>
        <w:tc>
          <w:tcPr>
            <w:tcW w:w="0" w:type="auto"/>
            <w:vAlign w:val="center"/>
            <w:hideMark/>
          </w:tcPr>
          <w:p w14:paraId="634EF6B4" w14:textId="77777777" w:rsidR="003163B4" w:rsidRPr="00B070D5" w:rsidRDefault="003163B4" w:rsidP="00496CBB">
            <w:pPr>
              <w:spacing w:after="0" w:line="240" w:lineRule="auto"/>
              <w:rPr>
                <w:rFonts w:ascii="Times New Roman" w:hAnsi="Times New Roman" w:cs="Times New Roman"/>
                <w:b/>
                <w:bCs/>
                <w:sz w:val="20"/>
                <w:szCs w:val="20"/>
              </w:rPr>
            </w:pPr>
            <w:r w:rsidRPr="00B070D5">
              <w:rPr>
                <w:rFonts w:ascii="Times New Roman" w:hAnsi="Times New Roman" w:cs="Times New Roman"/>
                <w:b/>
                <w:bCs/>
                <w:sz w:val="20"/>
                <w:szCs w:val="20"/>
              </w:rPr>
              <w:t>Characteristic</w:t>
            </w:r>
          </w:p>
        </w:tc>
        <w:tc>
          <w:tcPr>
            <w:tcW w:w="0" w:type="auto"/>
            <w:vAlign w:val="center"/>
            <w:hideMark/>
          </w:tcPr>
          <w:p w14:paraId="675B3B45" w14:textId="77777777" w:rsidR="003163B4" w:rsidRPr="00B070D5" w:rsidRDefault="003163B4" w:rsidP="00496CBB">
            <w:pPr>
              <w:spacing w:after="0" w:line="240" w:lineRule="auto"/>
              <w:rPr>
                <w:rFonts w:ascii="Times New Roman" w:hAnsi="Times New Roman" w:cs="Times New Roman"/>
                <w:b/>
                <w:bCs/>
                <w:sz w:val="20"/>
                <w:szCs w:val="20"/>
              </w:rPr>
            </w:pPr>
            <w:r w:rsidRPr="00B070D5">
              <w:rPr>
                <w:rFonts w:ascii="Times New Roman" w:hAnsi="Times New Roman" w:cs="Times New Roman"/>
                <w:b/>
                <w:bCs/>
                <w:sz w:val="20"/>
                <w:szCs w:val="20"/>
              </w:rPr>
              <w:t xml:space="preserve">Model 1 (Individual Factors) </w:t>
            </w:r>
            <w:proofErr w:type="spellStart"/>
            <w:r w:rsidRPr="00B070D5">
              <w:rPr>
                <w:rFonts w:ascii="Times New Roman" w:hAnsi="Times New Roman" w:cs="Times New Roman"/>
                <w:b/>
                <w:bCs/>
                <w:sz w:val="20"/>
                <w:szCs w:val="20"/>
              </w:rPr>
              <w:t>aOR</w:t>
            </w:r>
            <w:proofErr w:type="spellEnd"/>
            <w:r w:rsidRPr="00B070D5">
              <w:rPr>
                <w:rFonts w:ascii="Times New Roman" w:hAnsi="Times New Roman" w:cs="Times New Roman"/>
                <w:b/>
                <w:bCs/>
                <w:sz w:val="20"/>
                <w:szCs w:val="20"/>
              </w:rPr>
              <w:t xml:space="preserve"> [95% CI]</w:t>
            </w:r>
          </w:p>
        </w:tc>
        <w:tc>
          <w:tcPr>
            <w:tcW w:w="0" w:type="auto"/>
            <w:vAlign w:val="center"/>
            <w:hideMark/>
          </w:tcPr>
          <w:p w14:paraId="31FDA4C7" w14:textId="77777777" w:rsidR="003163B4" w:rsidRPr="00B070D5" w:rsidRDefault="003163B4" w:rsidP="00496CBB">
            <w:pPr>
              <w:spacing w:after="0" w:line="240" w:lineRule="auto"/>
              <w:rPr>
                <w:rFonts w:ascii="Times New Roman" w:hAnsi="Times New Roman" w:cs="Times New Roman"/>
                <w:b/>
                <w:bCs/>
                <w:sz w:val="20"/>
                <w:szCs w:val="20"/>
              </w:rPr>
            </w:pPr>
            <w:r w:rsidRPr="00B070D5">
              <w:rPr>
                <w:rFonts w:ascii="Times New Roman" w:hAnsi="Times New Roman" w:cs="Times New Roman"/>
                <w:b/>
                <w:bCs/>
                <w:sz w:val="20"/>
                <w:szCs w:val="20"/>
              </w:rPr>
              <w:t xml:space="preserve">Model 2 (Full Multilevel) </w:t>
            </w:r>
            <w:proofErr w:type="spellStart"/>
            <w:r w:rsidRPr="00B070D5">
              <w:rPr>
                <w:rFonts w:ascii="Times New Roman" w:hAnsi="Times New Roman" w:cs="Times New Roman"/>
                <w:b/>
                <w:bCs/>
                <w:sz w:val="20"/>
                <w:szCs w:val="20"/>
              </w:rPr>
              <w:t>aOR</w:t>
            </w:r>
            <w:proofErr w:type="spellEnd"/>
            <w:r w:rsidRPr="00B070D5">
              <w:rPr>
                <w:rFonts w:ascii="Times New Roman" w:hAnsi="Times New Roman" w:cs="Times New Roman"/>
                <w:b/>
                <w:bCs/>
                <w:sz w:val="20"/>
                <w:szCs w:val="20"/>
              </w:rPr>
              <w:t xml:space="preserve"> [95% CI]</w:t>
            </w:r>
          </w:p>
        </w:tc>
      </w:tr>
      <w:tr w:rsidR="003163B4" w:rsidRPr="001D17EC" w14:paraId="603E5BB4" w14:textId="77777777" w:rsidTr="00496CBB">
        <w:trPr>
          <w:tblCellSpacing w:w="15" w:type="dxa"/>
        </w:trPr>
        <w:tc>
          <w:tcPr>
            <w:tcW w:w="0" w:type="auto"/>
            <w:tcBorders>
              <w:top w:val="single" w:sz="4" w:space="0" w:color="auto"/>
            </w:tcBorders>
            <w:vAlign w:val="center"/>
            <w:hideMark/>
          </w:tcPr>
          <w:p w14:paraId="2AFE44ED"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b/>
                <w:bCs/>
                <w:sz w:val="20"/>
                <w:szCs w:val="20"/>
              </w:rPr>
              <w:t>Level 1: Individual &amp; Clinical Factors</w:t>
            </w:r>
          </w:p>
        </w:tc>
        <w:tc>
          <w:tcPr>
            <w:tcW w:w="0" w:type="auto"/>
            <w:tcBorders>
              <w:top w:val="single" w:sz="4" w:space="0" w:color="auto"/>
            </w:tcBorders>
            <w:vAlign w:val="center"/>
            <w:hideMark/>
          </w:tcPr>
          <w:p w14:paraId="77A6F84F" w14:textId="77777777" w:rsidR="003163B4" w:rsidRPr="00B070D5" w:rsidRDefault="003163B4" w:rsidP="00496CBB">
            <w:pPr>
              <w:spacing w:after="0" w:line="240" w:lineRule="auto"/>
              <w:rPr>
                <w:rFonts w:ascii="Times New Roman" w:hAnsi="Times New Roman" w:cs="Times New Roman"/>
                <w:sz w:val="20"/>
                <w:szCs w:val="20"/>
              </w:rPr>
            </w:pPr>
          </w:p>
        </w:tc>
        <w:tc>
          <w:tcPr>
            <w:tcW w:w="0" w:type="auto"/>
            <w:tcBorders>
              <w:top w:val="single" w:sz="4" w:space="0" w:color="auto"/>
            </w:tcBorders>
            <w:vAlign w:val="center"/>
            <w:hideMark/>
          </w:tcPr>
          <w:p w14:paraId="5B90E216" w14:textId="77777777" w:rsidR="003163B4" w:rsidRPr="00B070D5" w:rsidRDefault="003163B4" w:rsidP="00496CBB">
            <w:pPr>
              <w:spacing w:after="0" w:line="240" w:lineRule="auto"/>
              <w:rPr>
                <w:rFonts w:ascii="Times New Roman" w:hAnsi="Times New Roman" w:cs="Times New Roman"/>
                <w:sz w:val="20"/>
                <w:szCs w:val="20"/>
              </w:rPr>
            </w:pPr>
          </w:p>
        </w:tc>
      </w:tr>
      <w:tr w:rsidR="003163B4" w:rsidRPr="001D17EC" w14:paraId="3DAE13DC" w14:textId="77777777" w:rsidTr="00496CBB">
        <w:trPr>
          <w:tblCellSpacing w:w="15" w:type="dxa"/>
        </w:trPr>
        <w:tc>
          <w:tcPr>
            <w:tcW w:w="0" w:type="auto"/>
            <w:vAlign w:val="center"/>
            <w:hideMark/>
          </w:tcPr>
          <w:p w14:paraId="5350EFF1"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b/>
                <w:bCs/>
                <w:sz w:val="20"/>
                <w:szCs w:val="20"/>
              </w:rPr>
              <w:t>Baseline Viral Load</w:t>
            </w:r>
          </w:p>
        </w:tc>
        <w:tc>
          <w:tcPr>
            <w:tcW w:w="0" w:type="auto"/>
            <w:vAlign w:val="center"/>
            <w:hideMark/>
          </w:tcPr>
          <w:p w14:paraId="6311CB70" w14:textId="77777777" w:rsidR="003163B4" w:rsidRPr="00B070D5" w:rsidRDefault="003163B4" w:rsidP="00496CBB">
            <w:pPr>
              <w:spacing w:after="0" w:line="240" w:lineRule="auto"/>
              <w:rPr>
                <w:rFonts w:ascii="Times New Roman" w:hAnsi="Times New Roman" w:cs="Times New Roman"/>
                <w:sz w:val="20"/>
                <w:szCs w:val="20"/>
              </w:rPr>
            </w:pPr>
          </w:p>
        </w:tc>
        <w:tc>
          <w:tcPr>
            <w:tcW w:w="0" w:type="auto"/>
            <w:vAlign w:val="center"/>
            <w:hideMark/>
          </w:tcPr>
          <w:p w14:paraId="3CB66E31" w14:textId="77777777" w:rsidR="003163B4" w:rsidRPr="00B070D5" w:rsidRDefault="003163B4" w:rsidP="00496CBB">
            <w:pPr>
              <w:spacing w:after="0" w:line="240" w:lineRule="auto"/>
              <w:rPr>
                <w:rFonts w:ascii="Times New Roman" w:hAnsi="Times New Roman" w:cs="Times New Roman"/>
                <w:sz w:val="20"/>
                <w:szCs w:val="20"/>
              </w:rPr>
            </w:pPr>
          </w:p>
        </w:tc>
      </w:tr>
      <w:tr w:rsidR="003163B4" w:rsidRPr="001D17EC" w14:paraId="5E178E2C" w14:textId="77777777" w:rsidTr="00496CBB">
        <w:trPr>
          <w:tblCellSpacing w:w="15" w:type="dxa"/>
        </w:trPr>
        <w:tc>
          <w:tcPr>
            <w:tcW w:w="0" w:type="auto"/>
            <w:vAlign w:val="center"/>
            <w:hideMark/>
          </w:tcPr>
          <w:p w14:paraId="5A3CB264"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Suppressed</w:t>
            </w:r>
          </w:p>
        </w:tc>
        <w:tc>
          <w:tcPr>
            <w:tcW w:w="0" w:type="auto"/>
            <w:vAlign w:val="center"/>
            <w:hideMark/>
          </w:tcPr>
          <w:p w14:paraId="65948D81"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Reference</w:t>
            </w:r>
          </w:p>
        </w:tc>
        <w:tc>
          <w:tcPr>
            <w:tcW w:w="0" w:type="auto"/>
            <w:vAlign w:val="center"/>
            <w:hideMark/>
          </w:tcPr>
          <w:p w14:paraId="0F056C47"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Reference</w:t>
            </w:r>
          </w:p>
        </w:tc>
      </w:tr>
      <w:tr w:rsidR="003163B4" w:rsidRPr="001D17EC" w14:paraId="2E3B17F1" w14:textId="77777777" w:rsidTr="00496CBB">
        <w:trPr>
          <w:tblCellSpacing w:w="15" w:type="dxa"/>
        </w:trPr>
        <w:tc>
          <w:tcPr>
            <w:tcW w:w="0" w:type="auto"/>
            <w:vAlign w:val="center"/>
            <w:hideMark/>
          </w:tcPr>
          <w:p w14:paraId="48B61888"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Unsuppressed</w:t>
            </w:r>
          </w:p>
        </w:tc>
        <w:tc>
          <w:tcPr>
            <w:tcW w:w="0" w:type="auto"/>
            <w:vAlign w:val="center"/>
            <w:hideMark/>
          </w:tcPr>
          <w:p w14:paraId="0CD7FE7D"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 xml:space="preserve">0.46 [0.36, </w:t>
            </w:r>
            <w:proofErr w:type="gramStart"/>
            <w:r w:rsidRPr="00B070D5">
              <w:rPr>
                <w:rFonts w:ascii="Times New Roman" w:hAnsi="Times New Roman" w:cs="Times New Roman"/>
                <w:sz w:val="20"/>
                <w:szCs w:val="20"/>
              </w:rPr>
              <w:t>0.59]*</w:t>
            </w:r>
            <w:proofErr w:type="gramEnd"/>
            <w:r w:rsidRPr="00B070D5">
              <w:rPr>
                <w:rFonts w:ascii="Times New Roman" w:hAnsi="Times New Roman" w:cs="Times New Roman"/>
                <w:sz w:val="20"/>
                <w:szCs w:val="20"/>
              </w:rPr>
              <w:t>**</w:t>
            </w:r>
          </w:p>
        </w:tc>
        <w:tc>
          <w:tcPr>
            <w:tcW w:w="0" w:type="auto"/>
            <w:vAlign w:val="center"/>
            <w:hideMark/>
          </w:tcPr>
          <w:p w14:paraId="554AB629"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 xml:space="preserve">0.46 [0.36, </w:t>
            </w:r>
            <w:proofErr w:type="gramStart"/>
            <w:r w:rsidRPr="00B070D5">
              <w:rPr>
                <w:rFonts w:ascii="Times New Roman" w:hAnsi="Times New Roman" w:cs="Times New Roman"/>
                <w:sz w:val="20"/>
                <w:szCs w:val="20"/>
              </w:rPr>
              <w:t>0.59]*</w:t>
            </w:r>
            <w:proofErr w:type="gramEnd"/>
            <w:r w:rsidRPr="00B070D5">
              <w:rPr>
                <w:rFonts w:ascii="Times New Roman" w:hAnsi="Times New Roman" w:cs="Times New Roman"/>
                <w:sz w:val="20"/>
                <w:szCs w:val="20"/>
              </w:rPr>
              <w:t>**</w:t>
            </w:r>
          </w:p>
        </w:tc>
      </w:tr>
      <w:tr w:rsidR="003163B4" w:rsidRPr="001D17EC" w14:paraId="14709092" w14:textId="77777777" w:rsidTr="00496CBB">
        <w:trPr>
          <w:tblCellSpacing w:w="15" w:type="dxa"/>
        </w:trPr>
        <w:tc>
          <w:tcPr>
            <w:tcW w:w="0" w:type="auto"/>
            <w:vAlign w:val="center"/>
            <w:hideMark/>
          </w:tcPr>
          <w:p w14:paraId="2C12323F"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b/>
                <w:bCs/>
                <w:sz w:val="20"/>
                <w:szCs w:val="20"/>
              </w:rPr>
              <w:t>Multi-Month Dispensing (MMD)</w:t>
            </w:r>
          </w:p>
        </w:tc>
        <w:tc>
          <w:tcPr>
            <w:tcW w:w="0" w:type="auto"/>
            <w:vAlign w:val="center"/>
            <w:hideMark/>
          </w:tcPr>
          <w:p w14:paraId="511E6F7B" w14:textId="77777777" w:rsidR="003163B4" w:rsidRPr="00B070D5" w:rsidRDefault="003163B4" w:rsidP="00496CBB">
            <w:pPr>
              <w:spacing w:after="0" w:line="240" w:lineRule="auto"/>
              <w:rPr>
                <w:rFonts w:ascii="Times New Roman" w:hAnsi="Times New Roman" w:cs="Times New Roman"/>
                <w:sz w:val="20"/>
                <w:szCs w:val="20"/>
              </w:rPr>
            </w:pPr>
          </w:p>
        </w:tc>
        <w:tc>
          <w:tcPr>
            <w:tcW w:w="0" w:type="auto"/>
            <w:vAlign w:val="center"/>
            <w:hideMark/>
          </w:tcPr>
          <w:p w14:paraId="17A79E4C" w14:textId="77777777" w:rsidR="003163B4" w:rsidRPr="00B070D5" w:rsidRDefault="003163B4" w:rsidP="00496CBB">
            <w:pPr>
              <w:spacing w:after="0" w:line="240" w:lineRule="auto"/>
              <w:rPr>
                <w:rFonts w:ascii="Times New Roman" w:hAnsi="Times New Roman" w:cs="Times New Roman"/>
                <w:sz w:val="20"/>
                <w:szCs w:val="20"/>
              </w:rPr>
            </w:pPr>
          </w:p>
        </w:tc>
      </w:tr>
      <w:tr w:rsidR="003163B4" w:rsidRPr="001D17EC" w14:paraId="0B99039A" w14:textId="77777777" w:rsidTr="00496CBB">
        <w:trPr>
          <w:tblCellSpacing w:w="15" w:type="dxa"/>
        </w:trPr>
        <w:tc>
          <w:tcPr>
            <w:tcW w:w="0" w:type="auto"/>
            <w:vAlign w:val="center"/>
            <w:hideMark/>
          </w:tcPr>
          <w:p w14:paraId="3D66E50A"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MMD 3 months</w:t>
            </w:r>
          </w:p>
        </w:tc>
        <w:tc>
          <w:tcPr>
            <w:tcW w:w="0" w:type="auto"/>
            <w:vAlign w:val="center"/>
            <w:hideMark/>
          </w:tcPr>
          <w:p w14:paraId="2F6D8CB9"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Reference</w:t>
            </w:r>
          </w:p>
        </w:tc>
        <w:tc>
          <w:tcPr>
            <w:tcW w:w="0" w:type="auto"/>
            <w:vAlign w:val="center"/>
            <w:hideMark/>
          </w:tcPr>
          <w:p w14:paraId="18BC51C0"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Reference</w:t>
            </w:r>
          </w:p>
        </w:tc>
      </w:tr>
      <w:tr w:rsidR="003163B4" w:rsidRPr="001D17EC" w14:paraId="175362B3" w14:textId="77777777" w:rsidTr="00496CBB">
        <w:trPr>
          <w:tblCellSpacing w:w="15" w:type="dxa"/>
        </w:trPr>
        <w:tc>
          <w:tcPr>
            <w:tcW w:w="0" w:type="auto"/>
            <w:vAlign w:val="center"/>
            <w:hideMark/>
          </w:tcPr>
          <w:p w14:paraId="082BDE0D"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MMD 6 months</w:t>
            </w:r>
          </w:p>
        </w:tc>
        <w:tc>
          <w:tcPr>
            <w:tcW w:w="0" w:type="auto"/>
            <w:vAlign w:val="center"/>
            <w:hideMark/>
          </w:tcPr>
          <w:p w14:paraId="15F2478E"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 xml:space="preserve">1.34 [1.08, </w:t>
            </w:r>
            <w:proofErr w:type="gramStart"/>
            <w:r w:rsidRPr="00B070D5">
              <w:rPr>
                <w:rFonts w:ascii="Times New Roman" w:hAnsi="Times New Roman" w:cs="Times New Roman"/>
                <w:sz w:val="20"/>
                <w:szCs w:val="20"/>
              </w:rPr>
              <w:t>1.66]*</w:t>
            </w:r>
            <w:proofErr w:type="gramEnd"/>
            <w:r w:rsidRPr="00B070D5">
              <w:rPr>
                <w:rFonts w:ascii="Times New Roman" w:hAnsi="Times New Roman" w:cs="Times New Roman"/>
                <w:sz w:val="20"/>
                <w:szCs w:val="20"/>
              </w:rPr>
              <w:t>*</w:t>
            </w:r>
          </w:p>
        </w:tc>
        <w:tc>
          <w:tcPr>
            <w:tcW w:w="0" w:type="auto"/>
            <w:vAlign w:val="center"/>
            <w:hideMark/>
          </w:tcPr>
          <w:p w14:paraId="0AAFDA39"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 xml:space="preserve">1.34 [1.08, </w:t>
            </w:r>
            <w:proofErr w:type="gramStart"/>
            <w:r w:rsidRPr="00B070D5">
              <w:rPr>
                <w:rFonts w:ascii="Times New Roman" w:hAnsi="Times New Roman" w:cs="Times New Roman"/>
                <w:sz w:val="20"/>
                <w:szCs w:val="20"/>
              </w:rPr>
              <w:t>1.66]*</w:t>
            </w:r>
            <w:proofErr w:type="gramEnd"/>
            <w:r w:rsidRPr="00B070D5">
              <w:rPr>
                <w:rFonts w:ascii="Times New Roman" w:hAnsi="Times New Roman" w:cs="Times New Roman"/>
                <w:sz w:val="20"/>
                <w:szCs w:val="20"/>
              </w:rPr>
              <w:t>*</w:t>
            </w:r>
          </w:p>
        </w:tc>
      </w:tr>
      <w:tr w:rsidR="003163B4" w:rsidRPr="001D17EC" w14:paraId="19E13F86" w14:textId="77777777" w:rsidTr="00496CBB">
        <w:trPr>
          <w:tblCellSpacing w:w="15" w:type="dxa"/>
        </w:trPr>
        <w:tc>
          <w:tcPr>
            <w:tcW w:w="0" w:type="auto"/>
            <w:vAlign w:val="center"/>
            <w:hideMark/>
          </w:tcPr>
          <w:p w14:paraId="74FE2406"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Others (1, 2, 4, 5 months)</w:t>
            </w:r>
          </w:p>
        </w:tc>
        <w:tc>
          <w:tcPr>
            <w:tcW w:w="0" w:type="auto"/>
            <w:vAlign w:val="center"/>
            <w:hideMark/>
          </w:tcPr>
          <w:p w14:paraId="54B8E075"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0.59 [0.30, 1.15]</w:t>
            </w:r>
          </w:p>
        </w:tc>
        <w:tc>
          <w:tcPr>
            <w:tcW w:w="0" w:type="auto"/>
            <w:vAlign w:val="center"/>
            <w:hideMark/>
          </w:tcPr>
          <w:p w14:paraId="5387C018"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0.58 [0.30, 1.15]</w:t>
            </w:r>
          </w:p>
        </w:tc>
      </w:tr>
      <w:tr w:rsidR="003163B4" w:rsidRPr="001D17EC" w14:paraId="589D6918" w14:textId="77777777" w:rsidTr="00496CBB">
        <w:trPr>
          <w:tblCellSpacing w:w="15" w:type="dxa"/>
        </w:trPr>
        <w:tc>
          <w:tcPr>
            <w:tcW w:w="0" w:type="auto"/>
            <w:vAlign w:val="center"/>
            <w:hideMark/>
          </w:tcPr>
          <w:p w14:paraId="714EB33F"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b/>
                <w:bCs/>
                <w:sz w:val="20"/>
                <w:szCs w:val="20"/>
              </w:rPr>
              <w:t>Educational Attainment</w:t>
            </w:r>
          </w:p>
        </w:tc>
        <w:tc>
          <w:tcPr>
            <w:tcW w:w="0" w:type="auto"/>
            <w:vAlign w:val="center"/>
            <w:hideMark/>
          </w:tcPr>
          <w:p w14:paraId="733F613C" w14:textId="77777777" w:rsidR="003163B4" w:rsidRPr="00B070D5" w:rsidRDefault="003163B4" w:rsidP="00496CBB">
            <w:pPr>
              <w:spacing w:after="0" w:line="240" w:lineRule="auto"/>
              <w:rPr>
                <w:rFonts w:ascii="Times New Roman" w:hAnsi="Times New Roman" w:cs="Times New Roman"/>
                <w:sz w:val="20"/>
                <w:szCs w:val="20"/>
              </w:rPr>
            </w:pPr>
          </w:p>
        </w:tc>
        <w:tc>
          <w:tcPr>
            <w:tcW w:w="0" w:type="auto"/>
            <w:vAlign w:val="center"/>
            <w:hideMark/>
          </w:tcPr>
          <w:p w14:paraId="6182239F" w14:textId="77777777" w:rsidR="003163B4" w:rsidRPr="00B070D5" w:rsidRDefault="003163B4" w:rsidP="00496CBB">
            <w:pPr>
              <w:spacing w:after="0" w:line="240" w:lineRule="auto"/>
              <w:rPr>
                <w:rFonts w:ascii="Times New Roman" w:hAnsi="Times New Roman" w:cs="Times New Roman"/>
                <w:sz w:val="20"/>
                <w:szCs w:val="20"/>
              </w:rPr>
            </w:pPr>
          </w:p>
        </w:tc>
      </w:tr>
      <w:tr w:rsidR="003163B4" w:rsidRPr="001D17EC" w14:paraId="2A3FE091" w14:textId="77777777" w:rsidTr="00496CBB">
        <w:trPr>
          <w:tblCellSpacing w:w="15" w:type="dxa"/>
        </w:trPr>
        <w:tc>
          <w:tcPr>
            <w:tcW w:w="0" w:type="auto"/>
            <w:vAlign w:val="center"/>
            <w:hideMark/>
          </w:tcPr>
          <w:p w14:paraId="29D5B1DC"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No formal education</w:t>
            </w:r>
          </w:p>
        </w:tc>
        <w:tc>
          <w:tcPr>
            <w:tcW w:w="0" w:type="auto"/>
            <w:vAlign w:val="center"/>
            <w:hideMark/>
          </w:tcPr>
          <w:p w14:paraId="06150D3B"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Reference</w:t>
            </w:r>
          </w:p>
        </w:tc>
        <w:tc>
          <w:tcPr>
            <w:tcW w:w="0" w:type="auto"/>
            <w:vAlign w:val="center"/>
            <w:hideMark/>
          </w:tcPr>
          <w:p w14:paraId="70A94EC5"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Reference</w:t>
            </w:r>
          </w:p>
        </w:tc>
      </w:tr>
      <w:tr w:rsidR="003163B4" w:rsidRPr="001D17EC" w14:paraId="4E8AE517" w14:textId="77777777" w:rsidTr="00496CBB">
        <w:trPr>
          <w:tblCellSpacing w:w="15" w:type="dxa"/>
        </w:trPr>
        <w:tc>
          <w:tcPr>
            <w:tcW w:w="0" w:type="auto"/>
            <w:vAlign w:val="center"/>
            <w:hideMark/>
          </w:tcPr>
          <w:p w14:paraId="6F96DE09"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Primary school</w:t>
            </w:r>
          </w:p>
        </w:tc>
        <w:tc>
          <w:tcPr>
            <w:tcW w:w="0" w:type="auto"/>
            <w:vAlign w:val="center"/>
            <w:hideMark/>
          </w:tcPr>
          <w:p w14:paraId="09D0E46D"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1.36 [0.99, 1.85]</w:t>
            </w:r>
          </w:p>
        </w:tc>
        <w:tc>
          <w:tcPr>
            <w:tcW w:w="0" w:type="auto"/>
            <w:vAlign w:val="center"/>
            <w:hideMark/>
          </w:tcPr>
          <w:p w14:paraId="2DD7E578"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1.36 [0.99, 1.85]</w:t>
            </w:r>
          </w:p>
        </w:tc>
      </w:tr>
      <w:tr w:rsidR="003163B4" w:rsidRPr="001D17EC" w14:paraId="1734D932" w14:textId="77777777" w:rsidTr="00496CBB">
        <w:trPr>
          <w:tblCellSpacing w:w="15" w:type="dxa"/>
        </w:trPr>
        <w:tc>
          <w:tcPr>
            <w:tcW w:w="0" w:type="auto"/>
            <w:vAlign w:val="center"/>
            <w:hideMark/>
          </w:tcPr>
          <w:p w14:paraId="41837B8C"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Secondary school</w:t>
            </w:r>
          </w:p>
        </w:tc>
        <w:tc>
          <w:tcPr>
            <w:tcW w:w="0" w:type="auto"/>
            <w:vAlign w:val="center"/>
            <w:hideMark/>
          </w:tcPr>
          <w:p w14:paraId="6C277BAE"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1.27 [0.93, 1.74]</w:t>
            </w:r>
          </w:p>
        </w:tc>
        <w:tc>
          <w:tcPr>
            <w:tcW w:w="0" w:type="auto"/>
            <w:vAlign w:val="center"/>
            <w:hideMark/>
          </w:tcPr>
          <w:p w14:paraId="41C0A98A"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1.27 [0.93, 1.74]</w:t>
            </w:r>
          </w:p>
        </w:tc>
      </w:tr>
      <w:tr w:rsidR="003163B4" w:rsidRPr="001D17EC" w14:paraId="7BA3DB91" w14:textId="77777777" w:rsidTr="00496CBB">
        <w:trPr>
          <w:tblCellSpacing w:w="15" w:type="dxa"/>
        </w:trPr>
        <w:tc>
          <w:tcPr>
            <w:tcW w:w="0" w:type="auto"/>
            <w:vAlign w:val="center"/>
            <w:hideMark/>
          </w:tcPr>
          <w:p w14:paraId="617D0045"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Tertiary complete</w:t>
            </w:r>
          </w:p>
        </w:tc>
        <w:tc>
          <w:tcPr>
            <w:tcW w:w="0" w:type="auto"/>
            <w:vAlign w:val="center"/>
            <w:hideMark/>
          </w:tcPr>
          <w:p w14:paraId="13803E3F"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 xml:space="preserve">1.54 [1.03, </w:t>
            </w:r>
            <w:proofErr w:type="gramStart"/>
            <w:r w:rsidRPr="00B070D5">
              <w:rPr>
                <w:rFonts w:ascii="Times New Roman" w:hAnsi="Times New Roman" w:cs="Times New Roman"/>
                <w:sz w:val="20"/>
                <w:szCs w:val="20"/>
              </w:rPr>
              <w:t>2.30]*</w:t>
            </w:r>
            <w:proofErr w:type="gramEnd"/>
          </w:p>
        </w:tc>
        <w:tc>
          <w:tcPr>
            <w:tcW w:w="0" w:type="auto"/>
            <w:vAlign w:val="center"/>
            <w:hideMark/>
          </w:tcPr>
          <w:p w14:paraId="39E0AEEF"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 xml:space="preserve">1.54 [1.03, </w:t>
            </w:r>
            <w:proofErr w:type="gramStart"/>
            <w:r w:rsidRPr="00B070D5">
              <w:rPr>
                <w:rFonts w:ascii="Times New Roman" w:hAnsi="Times New Roman" w:cs="Times New Roman"/>
                <w:sz w:val="20"/>
                <w:szCs w:val="20"/>
              </w:rPr>
              <w:t>2.30]*</w:t>
            </w:r>
            <w:proofErr w:type="gramEnd"/>
          </w:p>
        </w:tc>
      </w:tr>
      <w:tr w:rsidR="003163B4" w:rsidRPr="001D17EC" w14:paraId="7496BE2C" w14:textId="77777777" w:rsidTr="00496CBB">
        <w:trPr>
          <w:tblCellSpacing w:w="15" w:type="dxa"/>
        </w:trPr>
        <w:tc>
          <w:tcPr>
            <w:tcW w:w="0" w:type="auto"/>
            <w:vAlign w:val="center"/>
            <w:hideMark/>
          </w:tcPr>
          <w:p w14:paraId="582B3439"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Other (Vocational / Arabic)</w:t>
            </w:r>
          </w:p>
        </w:tc>
        <w:tc>
          <w:tcPr>
            <w:tcW w:w="0" w:type="auto"/>
            <w:vAlign w:val="center"/>
            <w:hideMark/>
          </w:tcPr>
          <w:p w14:paraId="0C7F53F0"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1.24 [0.61, 2.54]</w:t>
            </w:r>
          </w:p>
        </w:tc>
        <w:tc>
          <w:tcPr>
            <w:tcW w:w="0" w:type="auto"/>
            <w:vAlign w:val="center"/>
            <w:hideMark/>
          </w:tcPr>
          <w:p w14:paraId="0BC3E0E1"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1.20 [0.59, 2.46]</w:t>
            </w:r>
          </w:p>
        </w:tc>
      </w:tr>
      <w:tr w:rsidR="003163B4" w:rsidRPr="001D17EC" w14:paraId="2440F58C" w14:textId="77777777" w:rsidTr="00496CBB">
        <w:trPr>
          <w:tblCellSpacing w:w="15" w:type="dxa"/>
        </w:trPr>
        <w:tc>
          <w:tcPr>
            <w:tcW w:w="0" w:type="auto"/>
            <w:vAlign w:val="center"/>
            <w:hideMark/>
          </w:tcPr>
          <w:p w14:paraId="560AA527"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b/>
                <w:bCs/>
                <w:sz w:val="20"/>
                <w:szCs w:val="20"/>
              </w:rPr>
              <w:t>Marital Status</w:t>
            </w:r>
          </w:p>
        </w:tc>
        <w:tc>
          <w:tcPr>
            <w:tcW w:w="0" w:type="auto"/>
            <w:vAlign w:val="center"/>
            <w:hideMark/>
          </w:tcPr>
          <w:p w14:paraId="716EBD14" w14:textId="77777777" w:rsidR="003163B4" w:rsidRPr="00B070D5" w:rsidRDefault="003163B4" w:rsidP="00496CBB">
            <w:pPr>
              <w:spacing w:after="0" w:line="240" w:lineRule="auto"/>
              <w:rPr>
                <w:rFonts w:ascii="Times New Roman" w:hAnsi="Times New Roman" w:cs="Times New Roman"/>
                <w:sz w:val="20"/>
                <w:szCs w:val="20"/>
              </w:rPr>
            </w:pPr>
          </w:p>
        </w:tc>
        <w:tc>
          <w:tcPr>
            <w:tcW w:w="0" w:type="auto"/>
            <w:vAlign w:val="center"/>
            <w:hideMark/>
          </w:tcPr>
          <w:p w14:paraId="4058A865" w14:textId="77777777" w:rsidR="003163B4" w:rsidRPr="00B070D5" w:rsidRDefault="003163B4" w:rsidP="00496CBB">
            <w:pPr>
              <w:spacing w:after="0" w:line="240" w:lineRule="auto"/>
              <w:rPr>
                <w:rFonts w:ascii="Times New Roman" w:hAnsi="Times New Roman" w:cs="Times New Roman"/>
                <w:sz w:val="20"/>
                <w:szCs w:val="20"/>
              </w:rPr>
            </w:pPr>
          </w:p>
        </w:tc>
      </w:tr>
      <w:tr w:rsidR="003163B4" w:rsidRPr="001D17EC" w14:paraId="499657CD" w14:textId="77777777" w:rsidTr="00496CBB">
        <w:trPr>
          <w:tblCellSpacing w:w="15" w:type="dxa"/>
        </w:trPr>
        <w:tc>
          <w:tcPr>
            <w:tcW w:w="0" w:type="auto"/>
            <w:vAlign w:val="center"/>
            <w:hideMark/>
          </w:tcPr>
          <w:p w14:paraId="6B18C0F1"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Married</w:t>
            </w:r>
          </w:p>
        </w:tc>
        <w:tc>
          <w:tcPr>
            <w:tcW w:w="0" w:type="auto"/>
            <w:vAlign w:val="center"/>
            <w:hideMark/>
          </w:tcPr>
          <w:p w14:paraId="2FAEC986"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Reference</w:t>
            </w:r>
          </w:p>
        </w:tc>
        <w:tc>
          <w:tcPr>
            <w:tcW w:w="0" w:type="auto"/>
            <w:vAlign w:val="center"/>
            <w:hideMark/>
          </w:tcPr>
          <w:p w14:paraId="5F75E9C7"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Reference</w:t>
            </w:r>
          </w:p>
        </w:tc>
      </w:tr>
      <w:tr w:rsidR="003163B4" w:rsidRPr="001D17EC" w14:paraId="61DC194B" w14:textId="77777777" w:rsidTr="00496CBB">
        <w:trPr>
          <w:tblCellSpacing w:w="15" w:type="dxa"/>
        </w:trPr>
        <w:tc>
          <w:tcPr>
            <w:tcW w:w="0" w:type="auto"/>
            <w:vAlign w:val="center"/>
            <w:hideMark/>
          </w:tcPr>
          <w:p w14:paraId="27B32B84"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Never married</w:t>
            </w:r>
          </w:p>
        </w:tc>
        <w:tc>
          <w:tcPr>
            <w:tcW w:w="0" w:type="auto"/>
            <w:vAlign w:val="center"/>
            <w:hideMark/>
          </w:tcPr>
          <w:p w14:paraId="1F992AD7"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 xml:space="preserve">0.75 [0.61, </w:t>
            </w:r>
            <w:proofErr w:type="gramStart"/>
            <w:r w:rsidRPr="00B070D5">
              <w:rPr>
                <w:rFonts w:ascii="Times New Roman" w:hAnsi="Times New Roman" w:cs="Times New Roman"/>
                <w:sz w:val="20"/>
                <w:szCs w:val="20"/>
              </w:rPr>
              <w:t>0.94]*</w:t>
            </w:r>
            <w:proofErr w:type="gramEnd"/>
          </w:p>
        </w:tc>
        <w:tc>
          <w:tcPr>
            <w:tcW w:w="0" w:type="auto"/>
            <w:vAlign w:val="center"/>
            <w:hideMark/>
          </w:tcPr>
          <w:p w14:paraId="520D434F"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 xml:space="preserve">0.76 [0.61, </w:t>
            </w:r>
            <w:proofErr w:type="gramStart"/>
            <w:r w:rsidRPr="00B070D5">
              <w:rPr>
                <w:rFonts w:ascii="Times New Roman" w:hAnsi="Times New Roman" w:cs="Times New Roman"/>
                <w:sz w:val="20"/>
                <w:szCs w:val="20"/>
              </w:rPr>
              <w:t>0.94]*</w:t>
            </w:r>
            <w:proofErr w:type="gramEnd"/>
          </w:p>
        </w:tc>
      </w:tr>
      <w:tr w:rsidR="003163B4" w:rsidRPr="001D17EC" w14:paraId="55265ED0" w14:textId="77777777" w:rsidTr="00496CBB">
        <w:trPr>
          <w:tblCellSpacing w:w="15" w:type="dxa"/>
        </w:trPr>
        <w:tc>
          <w:tcPr>
            <w:tcW w:w="0" w:type="auto"/>
            <w:vAlign w:val="center"/>
            <w:hideMark/>
          </w:tcPr>
          <w:p w14:paraId="53C34C27"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lastRenderedPageBreak/>
              <w:t>Divorced / Widowed / Cohabiting</w:t>
            </w:r>
          </w:p>
        </w:tc>
        <w:tc>
          <w:tcPr>
            <w:tcW w:w="0" w:type="auto"/>
            <w:vAlign w:val="center"/>
            <w:hideMark/>
          </w:tcPr>
          <w:p w14:paraId="064D6251"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0.91 [0.63, 1.33]</w:t>
            </w:r>
          </w:p>
        </w:tc>
        <w:tc>
          <w:tcPr>
            <w:tcW w:w="0" w:type="auto"/>
            <w:vAlign w:val="center"/>
            <w:hideMark/>
          </w:tcPr>
          <w:p w14:paraId="61C17159"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0.92 [0.63, 1.34]</w:t>
            </w:r>
          </w:p>
        </w:tc>
      </w:tr>
      <w:tr w:rsidR="003163B4" w:rsidRPr="001D17EC" w14:paraId="02C2B04E" w14:textId="77777777" w:rsidTr="00496CBB">
        <w:trPr>
          <w:tblCellSpacing w:w="15" w:type="dxa"/>
        </w:trPr>
        <w:tc>
          <w:tcPr>
            <w:tcW w:w="0" w:type="auto"/>
            <w:vAlign w:val="center"/>
            <w:hideMark/>
          </w:tcPr>
          <w:p w14:paraId="3C103897"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b/>
                <w:bCs/>
                <w:sz w:val="20"/>
                <w:szCs w:val="20"/>
              </w:rPr>
              <w:t>Age at ART Initiation</w:t>
            </w:r>
          </w:p>
        </w:tc>
        <w:tc>
          <w:tcPr>
            <w:tcW w:w="0" w:type="auto"/>
            <w:vAlign w:val="center"/>
            <w:hideMark/>
          </w:tcPr>
          <w:p w14:paraId="5557C954" w14:textId="77777777" w:rsidR="003163B4" w:rsidRPr="00B070D5" w:rsidRDefault="003163B4" w:rsidP="00496CBB">
            <w:pPr>
              <w:spacing w:after="0" w:line="240" w:lineRule="auto"/>
              <w:rPr>
                <w:rFonts w:ascii="Times New Roman" w:hAnsi="Times New Roman" w:cs="Times New Roman"/>
                <w:sz w:val="20"/>
                <w:szCs w:val="20"/>
              </w:rPr>
            </w:pPr>
          </w:p>
        </w:tc>
        <w:tc>
          <w:tcPr>
            <w:tcW w:w="0" w:type="auto"/>
            <w:vAlign w:val="center"/>
            <w:hideMark/>
          </w:tcPr>
          <w:p w14:paraId="23D37881" w14:textId="77777777" w:rsidR="003163B4" w:rsidRPr="00B070D5" w:rsidRDefault="003163B4" w:rsidP="00496CBB">
            <w:pPr>
              <w:spacing w:after="0" w:line="240" w:lineRule="auto"/>
              <w:rPr>
                <w:rFonts w:ascii="Times New Roman" w:hAnsi="Times New Roman" w:cs="Times New Roman"/>
                <w:sz w:val="20"/>
                <w:szCs w:val="20"/>
              </w:rPr>
            </w:pPr>
          </w:p>
        </w:tc>
      </w:tr>
      <w:tr w:rsidR="003163B4" w:rsidRPr="001D17EC" w14:paraId="1561B29D" w14:textId="77777777" w:rsidTr="00496CBB">
        <w:trPr>
          <w:tblCellSpacing w:w="15" w:type="dxa"/>
        </w:trPr>
        <w:tc>
          <w:tcPr>
            <w:tcW w:w="0" w:type="auto"/>
            <w:vAlign w:val="center"/>
            <w:hideMark/>
          </w:tcPr>
          <w:p w14:paraId="01F23FBC"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18 to 24 years</w:t>
            </w:r>
          </w:p>
        </w:tc>
        <w:tc>
          <w:tcPr>
            <w:tcW w:w="0" w:type="auto"/>
            <w:vAlign w:val="center"/>
            <w:hideMark/>
          </w:tcPr>
          <w:p w14:paraId="4583C6E5"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Reference</w:t>
            </w:r>
          </w:p>
        </w:tc>
        <w:tc>
          <w:tcPr>
            <w:tcW w:w="0" w:type="auto"/>
            <w:vAlign w:val="center"/>
            <w:hideMark/>
          </w:tcPr>
          <w:p w14:paraId="6B72277C"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Reference</w:t>
            </w:r>
          </w:p>
        </w:tc>
      </w:tr>
      <w:tr w:rsidR="003163B4" w:rsidRPr="001D17EC" w14:paraId="5E6F35FE" w14:textId="77777777" w:rsidTr="00496CBB">
        <w:trPr>
          <w:tblCellSpacing w:w="15" w:type="dxa"/>
        </w:trPr>
        <w:tc>
          <w:tcPr>
            <w:tcW w:w="0" w:type="auto"/>
            <w:vAlign w:val="center"/>
            <w:hideMark/>
          </w:tcPr>
          <w:p w14:paraId="600E0088"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25 to 34 years</w:t>
            </w:r>
          </w:p>
        </w:tc>
        <w:tc>
          <w:tcPr>
            <w:tcW w:w="0" w:type="auto"/>
            <w:vAlign w:val="center"/>
            <w:hideMark/>
          </w:tcPr>
          <w:p w14:paraId="143756E6"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1.14 [0.86, 1.51]</w:t>
            </w:r>
          </w:p>
        </w:tc>
        <w:tc>
          <w:tcPr>
            <w:tcW w:w="0" w:type="auto"/>
            <w:vAlign w:val="center"/>
            <w:hideMark/>
          </w:tcPr>
          <w:p w14:paraId="2A0D61D7"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1.14 [0.86, 1.51]</w:t>
            </w:r>
          </w:p>
        </w:tc>
      </w:tr>
      <w:tr w:rsidR="003163B4" w:rsidRPr="001D17EC" w14:paraId="69FEFA64" w14:textId="77777777" w:rsidTr="00496CBB">
        <w:trPr>
          <w:tblCellSpacing w:w="15" w:type="dxa"/>
        </w:trPr>
        <w:tc>
          <w:tcPr>
            <w:tcW w:w="0" w:type="auto"/>
            <w:vAlign w:val="center"/>
            <w:hideMark/>
          </w:tcPr>
          <w:p w14:paraId="6B7736A6"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35 to 44 years</w:t>
            </w:r>
          </w:p>
        </w:tc>
        <w:tc>
          <w:tcPr>
            <w:tcW w:w="0" w:type="auto"/>
            <w:vAlign w:val="center"/>
            <w:hideMark/>
          </w:tcPr>
          <w:p w14:paraId="5778754A"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1.34 [0.99, 1.82]</w:t>
            </w:r>
          </w:p>
        </w:tc>
        <w:tc>
          <w:tcPr>
            <w:tcW w:w="0" w:type="auto"/>
            <w:vAlign w:val="center"/>
            <w:hideMark/>
          </w:tcPr>
          <w:p w14:paraId="433882CE"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1.34 [0.99, 1.82]</w:t>
            </w:r>
          </w:p>
        </w:tc>
      </w:tr>
      <w:tr w:rsidR="003163B4" w:rsidRPr="001D17EC" w14:paraId="4BF2AFF1" w14:textId="77777777" w:rsidTr="00496CBB">
        <w:trPr>
          <w:tblCellSpacing w:w="15" w:type="dxa"/>
        </w:trPr>
        <w:tc>
          <w:tcPr>
            <w:tcW w:w="0" w:type="auto"/>
            <w:vAlign w:val="center"/>
            <w:hideMark/>
          </w:tcPr>
          <w:p w14:paraId="75D8BB32"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45+ years</w:t>
            </w:r>
          </w:p>
        </w:tc>
        <w:tc>
          <w:tcPr>
            <w:tcW w:w="0" w:type="auto"/>
            <w:vAlign w:val="center"/>
            <w:hideMark/>
          </w:tcPr>
          <w:p w14:paraId="16926A72"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1.36 [0.96, 1.94]</w:t>
            </w:r>
          </w:p>
        </w:tc>
        <w:tc>
          <w:tcPr>
            <w:tcW w:w="0" w:type="auto"/>
            <w:vAlign w:val="center"/>
            <w:hideMark/>
          </w:tcPr>
          <w:p w14:paraId="0A0A65DE"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1.36 [0.96, 1.94]</w:t>
            </w:r>
          </w:p>
        </w:tc>
      </w:tr>
      <w:tr w:rsidR="003163B4" w:rsidRPr="001D17EC" w14:paraId="52A8D067" w14:textId="77777777" w:rsidTr="00496CBB">
        <w:trPr>
          <w:tblCellSpacing w:w="15" w:type="dxa"/>
        </w:trPr>
        <w:tc>
          <w:tcPr>
            <w:tcW w:w="0" w:type="auto"/>
            <w:vAlign w:val="center"/>
            <w:hideMark/>
          </w:tcPr>
          <w:p w14:paraId="38549687"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b/>
                <w:bCs/>
                <w:sz w:val="20"/>
                <w:szCs w:val="20"/>
              </w:rPr>
              <w:t>Sex</w:t>
            </w:r>
          </w:p>
        </w:tc>
        <w:tc>
          <w:tcPr>
            <w:tcW w:w="0" w:type="auto"/>
            <w:vAlign w:val="center"/>
            <w:hideMark/>
          </w:tcPr>
          <w:p w14:paraId="201F9B0D" w14:textId="77777777" w:rsidR="003163B4" w:rsidRPr="00B070D5" w:rsidRDefault="003163B4" w:rsidP="00496CBB">
            <w:pPr>
              <w:spacing w:after="0" w:line="240" w:lineRule="auto"/>
              <w:rPr>
                <w:rFonts w:ascii="Times New Roman" w:hAnsi="Times New Roman" w:cs="Times New Roman"/>
                <w:sz w:val="20"/>
                <w:szCs w:val="20"/>
              </w:rPr>
            </w:pPr>
          </w:p>
        </w:tc>
        <w:tc>
          <w:tcPr>
            <w:tcW w:w="0" w:type="auto"/>
            <w:vAlign w:val="center"/>
            <w:hideMark/>
          </w:tcPr>
          <w:p w14:paraId="778C0BAC" w14:textId="77777777" w:rsidR="003163B4" w:rsidRPr="00B070D5" w:rsidRDefault="003163B4" w:rsidP="00496CBB">
            <w:pPr>
              <w:spacing w:after="0" w:line="240" w:lineRule="auto"/>
              <w:rPr>
                <w:rFonts w:ascii="Times New Roman" w:hAnsi="Times New Roman" w:cs="Times New Roman"/>
                <w:sz w:val="20"/>
                <w:szCs w:val="20"/>
              </w:rPr>
            </w:pPr>
          </w:p>
        </w:tc>
      </w:tr>
      <w:tr w:rsidR="003163B4" w:rsidRPr="001D17EC" w14:paraId="4C18718F" w14:textId="77777777" w:rsidTr="00496CBB">
        <w:trPr>
          <w:tblCellSpacing w:w="15" w:type="dxa"/>
        </w:trPr>
        <w:tc>
          <w:tcPr>
            <w:tcW w:w="0" w:type="auto"/>
            <w:vAlign w:val="center"/>
            <w:hideMark/>
          </w:tcPr>
          <w:p w14:paraId="314FD044"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Male</w:t>
            </w:r>
          </w:p>
        </w:tc>
        <w:tc>
          <w:tcPr>
            <w:tcW w:w="0" w:type="auto"/>
            <w:vAlign w:val="center"/>
            <w:hideMark/>
          </w:tcPr>
          <w:p w14:paraId="5DF59A2A"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Reference</w:t>
            </w:r>
          </w:p>
        </w:tc>
        <w:tc>
          <w:tcPr>
            <w:tcW w:w="0" w:type="auto"/>
            <w:vAlign w:val="center"/>
            <w:hideMark/>
          </w:tcPr>
          <w:p w14:paraId="322838D1"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Reference</w:t>
            </w:r>
          </w:p>
        </w:tc>
      </w:tr>
      <w:tr w:rsidR="003163B4" w:rsidRPr="001D17EC" w14:paraId="0D2F4F0D" w14:textId="77777777" w:rsidTr="00496CBB">
        <w:trPr>
          <w:tblCellSpacing w:w="15" w:type="dxa"/>
        </w:trPr>
        <w:tc>
          <w:tcPr>
            <w:tcW w:w="0" w:type="auto"/>
            <w:vAlign w:val="center"/>
            <w:hideMark/>
          </w:tcPr>
          <w:p w14:paraId="60C9474D"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Female</w:t>
            </w:r>
          </w:p>
        </w:tc>
        <w:tc>
          <w:tcPr>
            <w:tcW w:w="0" w:type="auto"/>
            <w:vAlign w:val="center"/>
            <w:hideMark/>
          </w:tcPr>
          <w:p w14:paraId="24C13256"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0.94 [0.75, 1.16]</w:t>
            </w:r>
          </w:p>
        </w:tc>
        <w:tc>
          <w:tcPr>
            <w:tcW w:w="0" w:type="auto"/>
            <w:vAlign w:val="center"/>
            <w:hideMark/>
          </w:tcPr>
          <w:p w14:paraId="22B4CD28"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0.93 [0.75, 1.16]</w:t>
            </w:r>
          </w:p>
        </w:tc>
      </w:tr>
      <w:tr w:rsidR="003163B4" w:rsidRPr="001D17EC" w14:paraId="639EA18F" w14:textId="77777777" w:rsidTr="00496CBB">
        <w:trPr>
          <w:tblCellSpacing w:w="15" w:type="dxa"/>
        </w:trPr>
        <w:tc>
          <w:tcPr>
            <w:tcW w:w="0" w:type="auto"/>
            <w:vAlign w:val="center"/>
            <w:hideMark/>
          </w:tcPr>
          <w:p w14:paraId="6AF85F31"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b/>
                <w:bCs/>
                <w:sz w:val="20"/>
                <w:szCs w:val="20"/>
              </w:rPr>
              <w:t>Employment Status</w:t>
            </w:r>
          </w:p>
        </w:tc>
        <w:tc>
          <w:tcPr>
            <w:tcW w:w="0" w:type="auto"/>
            <w:vAlign w:val="center"/>
            <w:hideMark/>
          </w:tcPr>
          <w:p w14:paraId="5568C0DA" w14:textId="77777777" w:rsidR="003163B4" w:rsidRPr="00B070D5" w:rsidRDefault="003163B4" w:rsidP="00496CBB">
            <w:pPr>
              <w:spacing w:after="0" w:line="240" w:lineRule="auto"/>
              <w:rPr>
                <w:rFonts w:ascii="Times New Roman" w:hAnsi="Times New Roman" w:cs="Times New Roman"/>
                <w:sz w:val="20"/>
                <w:szCs w:val="20"/>
              </w:rPr>
            </w:pPr>
          </w:p>
        </w:tc>
        <w:tc>
          <w:tcPr>
            <w:tcW w:w="0" w:type="auto"/>
            <w:vAlign w:val="center"/>
            <w:hideMark/>
          </w:tcPr>
          <w:p w14:paraId="2EBB5452" w14:textId="77777777" w:rsidR="003163B4" w:rsidRPr="00B070D5" w:rsidRDefault="003163B4" w:rsidP="00496CBB">
            <w:pPr>
              <w:spacing w:after="0" w:line="240" w:lineRule="auto"/>
              <w:rPr>
                <w:rFonts w:ascii="Times New Roman" w:hAnsi="Times New Roman" w:cs="Times New Roman"/>
                <w:sz w:val="20"/>
                <w:szCs w:val="20"/>
              </w:rPr>
            </w:pPr>
          </w:p>
        </w:tc>
      </w:tr>
      <w:tr w:rsidR="003163B4" w:rsidRPr="001D17EC" w14:paraId="0E08CB41" w14:textId="77777777" w:rsidTr="00496CBB">
        <w:trPr>
          <w:tblCellSpacing w:w="15" w:type="dxa"/>
        </w:trPr>
        <w:tc>
          <w:tcPr>
            <w:tcW w:w="0" w:type="auto"/>
            <w:vAlign w:val="center"/>
            <w:hideMark/>
          </w:tcPr>
          <w:p w14:paraId="57A8C7A2"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Employed</w:t>
            </w:r>
          </w:p>
        </w:tc>
        <w:tc>
          <w:tcPr>
            <w:tcW w:w="0" w:type="auto"/>
            <w:vAlign w:val="center"/>
            <w:hideMark/>
          </w:tcPr>
          <w:p w14:paraId="00FF8625"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Reference</w:t>
            </w:r>
          </w:p>
        </w:tc>
        <w:tc>
          <w:tcPr>
            <w:tcW w:w="0" w:type="auto"/>
            <w:vAlign w:val="center"/>
            <w:hideMark/>
          </w:tcPr>
          <w:p w14:paraId="65C9E952"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Reference</w:t>
            </w:r>
          </w:p>
        </w:tc>
      </w:tr>
      <w:tr w:rsidR="003163B4" w:rsidRPr="001D17EC" w14:paraId="7B725914" w14:textId="77777777" w:rsidTr="00496CBB">
        <w:trPr>
          <w:tblCellSpacing w:w="15" w:type="dxa"/>
        </w:trPr>
        <w:tc>
          <w:tcPr>
            <w:tcW w:w="0" w:type="auto"/>
            <w:vAlign w:val="center"/>
            <w:hideMark/>
          </w:tcPr>
          <w:p w14:paraId="026A411A"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Unemployed / Student / Retired</w:t>
            </w:r>
          </w:p>
        </w:tc>
        <w:tc>
          <w:tcPr>
            <w:tcW w:w="0" w:type="auto"/>
            <w:vAlign w:val="center"/>
            <w:hideMark/>
          </w:tcPr>
          <w:p w14:paraId="415036AC"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0.89 [0.65, 1.21]</w:t>
            </w:r>
          </w:p>
        </w:tc>
        <w:tc>
          <w:tcPr>
            <w:tcW w:w="0" w:type="auto"/>
            <w:vAlign w:val="center"/>
            <w:hideMark/>
          </w:tcPr>
          <w:p w14:paraId="3D4E2F1E"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0.86 [0.63, 1.18]</w:t>
            </w:r>
          </w:p>
        </w:tc>
      </w:tr>
      <w:tr w:rsidR="003163B4" w:rsidRPr="001D17EC" w14:paraId="7C0F1DE0" w14:textId="77777777" w:rsidTr="00496CBB">
        <w:trPr>
          <w:tblCellSpacing w:w="15" w:type="dxa"/>
        </w:trPr>
        <w:tc>
          <w:tcPr>
            <w:tcW w:w="0" w:type="auto"/>
            <w:vAlign w:val="center"/>
            <w:hideMark/>
          </w:tcPr>
          <w:p w14:paraId="6CD04388"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b/>
                <w:bCs/>
                <w:sz w:val="20"/>
                <w:szCs w:val="20"/>
              </w:rPr>
              <w:t>WHO Clinical Stage</w:t>
            </w:r>
          </w:p>
        </w:tc>
        <w:tc>
          <w:tcPr>
            <w:tcW w:w="0" w:type="auto"/>
            <w:vAlign w:val="center"/>
            <w:hideMark/>
          </w:tcPr>
          <w:p w14:paraId="0CBBAE92" w14:textId="77777777" w:rsidR="003163B4" w:rsidRPr="00B070D5" w:rsidRDefault="003163B4" w:rsidP="00496CBB">
            <w:pPr>
              <w:spacing w:after="0" w:line="240" w:lineRule="auto"/>
              <w:rPr>
                <w:rFonts w:ascii="Times New Roman" w:hAnsi="Times New Roman" w:cs="Times New Roman"/>
                <w:sz w:val="20"/>
                <w:szCs w:val="20"/>
              </w:rPr>
            </w:pPr>
          </w:p>
        </w:tc>
        <w:tc>
          <w:tcPr>
            <w:tcW w:w="0" w:type="auto"/>
            <w:vAlign w:val="center"/>
            <w:hideMark/>
          </w:tcPr>
          <w:p w14:paraId="1724DBC0" w14:textId="77777777" w:rsidR="003163B4" w:rsidRPr="00B070D5" w:rsidRDefault="003163B4" w:rsidP="00496CBB">
            <w:pPr>
              <w:spacing w:after="0" w:line="240" w:lineRule="auto"/>
              <w:rPr>
                <w:rFonts w:ascii="Times New Roman" w:hAnsi="Times New Roman" w:cs="Times New Roman"/>
                <w:sz w:val="20"/>
                <w:szCs w:val="20"/>
              </w:rPr>
            </w:pPr>
          </w:p>
        </w:tc>
      </w:tr>
      <w:tr w:rsidR="003163B4" w:rsidRPr="001D17EC" w14:paraId="7305C773" w14:textId="77777777" w:rsidTr="00496CBB">
        <w:trPr>
          <w:tblCellSpacing w:w="15" w:type="dxa"/>
        </w:trPr>
        <w:tc>
          <w:tcPr>
            <w:tcW w:w="0" w:type="auto"/>
            <w:vAlign w:val="center"/>
            <w:hideMark/>
          </w:tcPr>
          <w:p w14:paraId="6AFA255D"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Stage III / IV (Advanced)</w:t>
            </w:r>
          </w:p>
        </w:tc>
        <w:tc>
          <w:tcPr>
            <w:tcW w:w="0" w:type="auto"/>
            <w:vAlign w:val="center"/>
            <w:hideMark/>
          </w:tcPr>
          <w:p w14:paraId="19785EE4"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Reference</w:t>
            </w:r>
          </w:p>
        </w:tc>
        <w:tc>
          <w:tcPr>
            <w:tcW w:w="0" w:type="auto"/>
            <w:vAlign w:val="center"/>
            <w:hideMark/>
          </w:tcPr>
          <w:p w14:paraId="39DD1F47"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Reference</w:t>
            </w:r>
          </w:p>
        </w:tc>
      </w:tr>
      <w:tr w:rsidR="003163B4" w:rsidRPr="001D17EC" w14:paraId="373AB96D" w14:textId="77777777" w:rsidTr="00496CBB">
        <w:trPr>
          <w:tblCellSpacing w:w="15" w:type="dxa"/>
        </w:trPr>
        <w:tc>
          <w:tcPr>
            <w:tcW w:w="0" w:type="auto"/>
            <w:vAlign w:val="center"/>
            <w:hideMark/>
          </w:tcPr>
          <w:p w14:paraId="3FC16CC1"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Stage I</w:t>
            </w:r>
          </w:p>
        </w:tc>
        <w:tc>
          <w:tcPr>
            <w:tcW w:w="0" w:type="auto"/>
            <w:vAlign w:val="center"/>
            <w:hideMark/>
          </w:tcPr>
          <w:p w14:paraId="7A760A31"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1.10 [0.64, 1.88]</w:t>
            </w:r>
          </w:p>
        </w:tc>
        <w:tc>
          <w:tcPr>
            <w:tcW w:w="0" w:type="auto"/>
            <w:vAlign w:val="center"/>
            <w:hideMark/>
          </w:tcPr>
          <w:p w14:paraId="1D71F117"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1.11 [0.65, 1.90]</w:t>
            </w:r>
          </w:p>
        </w:tc>
      </w:tr>
      <w:tr w:rsidR="003163B4" w:rsidRPr="001D17EC" w14:paraId="599E0A10" w14:textId="77777777" w:rsidTr="00496CBB">
        <w:trPr>
          <w:tblCellSpacing w:w="15" w:type="dxa"/>
        </w:trPr>
        <w:tc>
          <w:tcPr>
            <w:tcW w:w="0" w:type="auto"/>
            <w:vAlign w:val="center"/>
            <w:hideMark/>
          </w:tcPr>
          <w:p w14:paraId="62E85BAB"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Stage II</w:t>
            </w:r>
          </w:p>
        </w:tc>
        <w:tc>
          <w:tcPr>
            <w:tcW w:w="0" w:type="auto"/>
            <w:vAlign w:val="center"/>
            <w:hideMark/>
          </w:tcPr>
          <w:p w14:paraId="07119D7F"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1.14 [0.61, 2.12]</w:t>
            </w:r>
          </w:p>
        </w:tc>
        <w:tc>
          <w:tcPr>
            <w:tcW w:w="0" w:type="auto"/>
            <w:vAlign w:val="center"/>
            <w:hideMark/>
          </w:tcPr>
          <w:p w14:paraId="49D3B39A"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1.14 [0.62, 2.12]</w:t>
            </w:r>
          </w:p>
        </w:tc>
      </w:tr>
      <w:tr w:rsidR="003163B4" w:rsidRPr="001D17EC" w14:paraId="07D4F298" w14:textId="77777777" w:rsidTr="00496CBB">
        <w:trPr>
          <w:tblCellSpacing w:w="15" w:type="dxa"/>
        </w:trPr>
        <w:tc>
          <w:tcPr>
            <w:tcW w:w="0" w:type="auto"/>
            <w:vAlign w:val="center"/>
            <w:hideMark/>
          </w:tcPr>
          <w:p w14:paraId="1EF4EFF7"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b/>
                <w:bCs/>
                <w:sz w:val="20"/>
                <w:szCs w:val="20"/>
              </w:rPr>
              <w:t>Current ART Regimen</w:t>
            </w:r>
          </w:p>
        </w:tc>
        <w:tc>
          <w:tcPr>
            <w:tcW w:w="0" w:type="auto"/>
            <w:vAlign w:val="center"/>
            <w:hideMark/>
          </w:tcPr>
          <w:p w14:paraId="35A69CA4" w14:textId="77777777" w:rsidR="003163B4" w:rsidRPr="00B070D5" w:rsidRDefault="003163B4" w:rsidP="00496CBB">
            <w:pPr>
              <w:spacing w:after="0" w:line="240" w:lineRule="auto"/>
              <w:rPr>
                <w:rFonts w:ascii="Times New Roman" w:hAnsi="Times New Roman" w:cs="Times New Roman"/>
                <w:sz w:val="20"/>
                <w:szCs w:val="20"/>
              </w:rPr>
            </w:pPr>
          </w:p>
        </w:tc>
        <w:tc>
          <w:tcPr>
            <w:tcW w:w="0" w:type="auto"/>
            <w:vAlign w:val="center"/>
            <w:hideMark/>
          </w:tcPr>
          <w:p w14:paraId="53D4051C" w14:textId="77777777" w:rsidR="003163B4" w:rsidRPr="00B070D5" w:rsidRDefault="003163B4" w:rsidP="00496CBB">
            <w:pPr>
              <w:spacing w:after="0" w:line="240" w:lineRule="auto"/>
              <w:rPr>
                <w:rFonts w:ascii="Times New Roman" w:hAnsi="Times New Roman" w:cs="Times New Roman"/>
                <w:sz w:val="20"/>
                <w:szCs w:val="20"/>
              </w:rPr>
            </w:pPr>
          </w:p>
        </w:tc>
      </w:tr>
      <w:tr w:rsidR="003163B4" w:rsidRPr="001D17EC" w14:paraId="08DB3D6C" w14:textId="77777777" w:rsidTr="00496CBB">
        <w:trPr>
          <w:tblCellSpacing w:w="15" w:type="dxa"/>
        </w:trPr>
        <w:tc>
          <w:tcPr>
            <w:tcW w:w="0" w:type="auto"/>
            <w:vAlign w:val="center"/>
            <w:hideMark/>
          </w:tcPr>
          <w:p w14:paraId="0F6B6885"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Dolutegravir (DTG)</w:t>
            </w:r>
          </w:p>
        </w:tc>
        <w:tc>
          <w:tcPr>
            <w:tcW w:w="0" w:type="auto"/>
            <w:vAlign w:val="center"/>
            <w:hideMark/>
          </w:tcPr>
          <w:p w14:paraId="26956BBE"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Reference</w:t>
            </w:r>
          </w:p>
        </w:tc>
        <w:tc>
          <w:tcPr>
            <w:tcW w:w="0" w:type="auto"/>
            <w:vAlign w:val="center"/>
            <w:hideMark/>
          </w:tcPr>
          <w:p w14:paraId="4D531F0E"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Reference</w:t>
            </w:r>
          </w:p>
        </w:tc>
      </w:tr>
      <w:tr w:rsidR="003163B4" w:rsidRPr="001D17EC" w14:paraId="10F1D117" w14:textId="77777777" w:rsidTr="00496CBB">
        <w:trPr>
          <w:tblCellSpacing w:w="15" w:type="dxa"/>
        </w:trPr>
        <w:tc>
          <w:tcPr>
            <w:tcW w:w="0" w:type="auto"/>
            <w:vAlign w:val="center"/>
            <w:hideMark/>
          </w:tcPr>
          <w:p w14:paraId="5DD009D6"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Others</w:t>
            </w:r>
          </w:p>
        </w:tc>
        <w:tc>
          <w:tcPr>
            <w:tcW w:w="0" w:type="auto"/>
            <w:vAlign w:val="center"/>
            <w:hideMark/>
          </w:tcPr>
          <w:p w14:paraId="11163A06"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0.38 [0.12, 1.14]</w:t>
            </w:r>
          </w:p>
        </w:tc>
        <w:tc>
          <w:tcPr>
            <w:tcW w:w="0" w:type="auto"/>
            <w:vAlign w:val="center"/>
            <w:hideMark/>
          </w:tcPr>
          <w:p w14:paraId="1CBCC582"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0.37 [0.12, 1.11]</w:t>
            </w:r>
          </w:p>
        </w:tc>
      </w:tr>
      <w:tr w:rsidR="003163B4" w:rsidRPr="001D17EC" w14:paraId="6C166A41" w14:textId="77777777" w:rsidTr="00496CBB">
        <w:trPr>
          <w:tblCellSpacing w:w="15" w:type="dxa"/>
        </w:trPr>
        <w:tc>
          <w:tcPr>
            <w:tcW w:w="0" w:type="auto"/>
            <w:vAlign w:val="center"/>
            <w:hideMark/>
          </w:tcPr>
          <w:p w14:paraId="27EF1010"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b/>
                <w:bCs/>
                <w:sz w:val="20"/>
                <w:szCs w:val="20"/>
              </w:rPr>
              <w:t>Duration on ART</w:t>
            </w:r>
          </w:p>
        </w:tc>
        <w:tc>
          <w:tcPr>
            <w:tcW w:w="0" w:type="auto"/>
            <w:vAlign w:val="center"/>
            <w:hideMark/>
          </w:tcPr>
          <w:p w14:paraId="1947EBD7" w14:textId="77777777" w:rsidR="003163B4" w:rsidRPr="00B070D5" w:rsidRDefault="003163B4" w:rsidP="00496CBB">
            <w:pPr>
              <w:spacing w:after="0" w:line="240" w:lineRule="auto"/>
              <w:rPr>
                <w:rFonts w:ascii="Times New Roman" w:hAnsi="Times New Roman" w:cs="Times New Roman"/>
                <w:sz w:val="20"/>
                <w:szCs w:val="20"/>
              </w:rPr>
            </w:pPr>
          </w:p>
        </w:tc>
        <w:tc>
          <w:tcPr>
            <w:tcW w:w="0" w:type="auto"/>
            <w:vAlign w:val="center"/>
            <w:hideMark/>
          </w:tcPr>
          <w:p w14:paraId="772F4928" w14:textId="77777777" w:rsidR="003163B4" w:rsidRPr="00B070D5" w:rsidRDefault="003163B4" w:rsidP="00496CBB">
            <w:pPr>
              <w:spacing w:after="0" w:line="240" w:lineRule="auto"/>
              <w:rPr>
                <w:rFonts w:ascii="Times New Roman" w:hAnsi="Times New Roman" w:cs="Times New Roman"/>
                <w:sz w:val="20"/>
                <w:szCs w:val="20"/>
              </w:rPr>
            </w:pPr>
          </w:p>
        </w:tc>
      </w:tr>
      <w:tr w:rsidR="003163B4" w:rsidRPr="001D17EC" w14:paraId="072B2FD2" w14:textId="77777777" w:rsidTr="00496CBB">
        <w:trPr>
          <w:tblCellSpacing w:w="15" w:type="dxa"/>
        </w:trPr>
        <w:tc>
          <w:tcPr>
            <w:tcW w:w="0" w:type="auto"/>
            <w:vAlign w:val="center"/>
            <w:hideMark/>
          </w:tcPr>
          <w:p w14:paraId="32F74104"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1 to 2 years</w:t>
            </w:r>
          </w:p>
        </w:tc>
        <w:tc>
          <w:tcPr>
            <w:tcW w:w="0" w:type="auto"/>
            <w:vAlign w:val="center"/>
            <w:hideMark/>
          </w:tcPr>
          <w:p w14:paraId="5286049A"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Reference</w:t>
            </w:r>
          </w:p>
        </w:tc>
        <w:tc>
          <w:tcPr>
            <w:tcW w:w="0" w:type="auto"/>
            <w:vAlign w:val="center"/>
            <w:hideMark/>
          </w:tcPr>
          <w:p w14:paraId="7A6B7317"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Reference</w:t>
            </w:r>
          </w:p>
        </w:tc>
      </w:tr>
      <w:tr w:rsidR="003163B4" w:rsidRPr="001D17EC" w14:paraId="65C5C7AD" w14:textId="77777777" w:rsidTr="00496CBB">
        <w:trPr>
          <w:tblCellSpacing w:w="15" w:type="dxa"/>
        </w:trPr>
        <w:tc>
          <w:tcPr>
            <w:tcW w:w="0" w:type="auto"/>
            <w:vAlign w:val="center"/>
            <w:hideMark/>
          </w:tcPr>
          <w:p w14:paraId="1ED64583"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3 to 4 years</w:t>
            </w:r>
          </w:p>
        </w:tc>
        <w:tc>
          <w:tcPr>
            <w:tcW w:w="0" w:type="auto"/>
            <w:vAlign w:val="center"/>
            <w:hideMark/>
          </w:tcPr>
          <w:p w14:paraId="1D356B3D"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0.85 [0.65, 1.10]</w:t>
            </w:r>
          </w:p>
        </w:tc>
        <w:tc>
          <w:tcPr>
            <w:tcW w:w="0" w:type="auto"/>
            <w:vAlign w:val="center"/>
            <w:hideMark/>
          </w:tcPr>
          <w:p w14:paraId="255FC2ED"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0.86 [0.66, 1.12]</w:t>
            </w:r>
          </w:p>
        </w:tc>
      </w:tr>
      <w:tr w:rsidR="003163B4" w:rsidRPr="001D17EC" w14:paraId="28649A91" w14:textId="77777777" w:rsidTr="00496CBB">
        <w:trPr>
          <w:tblCellSpacing w:w="15" w:type="dxa"/>
        </w:trPr>
        <w:tc>
          <w:tcPr>
            <w:tcW w:w="0" w:type="auto"/>
            <w:vAlign w:val="center"/>
            <w:hideMark/>
          </w:tcPr>
          <w:p w14:paraId="6F8A1FEC"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5 to 7 years</w:t>
            </w:r>
          </w:p>
        </w:tc>
        <w:tc>
          <w:tcPr>
            <w:tcW w:w="0" w:type="auto"/>
            <w:vAlign w:val="center"/>
            <w:hideMark/>
          </w:tcPr>
          <w:p w14:paraId="20F7860A"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0.92 [0.69, 1.22]</w:t>
            </w:r>
          </w:p>
        </w:tc>
        <w:tc>
          <w:tcPr>
            <w:tcW w:w="0" w:type="auto"/>
            <w:vAlign w:val="center"/>
            <w:hideMark/>
          </w:tcPr>
          <w:p w14:paraId="52DDF749"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0.93 [0.70, 1.24]</w:t>
            </w:r>
          </w:p>
        </w:tc>
      </w:tr>
      <w:tr w:rsidR="003163B4" w:rsidRPr="001D17EC" w14:paraId="595B484F" w14:textId="77777777" w:rsidTr="00496CBB">
        <w:trPr>
          <w:tblCellSpacing w:w="15" w:type="dxa"/>
        </w:trPr>
        <w:tc>
          <w:tcPr>
            <w:tcW w:w="0" w:type="auto"/>
            <w:vAlign w:val="center"/>
            <w:hideMark/>
          </w:tcPr>
          <w:p w14:paraId="368A677F"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b/>
                <w:bCs/>
                <w:sz w:val="20"/>
                <w:szCs w:val="20"/>
              </w:rPr>
              <w:t>Level 2: Facility Structural Factors</w:t>
            </w:r>
          </w:p>
        </w:tc>
        <w:tc>
          <w:tcPr>
            <w:tcW w:w="0" w:type="auto"/>
            <w:vAlign w:val="center"/>
            <w:hideMark/>
          </w:tcPr>
          <w:p w14:paraId="76B13D2A" w14:textId="77777777" w:rsidR="003163B4" w:rsidRPr="00B070D5" w:rsidRDefault="003163B4" w:rsidP="00496CBB">
            <w:pPr>
              <w:spacing w:after="0" w:line="240" w:lineRule="auto"/>
              <w:rPr>
                <w:rFonts w:ascii="Times New Roman" w:hAnsi="Times New Roman" w:cs="Times New Roman"/>
                <w:sz w:val="20"/>
                <w:szCs w:val="20"/>
              </w:rPr>
            </w:pPr>
          </w:p>
        </w:tc>
        <w:tc>
          <w:tcPr>
            <w:tcW w:w="0" w:type="auto"/>
            <w:vAlign w:val="center"/>
            <w:hideMark/>
          </w:tcPr>
          <w:p w14:paraId="08845FC9" w14:textId="77777777" w:rsidR="003163B4" w:rsidRPr="00B070D5" w:rsidRDefault="003163B4" w:rsidP="00496CBB">
            <w:pPr>
              <w:spacing w:after="0" w:line="240" w:lineRule="auto"/>
              <w:rPr>
                <w:rFonts w:ascii="Times New Roman" w:hAnsi="Times New Roman" w:cs="Times New Roman"/>
                <w:sz w:val="20"/>
                <w:szCs w:val="20"/>
              </w:rPr>
            </w:pPr>
          </w:p>
        </w:tc>
      </w:tr>
      <w:tr w:rsidR="003163B4" w:rsidRPr="001D17EC" w14:paraId="1C172371" w14:textId="77777777" w:rsidTr="00496CBB">
        <w:trPr>
          <w:tblCellSpacing w:w="15" w:type="dxa"/>
        </w:trPr>
        <w:tc>
          <w:tcPr>
            <w:tcW w:w="0" w:type="auto"/>
            <w:vAlign w:val="center"/>
            <w:hideMark/>
          </w:tcPr>
          <w:p w14:paraId="1DF1D193"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Location (Urban vs Rural ref)</w:t>
            </w:r>
          </w:p>
        </w:tc>
        <w:tc>
          <w:tcPr>
            <w:tcW w:w="0" w:type="auto"/>
            <w:vAlign w:val="center"/>
            <w:hideMark/>
          </w:tcPr>
          <w:p w14:paraId="6101A3D5"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w:t>
            </w:r>
          </w:p>
        </w:tc>
        <w:tc>
          <w:tcPr>
            <w:tcW w:w="0" w:type="auto"/>
            <w:vAlign w:val="center"/>
            <w:hideMark/>
          </w:tcPr>
          <w:p w14:paraId="16F6FB66"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1.28 [0.84, 1.95]</w:t>
            </w:r>
          </w:p>
        </w:tc>
      </w:tr>
      <w:tr w:rsidR="003163B4" w:rsidRPr="001D17EC" w14:paraId="0AE7B4E2" w14:textId="77777777" w:rsidTr="00496CBB">
        <w:trPr>
          <w:tblCellSpacing w:w="15" w:type="dxa"/>
        </w:trPr>
        <w:tc>
          <w:tcPr>
            <w:tcW w:w="0" w:type="auto"/>
            <w:vAlign w:val="center"/>
            <w:hideMark/>
          </w:tcPr>
          <w:p w14:paraId="3EB7600C"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Ownership (Public vs Non-public ref)</w:t>
            </w:r>
          </w:p>
        </w:tc>
        <w:tc>
          <w:tcPr>
            <w:tcW w:w="0" w:type="auto"/>
            <w:vAlign w:val="center"/>
            <w:hideMark/>
          </w:tcPr>
          <w:p w14:paraId="1BEC7677"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w:t>
            </w:r>
          </w:p>
        </w:tc>
        <w:tc>
          <w:tcPr>
            <w:tcW w:w="0" w:type="auto"/>
            <w:vAlign w:val="center"/>
            <w:hideMark/>
          </w:tcPr>
          <w:p w14:paraId="59897F5B"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1.21 [0.88, 1.67]</w:t>
            </w:r>
          </w:p>
        </w:tc>
      </w:tr>
      <w:tr w:rsidR="003163B4" w:rsidRPr="001D17EC" w14:paraId="7871D2A8" w14:textId="77777777" w:rsidTr="00496CBB">
        <w:trPr>
          <w:tblCellSpacing w:w="15" w:type="dxa"/>
        </w:trPr>
        <w:tc>
          <w:tcPr>
            <w:tcW w:w="0" w:type="auto"/>
            <w:vAlign w:val="center"/>
            <w:hideMark/>
          </w:tcPr>
          <w:p w14:paraId="7612E803"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Tier (Tertiary vs Non-tertiary ref)</w:t>
            </w:r>
          </w:p>
        </w:tc>
        <w:tc>
          <w:tcPr>
            <w:tcW w:w="0" w:type="auto"/>
            <w:vAlign w:val="center"/>
            <w:hideMark/>
          </w:tcPr>
          <w:p w14:paraId="4E5BB7D8"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w:t>
            </w:r>
          </w:p>
        </w:tc>
        <w:tc>
          <w:tcPr>
            <w:tcW w:w="0" w:type="auto"/>
            <w:vAlign w:val="center"/>
            <w:hideMark/>
          </w:tcPr>
          <w:p w14:paraId="2FA8C3F1" w14:textId="77777777" w:rsidR="003163B4" w:rsidRPr="00B070D5" w:rsidRDefault="003163B4" w:rsidP="00496CBB">
            <w:pPr>
              <w:spacing w:after="0" w:line="240" w:lineRule="auto"/>
              <w:rPr>
                <w:rFonts w:ascii="Times New Roman" w:hAnsi="Times New Roman" w:cs="Times New Roman"/>
                <w:sz w:val="20"/>
                <w:szCs w:val="20"/>
              </w:rPr>
            </w:pPr>
            <w:r w:rsidRPr="00B070D5">
              <w:rPr>
                <w:rFonts w:ascii="Times New Roman" w:hAnsi="Times New Roman" w:cs="Times New Roman"/>
                <w:sz w:val="20"/>
                <w:szCs w:val="20"/>
              </w:rPr>
              <w:t>0.92 [0.53, 1.59]</w:t>
            </w:r>
          </w:p>
        </w:tc>
      </w:tr>
    </w:tbl>
    <w:p w14:paraId="41AB7CA1" w14:textId="77777777" w:rsidR="003163B4" w:rsidRPr="001D17EC" w:rsidRDefault="003163B4" w:rsidP="0055187F">
      <w:pPr>
        <w:spacing w:line="360" w:lineRule="auto"/>
        <w:rPr>
          <w:rFonts w:ascii="Times New Roman" w:hAnsi="Times New Roman" w:cs="Times New Roman"/>
          <w:sz w:val="24"/>
          <w:szCs w:val="24"/>
        </w:rPr>
      </w:pPr>
      <w:r w:rsidRPr="00496CBB">
        <w:rPr>
          <w:rFonts w:ascii="Times New Roman" w:hAnsi="Times New Roman" w:cs="Times New Roman"/>
          <w:i/>
          <w:sz w:val="24"/>
          <w:szCs w:val="24"/>
        </w:rPr>
        <w:t>Note: *** p &lt; .001, ** p &lt; .01, * p &lt; .05.</w:t>
      </w:r>
      <w:r w:rsidRPr="001D17EC">
        <w:rPr>
          <w:rFonts w:ascii="Times New Roman" w:hAnsi="Times New Roman" w:cs="Times New Roman"/>
          <w:sz w:val="24"/>
          <w:szCs w:val="24"/>
        </w:rPr>
        <w:br/>
        <w:t>Source: Researcher’s Computation (2026)</w:t>
      </w:r>
    </w:p>
    <w:p w14:paraId="6AD9013B" w14:textId="77777777" w:rsidR="003163B4" w:rsidRPr="001D17EC" w:rsidRDefault="003163B4" w:rsidP="003163B4">
      <w:pPr>
        <w:spacing w:line="480" w:lineRule="auto"/>
        <w:jc w:val="both"/>
        <w:rPr>
          <w:rFonts w:ascii="Times New Roman" w:hAnsi="Times New Roman" w:cs="Times New Roman"/>
          <w:sz w:val="24"/>
          <w:szCs w:val="24"/>
        </w:rPr>
      </w:pPr>
      <w:r w:rsidRPr="001D17EC">
        <w:rPr>
          <w:rFonts w:ascii="Times New Roman" w:hAnsi="Times New Roman" w:cs="Times New Roman"/>
          <w:sz w:val="24"/>
          <w:szCs w:val="24"/>
        </w:rPr>
        <w:t>Following mutual adjustment within the hierarchical framework (Model 1), Baseline Viral Load emerged as the single most determinative clinical predictor. Patients who entered care with an unsuppressed baseline viral load experienced a 54% reduction in the adjusted odds of achieving ultimate virologic success (</w:t>
      </w:r>
      <w:proofErr w:type="spellStart"/>
      <w:r w:rsidRPr="001D17EC">
        <w:rPr>
          <w:rFonts w:ascii="Times New Roman" w:hAnsi="Times New Roman" w:cs="Times New Roman"/>
          <w:sz w:val="24"/>
          <w:szCs w:val="24"/>
        </w:rPr>
        <w:t>aOR</w:t>
      </w:r>
      <w:proofErr w:type="spellEnd"/>
      <w:r w:rsidRPr="001D17EC">
        <w:rPr>
          <w:rFonts w:ascii="Times New Roman" w:hAnsi="Times New Roman" w:cs="Times New Roman"/>
          <w:sz w:val="24"/>
          <w:szCs w:val="24"/>
        </w:rPr>
        <w:t xml:space="preserve"> = 0.46; 95% CI [0.36, 0.59]; p &lt; .001) compared to those who initiated with virologic control.</w:t>
      </w:r>
    </w:p>
    <w:p w14:paraId="22111EFC" w14:textId="77777777" w:rsidR="003163B4" w:rsidRPr="001D17EC" w:rsidRDefault="003163B4" w:rsidP="003163B4">
      <w:pPr>
        <w:spacing w:line="480" w:lineRule="auto"/>
        <w:jc w:val="both"/>
        <w:rPr>
          <w:rFonts w:ascii="Times New Roman" w:hAnsi="Times New Roman" w:cs="Times New Roman"/>
          <w:sz w:val="24"/>
          <w:szCs w:val="24"/>
        </w:rPr>
      </w:pPr>
      <w:r w:rsidRPr="001D17EC">
        <w:rPr>
          <w:rFonts w:ascii="Times New Roman" w:hAnsi="Times New Roman" w:cs="Times New Roman"/>
          <w:sz w:val="24"/>
          <w:szCs w:val="24"/>
        </w:rPr>
        <w:lastRenderedPageBreak/>
        <w:t>Conversely, structural programmatic interventions demonstrated profound protective effects. The implementation of optimized differentiated service delivery significantly improved outcomes, with patients receiving six-month multi-month dispensing (MMD 6) exhibiting 34% higher adjusted odds of suppression compared to those on standard three-month schedules (</w:t>
      </w:r>
      <w:proofErr w:type="spellStart"/>
      <w:r w:rsidRPr="001D17EC">
        <w:rPr>
          <w:rFonts w:ascii="Times New Roman" w:hAnsi="Times New Roman" w:cs="Times New Roman"/>
          <w:sz w:val="24"/>
          <w:szCs w:val="24"/>
        </w:rPr>
        <w:t>aOR</w:t>
      </w:r>
      <w:proofErr w:type="spellEnd"/>
      <w:r w:rsidRPr="001D17EC">
        <w:rPr>
          <w:rFonts w:ascii="Times New Roman" w:hAnsi="Times New Roman" w:cs="Times New Roman"/>
          <w:sz w:val="24"/>
          <w:szCs w:val="24"/>
        </w:rPr>
        <w:t xml:space="preserve"> = 1.34; 95% CI [1.08, 1.66]; p &lt; .01).</w:t>
      </w:r>
    </w:p>
    <w:p w14:paraId="05DE686A" w14:textId="77777777" w:rsidR="003163B4" w:rsidRPr="001D17EC" w:rsidRDefault="003163B4" w:rsidP="003163B4">
      <w:pPr>
        <w:spacing w:line="480" w:lineRule="auto"/>
        <w:jc w:val="both"/>
        <w:rPr>
          <w:rFonts w:ascii="Times New Roman" w:hAnsi="Times New Roman" w:cs="Times New Roman"/>
          <w:sz w:val="24"/>
          <w:szCs w:val="24"/>
        </w:rPr>
      </w:pPr>
      <w:r w:rsidRPr="001D17EC">
        <w:rPr>
          <w:rFonts w:ascii="Times New Roman" w:hAnsi="Times New Roman" w:cs="Times New Roman"/>
          <w:sz w:val="24"/>
          <w:szCs w:val="24"/>
        </w:rPr>
        <w:t>Social determinants also exerted independent influence. Educational attainment presented a significant protective advantage; individuals who completed tertiary education had 54% higher odds of virologic success compared to those with no formal education (</w:t>
      </w:r>
      <w:proofErr w:type="spellStart"/>
      <w:r w:rsidRPr="001D17EC">
        <w:rPr>
          <w:rFonts w:ascii="Times New Roman" w:hAnsi="Times New Roman" w:cs="Times New Roman"/>
          <w:sz w:val="24"/>
          <w:szCs w:val="24"/>
        </w:rPr>
        <w:t>aOR</w:t>
      </w:r>
      <w:proofErr w:type="spellEnd"/>
      <w:r w:rsidRPr="001D17EC">
        <w:rPr>
          <w:rFonts w:ascii="Times New Roman" w:hAnsi="Times New Roman" w:cs="Times New Roman"/>
          <w:sz w:val="24"/>
          <w:szCs w:val="24"/>
        </w:rPr>
        <w:t xml:space="preserve"> = 1.54; 95% CI [1.03, 2.30]; p &lt; .05). Furthermore, marital status heavily moderated patient vulnerability, as never-married individuals demonstrated a 25% decrease in the odds of suppression compared to their married peers (</w:t>
      </w:r>
      <w:proofErr w:type="spellStart"/>
      <w:r w:rsidRPr="001D17EC">
        <w:rPr>
          <w:rFonts w:ascii="Times New Roman" w:hAnsi="Times New Roman" w:cs="Times New Roman"/>
          <w:sz w:val="24"/>
          <w:szCs w:val="24"/>
        </w:rPr>
        <w:t>aOR</w:t>
      </w:r>
      <w:proofErr w:type="spellEnd"/>
      <w:r w:rsidRPr="001D17EC">
        <w:rPr>
          <w:rFonts w:ascii="Times New Roman" w:hAnsi="Times New Roman" w:cs="Times New Roman"/>
          <w:sz w:val="24"/>
          <w:szCs w:val="24"/>
        </w:rPr>
        <w:t xml:space="preserve"> = 0.75; 95% CI [0.61, 0.94]; p &lt; .05).</w:t>
      </w:r>
    </w:p>
    <w:p w14:paraId="40586D32" w14:textId="77777777" w:rsidR="003163B4" w:rsidRPr="001D17EC" w:rsidRDefault="003163B4" w:rsidP="003163B4">
      <w:pPr>
        <w:spacing w:line="480" w:lineRule="auto"/>
        <w:jc w:val="both"/>
        <w:rPr>
          <w:rFonts w:ascii="Times New Roman" w:hAnsi="Times New Roman" w:cs="Times New Roman"/>
          <w:sz w:val="24"/>
          <w:szCs w:val="24"/>
        </w:rPr>
      </w:pPr>
      <w:r w:rsidRPr="001D17EC">
        <w:rPr>
          <w:rFonts w:ascii="Times New Roman" w:hAnsi="Times New Roman" w:cs="Times New Roman"/>
          <w:sz w:val="24"/>
          <w:szCs w:val="24"/>
        </w:rPr>
        <w:t xml:space="preserve">Crucially, the multivariable modeling illuminated significant confounding present in the unadjusted Phase 2 analysis. The distinct "rural disadvantage" observed in the bivariate screening was fully attenuated upon adjustment for Level 1 variables (Model 2 Location </w:t>
      </w:r>
      <w:proofErr w:type="spellStart"/>
      <w:r w:rsidRPr="001D17EC">
        <w:rPr>
          <w:rFonts w:ascii="Times New Roman" w:hAnsi="Times New Roman" w:cs="Times New Roman"/>
          <w:sz w:val="24"/>
          <w:szCs w:val="24"/>
        </w:rPr>
        <w:t>aOR</w:t>
      </w:r>
      <w:proofErr w:type="spellEnd"/>
      <w:r w:rsidRPr="001D17EC">
        <w:rPr>
          <w:rFonts w:ascii="Times New Roman" w:hAnsi="Times New Roman" w:cs="Times New Roman"/>
          <w:sz w:val="24"/>
          <w:szCs w:val="24"/>
        </w:rPr>
        <w:t xml:space="preserve"> = 1.28; 95% CI [0.84, 1.95]). This nullification confirms that ind</w:t>
      </w:r>
      <w:r>
        <w:rPr>
          <w:rFonts w:ascii="Times New Roman" w:hAnsi="Times New Roman" w:cs="Times New Roman"/>
          <w:sz w:val="24"/>
          <w:szCs w:val="24"/>
        </w:rPr>
        <w:t xml:space="preserve">ividual patient vulnerabilities </w:t>
      </w:r>
      <w:r w:rsidRPr="001D17EC">
        <w:rPr>
          <w:rFonts w:ascii="Times New Roman" w:hAnsi="Times New Roman" w:cs="Times New Roman"/>
          <w:sz w:val="24"/>
          <w:szCs w:val="24"/>
        </w:rPr>
        <w:t xml:space="preserve">such as lower educational attainment and higher </w:t>
      </w:r>
      <w:r>
        <w:rPr>
          <w:rFonts w:ascii="Times New Roman" w:hAnsi="Times New Roman" w:cs="Times New Roman"/>
          <w:sz w:val="24"/>
          <w:szCs w:val="24"/>
        </w:rPr>
        <w:t xml:space="preserve">rates of baseline </w:t>
      </w:r>
      <w:proofErr w:type="spellStart"/>
      <w:r>
        <w:rPr>
          <w:rFonts w:ascii="Times New Roman" w:hAnsi="Times New Roman" w:cs="Times New Roman"/>
          <w:sz w:val="24"/>
          <w:szCs w:val="24"/>
        </w:rPr>
        <w:t>unsuppression</w:t>
      </w:r>
      <w:proofErr w:type="spellEnd"/>
      <w:r>
        <w:rPr>
          <w:rFonts w:ascii="Times New Roman" w:hAnsi="Times New Roman" w:cs="Times New Roman"/>
          <w:sz w:val="24"/>
          <w:szCs w:val="24"/>
        </w:rPr>
        <w:t xml:space="preserve"> </w:t>
      </w:r>
      <w:r w:rsidRPr="001D17EC">
        <w:rPr>
          <w:rFonts w:ascii="Times New Roman" w:hAnsi="Times New Roman" w:cs="Times New Roman"/>
          <w:sz w:val="24"/>
          <w:szCs w:val="24"/>
        </w:rPr>
        <w:t>drive the discrepancy in outcomes, rather than the geographic location or tier of the facility itself.</w:t>
      </w:r>
    </w:p>
    <w:p w14:paraId="1B61E3F8" w14:textId="77777777" w:rsidR="00F94184" w:rsidRDefault="00F94184" w:rsidP="00EE589F">
      <w:pPr>
        <w:spacing w:before="100" w:beforeAutospacing="1" w:after="100" w:afterAutospacing="1" w:line="480" w:lineRule="auto"/>
        <w:jc w:val="center"/>
        <w:outlineLvl w:val="2"/>
        <w:rPr>
          <w:rFonts w:ascii="Times New Roman" w:eastAsia="Times New Roman" w:hAnsi="Times New Roman" w:cs="Times New Roman"/>
          <w:b/>
          <w:bCs/>
          <w:sz w:val="24"/>
          <w:szCs w:val="24"/>
        </w:rPr>
      </w:pPr>
    </w:p>
    <w:p w14:paraId="15735B8A" w14:textId="77777777" w:rsidR="00F94184" w:rsidRDefault="00F94184" w:rsidP="00EE589F">
      <w:pPr>
        <w:spacing w:before="100" w:beforeAutospacing="1" w:after="100" w:afterAutospacing="1" w:line="480" w:lineRule="auto"/>
        <w:jc w:val="center"/>
        <w:outlineLvl w:val="2"/>
        <w:rPr>
          <w:rFonts w:ascii="Times New Roman" w:eastAsia="Times New Roman" w:hAnsi="Times New Roman" w:cs="Times New Roman"/>
          <w:b/>
          <w:bCs/>
          <w:sz w:val="24"/>
          <w:szCs w:val="24"/>
        </w:rPr>
      </w:pPr>
    </w:p>
    <w:p w14:paraId="058B8AB0" w14:textId="77777777" w:rsidR="00F94184" w:rsidRDefault="00F94184" w:rsidP="00EE589F">
      <w:pPr>
        <w:spacing w:before="100" w:beforeAutospacing="1" w:after="100" w:afterAutospacing="1" w:line="480" w:lineRule="auto"/>
        <w:jc w:val="center"/>
        <w:outlineLvl w:val="2"/>
        <w:rPr>
          <w:rFonts w:ascii="Times New Roman" w:eastAsia="Times New Roman" w:hAnsi="Times New Roman" w:cs="Times New Roman"/>
          <w:b/>
          <w:bCs/>
          <w:sz w:val="24"/>
          <w:szCs w:val="24"/>
        </w:rPr>
      </w:pPr>
    </w:p>
    <w:p w14:paraId="55543556" w14:textId="77777777" w:rsidR="00F94184" w:rsidRDefault="00F94184" w:rsidP="00EE589F">
      <w:pPr>
        <w:spacing w:before="100" w:beforeAutospacing="1" w:after="100" w:afterAutospacing="1" w:line="480" w:lineRule="auto"/>
        <w:jc w:val="center"/>
        <w:outlineLvl w:val="2"/>
        <w:rPr>
          <w:rFonts w:ascii="Times New Roman" w:eastAsia="Times New Roman" w:hAnsi="Times New Roman" w:cs="Times New Roman"/>
          <w:b/>
          <w:bCs/>
          <w:sz w:val="24"/>
          <w:szCs w:val="24"/>
        </w:rPr>
      </w:pPr>
    </w:p>
    <w:p w14:paraId="1A8F1550" w14:textId="77777777" w:rsidR="00EE589F" w:rsidRDefault="00EE589F" w:rsidP="0055187F">
      <w:pPr>
        <w:spacing w:before="100" w:beforeAutospacing="1" w:after="100" w:afterAutospacing="1" w:line="360" w:lineRule="auto"/>
        <w:jc w:val="center"/>
        <w:outlineLvl w:val="2"/>
        <w:rPr>
          <w:rFonts w:ascii="Times New Roman" w:eastAsia="Times New Roman" w:hAnsi="Times New Roman" w:cs="Times New Roman"/>
          <w:b/>
          <w:bCs/>
          <w:sz w:val="24"/>
          <w:szCs w:val="24"/>
        </w:rPr>
      </w:pPr>
      <w:r w:rsidRPr="001C11C7">
        <w:rPr>
          <w:rFonts w:ascii="Times New Roman" w:eastAsia="Times New Roman" w:hAnsi="Times New Roman" w:cs="Times New Roman"/>
          <w:b/>
          <w:bCs/>
          <w:sz w:val="24"/>
          <w:szCs w:val="24"/>
        </w:rPr>
        <w:lastRenderedPageBreak/>
        <w:t>CHAPTER FIVE</w:t>
      </w:r>
    </w:p>
    <w:p w14:paraId="7E315535" w14:textId="77777777" w:rsidR="00EE589F" w:rsidRPr="001C11C7" w:rsidRDefault="00EE589F" w:rsidP="0055187F">
      <w:pPr>
        <w:spacing w:before="100" w:beforeAutospacing="1" w:after="100" w:afterAutospacing="1" w:line="360" w:lineRule="auto"/>
        <w:jc w:val="center"/>
        <w:outlineLvl w:val="2"/>
        <w:rPr>
          <w:rFonts w:ascii="Times New Roman" w:eastAsia="Times New Roman" w:hAnsi="Times New Roman" w:cs="Times New Roman"/>
          <w:b/>
          <w:bCs/>
          <w:sz w:val="24"/>
          <w:szCs w:val="24"/>
        </w:rPr>
      </w:pPr>
      <w:r w:rsidRPr="001C11C7">
        <w:rPr>
          <w:rFonts w:ascii="Times New Roman" w:eastAsia="Times New Roman" w:hAnsi="Times New Roman" w:cs="Times New Roman"/>
          <w:b/>
          <w:bCs/>
          <w:sz w:val="24"/>
          <w:szCs w:val="24"/>
        </w:rPr>
        <w:t>ANALYSIS</w:t>
      </w:r>
    </w:p>
    <w:p w14:paraId="459EC678" w14:textId="77777777" w:rsidR="00EE589F" w:rsidRDefault="00EE589F" w:rsidP="00EE589F">
      <w:pPr>
        <w:spacing w:before="100" w:beforeAutospacing="1" w:after="100" w:afterAutospacing="1" w:line="48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sz w:val="24"/>
          <w:szCs w:val="24"/>
        </w:rPr>
        <w:t xml:space="preserve">This chapter moves from the empirical record in Chapter Four to </w:t>
      </w:r>
      <w:proofErr w:type="gramStart"/>
      <w:r w:rsidRPr="001C11C7">
        <w:rPr>
          <w:rFonts w:ascii="Times New Roman" w:eastAsia="Times New Roman" w:hAnsi="Times New Roman" w:cs="Times New Roman"/>
          <w:sz w:val="24"/>
          <w:szCs w:val="24"/>
        </w:rPr>
        <w:t>evidence based</w:t>
      </w:r>
      <w:proofErr w:type="gramEnd"/>
      <w:r w:rsidRPr="001C11C7">
        <w:rPr>
          <w:rFonts w:ascii="Times New Roman" w:eastAsia="Times New Roman" w:hAnsi="Times New Roman" w:cs="Times New Roman"/>
          <w:sz w:val="24"/>
          <w:szCs w:val="24"/>
        </w:rPr>
        <w:t xml:space="preserve"> interpretation and critical examination. Four variables independently predicted viral load suppression in the multilevel analysis: baseline viral load status, multi month dispensing category, educational attainment, and marital status. Seven null findings also emerged that are analytically important precisely because they contradict what the literature would predict. Section 5.1 interprets both sets of findings in descending order of analytical importance. Section 5.2 examines alternative explanations, methodological alternatives, and programmatic alt</w:t>
      </w:r>
      <w:r>
        <w:rPr>
          <w:rFonts w:ascii="Times New Roman" w:eastAsia="Times New Roman" w:hAnsi="Times New Roman" w:cs="Times New Roman"/>
          <w:sz w:val="24"/>
          <w:szCs w:val="24"/>
        </w:rPr>
        <w:t>ernatives the findings generate.</w:t>
      </w:r>
    </w:p>
    <w:p w14:paraId="7730B8F1" w14:textId="77777777" w:rsidR="00EE589F" w:rsidRPr="00362A88" w:rsidRDefault="00EE589F" w:rsidP="00EE589F">
      <w:pPr>
        <w:spacing w:before="100" w:beforeAutospacing="1" w:after="100" w:afterAutospacing="1" w:line="480" w:lineRule="auto"/>
        <w:jc w:val="both"/>
        <w:rPr>
          <w:rFonts w:ascii="Times New Roman" w:eastAsia="Times New Roman" w:hAnsi="Times New Roman" w:cs="Times New Roman"/>
          <w:b/>
          <w:bCs/>
          <w:sz w:val="24"/>
          <w:szCs w:val="24"/>
        </w:rPr>
      </w:pPr>
      <w:r w:rsidRPr="00362A88">
        <w:rPr>
          <w:rFonts w:ascii="Times New Roman" w:eastAsia="Times New Roman" w:hAnsi="Times New Roman" w:cs="Times New Roman"/>
          <w:b/>
          <w:bCs/>
          <w:sz w:val="24"/>
          <w:szCs w:val="24"/>
        </w:rPr>
        <w:t>5.1 Interpretation of Results</w:t>
      </w:r>
    </w:p>
    <w:p w14:paraId="2333DD1B" w14:textId="77777777" w:rsidR="00EE589F" w:rsidRPr="00362A88" w:rsidRDefault="00EE589F" w:rsidP="00EE589F">
      <w:pPr>
        <w:spacing w:before="100" w:beforeAutospacing="1" w:after="100" w:afterAutospacing="1" w:line="480" w:lineRule="auto"/>
        <w:jc w:val="both"/>
        <w:rPr>
          <w:rFonts w:ascii="Times New Roman" w:eastAsia="Times New Roman" w:hAnsi="Times New Roman" w:cs="Times New Roman"/>
          <w:sz w:val="24"/>
          <w:szCs w:val="24"/>
        </w:rPr>
      </w:pPr>
      <w:r w:rsidRPr="00362A88">
        <w:rPr>
          <w:rFonts w:ascii="Times New Roman" w:eastAsia="Times New Roman" w:hAnsi="Times New Roman" w:cs="Times New Roman"/>
          <w:sz w:val="24"/>
          <w:szCs w:val="24"/>
        </w:rPr>
        <w:t>This section contextualizes the empirical findings from Chapter Four within the broader epidemiological literature and the theoretical scaffolding of the Adapted Social Ecological Model. Transitioning from statistical observation to public health synthesis, it explores the underlying mechanisms driving viral load suppression and explains the programmatic implications for Plateau State.</w:t>
      </w:r>
    </w:p>
    <w:p w14:paraId="17B6097C" w14:textId="77777777" w:rsidR="00EE589F" w:rsidRPr="00985750" w:rsidRDefault="00EE589F" w:rsidP="00EE589F">
      <w:pPr>
        <w:spacing w:before="100" w:beforeAutospacing="1" w:after="100" w:afterAutospacing="1" w:line="480" w:lineRule="auto"/>
        <w:jc w:val="both"/>
        <w:rPr>
          <w:rFonts w:ascii="Times New Roman" w:eastAsia="Times New Roman" w:hAnsi="Times New Roman" w:cs="Times New Roman"/>
          <w:b/>
          <w:bCs/>
          <w:sz w:val="24"/>
          <w:szCs w:val="24"/>
        </w:rPr>
      </w:pPr>
      <w:r w:rsidRPr="00985750">
        <w:rPr>
          <w:rFonts w:ascii="Times New Roman" w:eastAsia="Times New Roman" w:hAnsi="Times New Roman" w:cs="Times New Roman"/>
          <w:b/>
          <w:bCs/>
          <w:sz w:val="24"/>
          <w:szCs w:val="24"/>
        </w:rPr>
        <w:t xml:space="preserve">5.1.1 Theoretical Alignment </w:t>
      </w:r>
      <w:r>
        <w:rPr>
          <w:rFonts w:ascii="Times New Roman" w:eastAsia="Times New Roman" w:hAnsi="Times New Roman" w:cs="Times New Roman"/>
          <w:b/>
          <w:bCs/>
          <w:sz w:val="24"/>
          <w:szCs w:val="24"/>
        </w:rPr>
        <w:t>(</w:t>
      </w:r>
      <w:r w:rsidRPr="00362A88">
        <w:rPr>
          <w:rFonts w:ascii="Times New Roman" w:eastAsia="Times New Roman" w:hAnsi="Times New Roman" w:cs="Times New Roman"/>
          <w:b/>
          <w:bCs/>
          <w:sz w:val="24"/>
          <w:szCs w:val="24"/>
        </w:rPr>
        <w:t>Adapted Social Ecological Model</w:t>
      </w:r>
      <w:r>
        <w:rPr>
          <w:rFonts w:ascii="Times New Roman" w:eastAsia="Times New Roman" w:hAnsi="Times New Roman" w:cs="Times New Roman"/>
          <w:b/>
          <w:bCs/>
          <w:sz w:val="24"/>
          <w:szCs w:val="24"/>
        </w:rPr>
        <w:t>)</w:t>
      </w:r>
    </w:p>
    <w:p w14:paraId="3D96A81F" w14:textId="77777777" w:rsidR="00EE589F" w:rsidRPr="00985750" w:rsidRDefault="00EE589F" w:rsidP="00EE589F">
      <w:pPr>
        <w:spacing w:before="100" w:beforeAutospacing="1" w:after="100" w:afterAutospacing="1" w:line="480" w:lineRule="auto"/>
        <w:jc w:val="both"/>
        <w:rPr>
          <w:rFonts w:ascii="Times New Roman" w:eastAsia="Times New Roman" w:hAnsi="Times New Roman" w:cs="Times New Roman"/>
          <w:sz w:val="24"/>
          <w:szCs w:val="24"/>
        </w:rPr>
      </w:pPr>
      <w:r w:rsidRPr="00985750">
        <w:rPr>
          <w:rFonts w:ascii="Times New Roman" w:eastAsia="Times New Roman" w:hAnsi="Times New Roman" w:cs="Times New Roman"/>
          <w:sz w:val="24"/>
          <w:szCs w:val="24"/>
        </w:rPr>
        <w:t>The empirical validation of the Adapted Social Ecological Model in this cohort requires a critical reassessment of its foundational assumptions (McLeroy et al., 1988; Stokols, 1992). The original framework hypothesized that macro level institutional environments would actively condition micro level individual outcomes. This investigation empirically tested that hypothesis by nesting patient level data within specific facility contexts.</w:t>
      </w:r>
    </w:p>
    <w:p w14:paraId="57BC9171" w14:textId="77777777" w:rsidR="00EE589F" w:rsidRPr="00985750" w:rsidRDefault="00EE589F" w:rsidP="00EE589F">
      <w:pPr>
        <w:spacing w:before="100" w:beforeAutospacing="1" w:after="100" w:afterAutospacing="1" w:line="480" w:lineRule="auto"/>
        <w:jc w:val="both"/>
        <w:rPr>
          <w:rFonts w:ascii="Times New Roman" w:eastAsia="Times New Roman" w:hAnsi="Times New Roman" w:cs="Times New Roman"/>
          <w:sz w:val="24"/>
          <w:szCs w:val="24"/>
        </w:rPr>
      </w:pPr>
      <w:r w:rsidRPr="00985750">
        <w:rPr>
          <w:rFonts w:ascii="Times New Roman" w:eastAsia="Times New Roman" w:hAnsi="Times New Roman" w:cs="Times New Roman"/>
          <w:sz w:val="24"/>
          <w:szCs w:val="24"/>
        </w:rPr>
        <w:lastRenderedPageBreak/>
        <w:t>The intercept only null model yielded an Intraclass Correlation Coefficient of 3.16 percent. In multilevel modeling, this variance confirms that patient outcomes are not strictly independent. The specific facility a patient attends exerts a statistically measurable influence on viral load suppression, formally justifying the hierarchical regression utilized in this study. However, this metric simultaneously reveals a profound conceptual reality: the overwhelming majority of the variance in clinical success resides strictly at the individual patient level, not the institutional level.</w:t>
      </w:r>
    </w:p>
    <w:p w14:paraId="78247044" w14:textId="77777777" w:rsidR="00EE589F" w:rsidRPr="00985750" w:rsidRDefault="00EE589F" w:rsidP="00EE589F">
      <w:pPr>
        <w:spacing w:before="100" w:beforeAutospacing="1" w:after="100" w:afterAutospacing="1" w:line="480" w:lineRule="auto"/>
        <w:jc w:val="both"/>
        <w:rPr>
          <w:rFonts w:ascii="Times New Roman" w:eastAsia="Times New Roman" w:hAnsi="Times New Roman" w:cs="Times New Roman"/>
          <w:sz w:val="24"/>
          <w:szCs w:val="24"/>
        </w:rPr>
      </w:pPr>
      <w:r w:rsidRPr="00985750">
        <w:rPr>
          <w:rFonts w:ascii="Times New Roman" w:eastAsia="Times New Roman" w:hAnsi="Times New Roman" w:cs="Times New Roman"/>
          <w:sz w:val="24"/>
          <w:szCs w:val="24"/>
        </w:rPr>
        <w:t>Furthermore, the fully adjusted multivariable models provide a critical refinement to the initial ecological premise. The original conceptualization assumed that static structural classifications, specifically geographic location, ownership, and facility tier, would act as primary institutional moderators. The empirical evidence from this cohort definitively refutes this assumption. The complete statistical attenuation of the rural disadvantage and facility tier effects following adjustment for patient characteristics proves that these macro level structural labels possess no independent predictive power regarding biological outcomes (Badejo et al., 2020).</w:t>
      </w:r>
    </w:p>
    <w:p w14:paraId="28F3E733" w14:textId="77777777" w:rsidR="00EE589F" w:rsidRPr="0069404D" w:rsidRDefault="00EE589F" w:rsidP="00EE589F">
      <w:pPr>
        <w:spacing w:before="100" w:beforeAutospacing="1" w:after="100" w:afterAutospacing="1" w:line="480" w:lineRule="auto"/>
        <w:jc w:val="both"/>
        <w:rPr>
          <w:rFonts w:ascii="Times New Roman" w:eastAsia="Times New Roman" w:hAnsi="Times New Roman" w:cs="Times New Roman"/>
          <w:b/>
          <w:bCs/>
          <w:sz w:val="24"/>
          <w:szCs w:val="24"/>
        </w:rPr>
      </w:pPr>
      <w:r w:rsidRPr="00985750">
        <w:rPr>
          <w:rFonts w:ascii="Times New Roman" w:eastAsia="Times New Roman" w:hAnsi="Times New Roman" w:cs="Times New Roman"/>
          <w:sz w:val="24"/>
          <w:szCs w:val="24"/>
        </w:rPr>
        <w:t>Consequently, this thesis demonstrates that the interaction between the patient and the healthcare system operates differently than initially hypothesized. Because the measured macro level structural classifications failed to explain virologic outcomes, the true determinants of clinical success and failure in Plateau State are overwhelmingly concentrated at the micro level. Therefore, the four significant independent predictors identified in Chapter Four (baseline viral load, multi month dispensing, educational attainment, and marital status) must be interpreted as the definitive loci of programmatic failure. They represent profound biological and social vulnerabilities that the current institutional framework, regardless of its geographic location or tier of care, is not sufficiently mitigating.</w:t>
      </w:r>
    </w:p>
    <w:p w14:paraId="2FF96B2A" w14:textId="77777777" w:rsidR="00EE589F" w:rsidRDefault="00EE589F" w:rsidP="00EE589F">
      <w:pPr>
        <w:spacing w:before="100" w:beforeAutospacing="1" w:after="100" w:afterAutospacing="1"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5.1.2</w:t>
      </w:r>
      <w:r w:rsidRPr="001C11C7">
        <w:rPr>
          <w:rFonts w:ascii="Times New Roman" w:eastAsia="Times New Roman" w:hAnsi="Times New Roman" w:cs="Times New Roman"/>
          <w:b/>
          <w:bCs/>
          <w:sz w:val="24"/>
          <w:szCs w:val="24"/>
        </w:rPr>
        <w:t xml:space="preserve"> Overall Programmatic Performance</w:t>
      </w:r>
    </w:p>
    <w:p w14:paraId="0E9109B8" w14:textId="77777777" w:rsidR="00EE589F" w:rsidRPr="001C11C7" w:rsidRDefault="00EE589F" w:rsidP="00EE589F">
      <w:pPr>
        <w:spacing w:before="100" w:beforeAutospacing="1" w:after="100" w:afterAutospacing="1" w:line="48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sz w:val="24"/>
          <w:szCs w:val="24"/>
        </w:rPr>
        <w:t>The overall viral load suppression rate of 93.6% recorded at the last measurement across 7,029 patients is a strong programmatic result. It falls within one percentage point of the UNAIDS 95 95 95 third pillar target (UNAIDS, 2023) and exceeds the national on treatment suppression rate of approximately 88% reported by Tomescu et al. (2023) across PEPFAR supported Nigerian cohorts, as well as the West and Central African regional average of approximately 70% (UNAIDS, 2024).</w:t>
      </w:r>
    </w:p>
    <w:p w14:paraId="6D2E9B0D" w14:textId="77777777" w:rsidR="00EE589F" w:rsidRDefault="00EE589F" w:rsidP="00EE589F">
      <w:pPr>
        <w:spacing w:before="100" w:beforeAutospacing="1" w:after="100" w:afterAutospacing="1" w:line="48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sz w:val="24"/>
          <w:szCs w:val="24"/>
        </w:rPr>
        <w:t>Figure 4.1 reveals a more complex picture than the overall rate suggests. Last viral load suppression remained stable across the 2019 to 2024 period, ranging narrowly between 93.1% and 94.9%. Baseline viral load suppression, by contrast, showed marked variability, improving from 84.2% in 2019 to a peak of 92.7% in 2022 before declining sharply to 81.2% in 2024. The gap between baseline and last viral load suppression widened from 8.9 percentage points in 2019 to 13.5 percentage points in 2024. This divergence is programmatically significant. Patients are eventually achieving stable suppression at consistent rates, but an increasing proportion are entering care in a virologically unsuppressed state. This pattern is consistent with delays in treatment initiation, interruptions in the care continuum before ART enrollment, or a shift in the profile of newly presenting patients toward those with longer pretreatment viral exposure (Gunaratne et al., 2025). The 93.6% overall rate confirms that failure is concentrated rather than systemic. The 453 unsuppressed patients are defined by specific clinical and social characteristics that the multilevel analysis was designed to identify.</w:t>
      </w:r>
    </w:p>
    <w:p w14:paraId="2FFF3F4E" w14:textId="77777777" w:rsidR="0055187F" w:rsidRPr="001C11C7" w:rsidRDefault="0055187F" w:rsidP="00EE589F">
      <w:pPr>
        <w:spacing w:before="100" w:beforeAutospacing="1" w:after="100" w:afterAutospacing="1" w:line="480" w:lineRule="auto"/>
        <w:jc w:val="both"/>
        <w:rPr>
          <w:rFonts w:ascii="Times New Roman" w:eastAsia="Times New Roman" w:hAnsi="Times New Roman" w:cs="Times New Roman"/>
          <w:sz w:val="24"/>
          <w:szCs w:val="24"/>
        </w:rPr>
      </w:pPr>
    </w:p>
    <w:p w14:paraId="6E2C574B" w14:textId="77777777" w:rsidR="00EE589F" w:rsidRDefault="00EE589F" w:rsidP="0055187F">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5.1.3</w:t>
      </w:r>
      <w:r w:rsidRPr="001C11C7">
        <w:rPr>
          <w:rFonts w:ascii="Times New Roman" w:eastAsia="Times New Roman" w:hAnsi="Times New Roman" w:cs="Times New Roman"/>
          <w:b/>
          <w:bCs/>
          <w:sz w:val="24"/>
          <w:szCs w:val="24"/>
        </w:rPr>
        <w:t xml:space="preserve"> Baseline Viral Load Status: The Strongest Independent Determinant</w:t>
      </w:r>
    </w:p>
    <w:p w14:paraId="361DCEC9" w14:textId="77777777" w:rsidR="00EE589F" w:rsidRPr="001C11C7" w:rsidRDefault="00EE589F" w:rsidP="00EE589F">
      <w:pPr>
        <w:spacing w:before="100" w:beforeAutospacing="1" w:after="100" w:afterAutospacing="1" w:line="48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sz w:val="24"/>
          <w:szCs w:val="24"/>
        </w:rPr>
        <w:t xml:space="preserve"> Patients with an unsuppressed baseline viral load had 54% lower adjusted odds of achieving suppression at their last recorded measurement (</w:t>
      </w:r>
      <w:proofErr w:type="spellStart"/>
      <w:r w:rsidRPr="001C11C7">
        <w:rPr>
          <w:rFonts w:ascii="Times New Roman" w:eastAsia="Times New Roman" w:hAnsi="Times New Roman" w:cs="Times New Roman"/>
          <w:sz w:val="24"/>
          <w:szCs w:val="24"/>
        </w:rPr>
        <w:t>aOR</w:t>
      </w:r>
      <w:proofErr w:type="spellEnd"/>
      <w:r w:rsidRPr="001C11C7">
        <w:rPr>
          <w:rFonts w:ascii="Times New Roman" w:eastAsia="Times New Roman" w:hAnsi="Times New Roman" w:cs="Times New Roman"/>
          <w:sz w:val="24"/>
          <w:szCs w:val="24"/>
        </w:rPr>
        <w:t xml:space="preserve"> = 0.46; 95% CI [0.36, 0.59]; </w:t>
      </w:r>
      <w:r w:rsidRPr="001C11C7">
        <w:rPr>
          <w:rFonts w:ascii="Times New Roman" w:eastAsia="Times New Roman" w:hAnsi="Times New Roman" w:cs="Times New Roman"/>
          <w:i/>
          <w:iCs/>
          <w:sz w:val="24"/>
          <w:szCs w:val="24"/>
        </w:rPr>
        <w:t>p</w:t>
      </w:r>
      <w:r w:rsidRPr="001C11C7">
        <w:rPr>
          <w:rFonts w:ascii="Times New Roman" w:eastAsia="Times New Roman" w:hAnsi="Times New Roman" w:cs="Times New Roman"/>
          <w:sz w:val="24"/>
          <w:szCs w:val="24"/>
        </w:rPr>
        <w:t xml:space="preserve"> &lt; .001). This represents the largest effect estimate in the multilevel model and was unchanged between Model 1 and Model 2, confirming it operates independently of facility context.</w:t>
      </w:r>
    </w:p>
    <w:p w14:paraId="3092B649" w14:textId="77777777" w:rsidR="00EE589F" w:rsidRPr="001C11C7" w:rsidRDefault="00EE589F" w:rsidP="00EE589F">
      <w:pPr>
        <w:spacing w:before="100" w:beforeAutospacing="1" w:after="100" w:afterAutospacing="1" w:line="48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sz w:val="24"/>
          <w:szCs w:val="24"/>
        </w:rPr>
        <w:t xml:space="preserve">The mechanism is biological. A high baseline viral burden reflects a larger viral reservoir requiring more time and more consistent adherence to deplete to undetectable levels (Haas et al., 2022). In this cohort, the 722 baseline unsuppressed patients represented 10.3% of the total but contributed 12.5% failure at the last measurement compared to 5.8% among those who were baseline suppressed. This 6.7 percentage point within group difference confirms that baseline virologic condition is a strong predictor of </w:t>
      </w:r>
      <w:proofErr w:type="gramStart"/>
      <w:r w:rsidRPr="001C11C7">
        <w:rPr>
          <w:rFonts w:ascii="Times New Roman" w:eastAsia="Times New Roman" w:hAnsi="Times New Roman" w:cs="Times New Roman"/>
          <w:sz w:val="24"/>
          <w:szCs w:val="24"/>
        </w:rPr>
        <w:t>long term</w:t>
      </w:r>
      <w:proofErr w:type="gramEnd"/>
      <w:r w:rsidRPr="001C11C7">
        <w:rPr>
          <w:rFonts w:ascii="Times New Roman" w:eastAsia="Times New Roman" w:hAnsi="Times New Roman" w:cs="Times New Roman"/>
          <w:sz w:val="24"/>
          <w:szCs w:val="24"/>
        </w:rPr>
        <w:t xml:space="preserve"> trajectory. </w:t>
      </w:r>
      <w:proofErr w:type="spellStart"/>
      <w:r w:rsidRPr="001C11C7">
        <w:rPr>
          <w:rFonts w:ascii="Times New Roman" w:eastAsia="Times New Roman" w:hAnsi="Times New Roman" w:cs="Times New Roman"/>
          <w:sz w:val="24"/>
          <w:szCs w:val="24"/>
        </w:rPr>
        <w:t>Bulage</w:t>
      </w:r>
      <w:proofErr w:type="spellEnd"/>
      <w:r w:rsidRPr="001C11C7">
        <w:rPr>
          <w:rFonts w:ascii="Times New Roman" w:eastAsia="Times New Roman" w:hAnsi="Times New Roman" w:cs="Times New Roman"/>
          <w:sz w:val="24"/>
          <w:szCs w:val="24"/>
        </w:rPr>
        <w:t xml:space="preserve"> et al. (2021), analyzing a Ugandan national cohort, found baseline virologic indicators to be the strongest independent predictors of </w:t>
      </w:r>
      <w:proofErr w:type="gramStart"/>
      <w:r w:rsidRPr="001C11C7">
        <w:rPr>
          <w:rFonts w:ascii="Times New Roman" w:eastAsia="Times New Roman" w:hAnsi="Times New Roman" w:cs="Times New Roman"/>
          <w:sz w:val="24"/>
          <w:szCs w:val="24"/>
        </w:rPr>
        <w:t>twelve month</w:t>
      </w:r>
      <w:proofErr w:type="gramEnd"/>
      <w:r w:rsidRPr="001C11C7">
        <w:rPr>
          <w:rFonts w:ascii="Times New Roman" w:eastAsia="Times New Roman" w:hAnsi="Times New Roman" w:cs="Times New Roman"/>
          <w:sz w:val="24"/>
          <w:szCs w:val="24"/>
        </w:rPr>
        <w:t xml:space="preserve"> suppression failure, outperforming sociodemographic and facility level predictors after adjustment.</w:t>
      </w:r>
    </w:p>
    <w:p w14:paraId="0767CA04" w14:textId="77777777" w:rsidR="00EE589F" w:rsidRDefault="00EE589F" w:rsidP="00EE589F">
      <w:pPr>
        <w:spacing w:before="100" w:beforeAutospacing="1" w:after="100" w:afterAutospacing="1" w:line="48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sz w:val="24"/>
          <w:szCs w:val="24"/>
        </w:rPr>
        <w:t>The widening gap in Figure 4.1, where baseline suppression fell to 81.2% in 2024, reinforces the programmatic urgency of this finding. Baseline unsuppressed status may reflect late diagnosis, delayed linkage to care, or viral rebound in previously treated patients. Each requires a distinct response: community testing for late diagnosis, same day ART initiation protocols for delayed linkage, and enhanced adherence monitoring for viral rebound. Critically, no facility level characteristic modified this effect. The intervention must occur before the patient enters the facility.</w:t>
      </w:r>
    </w:p>
    <w:p w14:paraId="33BDB779" w14:textId="77777777" w:rsidR="0055187F" w:rsidRPr="001C11C7" w:rsidRDefault="0055187F" w:rsidP="0055187F">
      <w:pPr>
        <w:spacing w:before="100" w:beforeAutospacing="1" w:after="100" w:afterAutospacing="1" w:line="360" w:lineRule="auto"/>
        <w:jc w:val="both"/>
        <w:rPr>
          <w:rFonts w:ascii="Times New Roman" w:eastAsia="Times New Roman" w:hAnsi="Times New Roman" w:cs="Times New Roman"/>
          <w:sz w:val="24"/>
          <w:szCs w:val="24"/>
        </w:rPr>
      </w:pPr>
    </w:p>
    <w:p w14:paraId="10346365" w14:textId="77777777" w:rsidR="00EE589F" w:rsidRDefault="00EE589F" w:rsidP="0055187F">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5.1.4</w:t>
      </w:r>
      <w:r w:rsidRPr="001C11C7">
        <w:rPr>
          <w:rFonts w:ascii="Times New Roman" w:eastAsia="Times New Roman" w:hAnsi="Times New Roman" w:cs="Times New Roman"/>
          <w:b/>
          <w:bCs/>
          <w:sz w:val="24"/>
          <w:szCs w:val="24"/>
        </w:rPr>
        <w:t xml:space="preserve"> Multi Month Dispensing: The Strongest Modifiable Predictor</w:t>
      </w:r>
    </w:p>
    <w:p w14:paraId="44D5C347" w14:textId="77777777" w:rsidR="00EE589F" w:rsidRPr="001C11C7" w:rsidRDefault="00EE589F" w:rsidP="00EE589F">
      <w:pPr>
        <w:spacing w:before="100" w:beforeAutospacing="1" w:after="100" w:afterAutospacing="1" w:line="48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sz w:val="24"/>
          <w:szCs w:val="24"/>
        </w:rPr>
        <w:t>Patients on MMD 6 months had 34% higher adjusted odds of suppression than those on MMD 3 months (</w:t>
      </w:r>
      <w:proofErr w:type="spellStart"/>
      <w:r w:rsidRPr="001C11C7">
        <w:rPr>
          <w:rFonts w:ascii="Times New Roman" w:eastAsia="Times New Roman" w:hAnsi="Times New Roman" w:cs="Times New Roman"/>
          <w:sz w:val="24"/>
          <w:szCs w:val="24"/>
        </w:rPr>
        <w:t>aOR</w:t>
      </w:r>
      <w:proofErr w:type="spellEnd"/>
      <w:r w:rsidRPr="001C11C7">
        <w:rPr>
          <w:rFonts w:ascii="Times New Roman" w:eastAsia="Times New Roman" w:hAnsi="Times New Roman" w:cs="Times New Roman"/>
          <w:sz w:val="24"/>
          <w:szCs w:val="24"/>
        </w:rPr>
        <w:t xml:space="preserve"> = 1.34; 95% CI [1.08, 1.66]; </w:t>
      </w:r>
      <w:r w:rsidRPr="001C11C7">
        <w:rPr>
          <w:rFonts w:ascii="Times New Roman" w:eastAsia="Times New Roman" w:hAnsi="Times New Roman" w:cs="Times New Roman"/>
          <w:i/>
          <w:iCs/>
          <w:sz w:val="24"/>
          <w:szCs w:val="24"/>
        </w:rPr>
        <w:t>p</w:t>
      </w:r>
      <w:r w:rsidRPr="001C11C7">
        <w:rPr>
          <w:rFonts w:ascii="Times New Roman" w:eastAsia="Times New Roman" w:hAnsi="Times New Roman" w:cs="Times New Roman"/>
          <w:sz w:val="24"/>
          <w:szCs w:val="24"/>
        </w:rPr>
        <w:t xml:space="preserve"> &lt; .01). This effect was stable across both models and consistent with the crude association at the bivariate level (</w:t>
      </w:r>
      <w:proofErr w:type="spellStart"/>
      <w:r w:rsidRPr="001C11C7">
        <w:rPr>
          <w:rFonts w:ascii="Times New Roman" w:eastAsia="Times New Roman" w:hAnsi="Times New Roman" w:cs="Times New Roman"/>
          <w:sz w:val="24"/>
          <w:szCs w:val="24"/>
        </w:rPr>
        <w:t>cOR</w:t>
      </w:r>
      <w:proofErr w:type="spellEnd"/>
      <w:r w:rsidRPr="001C11C7">
        <w:rPr>
          <w:rFonts w:ascii="Times New Roman" w:eastAsia="Times New Roman" w:hAnsi="Times New Roman" w:cs="Times New Roman"/>
          <w:sz w:val="24"/>
          <w:szCs w:val="24"/>
        </w:rPr>
        <w:t xml:space="preserve"> = 1.44; </w:t>
      </w:r>
      <w:r w:rsidRPr="001C11C7">
        <w:rPr>
          <w:rFonts w:ascii="Times New Roman" w:eastAsia="Times New Roman" w:hAnsi="Times New Roman" w:cs="Times New Roman"/>
          <w:i/>
          <w:iCs/>
          <w:sz w:val="24"/>
          <w:szCs w:val="24"/>
        </w:rPr>
        <w:t>p</w:t>
      </w:r>
      <w:r w:rsidRPr="001C11C7">
        <w:rPr>
          <w:rFonts w:ascii="Times New Roman" w:eastAsia="Times New Roman" w:hAnsi="Times New Roman" w:cs="Times New Roman"/>
          <w:sz w:val="24"/>
          <w:szCs w:val="24"/>
        </w:rPr>
        <w:t xml:space="preserve"> &lt; .001). The suppression gradient across dispensing categories was clinically coherent: 88.5% for under three months, 92.0% for MMD 3, and 94.3% for MMD 6. MMD 3 patients comprised 27.6% of the cohort but recorded the highest within group failure rate at 8.0%, compared to 5.7% among MMD 6 patients.</w:t>
      </w:r>
    </w:p>
    <w:p w14:paraId="57B14D5D" w14:textId="77777777" w:rsidR="00EE589F" w:rsidRPr="001C11C7" w:rsidRDefault="00EE589F" w:rsidP="00EE589F">
      <w:pPr>
        <w:spacing w:before="100" w:beforeAutospacing="1" w:after="100" w:afterAutospacing="1" w:line="48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sz w:val="24"/>
          <w:szCs w:val="24"/>
        </w:rPr>
        <w:t>Extended dispensing reduces the frequency of facility visits required for drug refills. In a setting where patients face long travel distances and transport costs, reducing clinic visits from four to two per year lowers the structural barrier to medication continuity (Grimsrud et al., 2020). Brief gaps in ART coverage permit viral replication to resume, and cumulative short interruptions produce a virological effect comparable to sustained non adherence (</w:t>
      </w:r>
      <w:proofErr w:type="spellStart"/>
      <w:r w:rsidRPr="001C11C7">
        <w:rPr>
          <w:rFonts w:ascii="Times New Roman" w:eastAsia="Times New Roman" w:hAnsi="Times New Roman" w:cs="Times New Roman"/>
          <w:sz w:val="24"/>
          <w:szCs w:val="24"/>
        </w:rPr>
        <w:t>Inzaule</w:t>
      </w:r>
      <w:proofErr w:type="spellEnd"/>
      <w:r w:rsidRPr="001C11C7">
        <w:rPr>
          <w:rFonts w:ascii="Times New Roman" w:eastAsia="Times New Roman" w:hAnsi="Times New Roman" w:cs="Times New Roman"/>
          <w:sz w:val="24"/>
          <w:szCs w:val="24"/>
        </w:rPr>
        <w:t xml:space="preserve"> et al., 2021). Akello et al. (2022) demonstrated across </w:t>
      </w:r>
      <w:proofErr w:type="gramStart"/>
      <w:r w:rsidRPr="001C11C7">
        <w:rPr>
          <w:rFonts w:ascii="Times New Roman" w:eastAsia="Times New Roman" w:hAnsi="Times New Roman" w:cs="Times New Roman"/>
          <w:sz w:val="24"/>
          <w:szCs w:val="24"/>
        </w:rPr>
        <w:t>sub Saharan</w:t>
      </w:r>
      <w:proofErr w:type="gramEnd"/>
      <w:r w:rsidRPr="001C11C7">
        <w:rPr>
          <w:rFonts w:ascii="Times New Roman" w:eastAsia="Times New Roman" w:hAnsi="Times New Roman" w:cs="Times New Roman"/>
          <w:sz w:val="24"/>
          <w:szCs w:val="24"/>
        </w:rPr>
        <w:t xml:space="preserve"> African settings that patients on MMD 6 had lower treatment interruption rates and significantly better </w:t>
      </w:r>
      <w:proofErr w:type="gramStart"/>
      <w:r w:rsidRPr="001C11C7">
        <w:rPr>
          <w:rFonts w:ascii="Times New Roman" w:eastAsia="Times New Roman" w:hAnsi="Times New Roman" w:cs="Times New Roman"/>
          <w:sz w:val="24"/>
          <w:szCs w:val="24"/>
        </w:rPr>
        <w:t>twelve month</w:t>
      </w:r>
      <w:proofErr w:type="gramEnd"/>
      <w:r w:rsidRPr="001C11C7">
        <w:rPr>
          <w:rFonts w:ascii="Times New Roman" w:eastAsia="Times New Roman" w:hAnsi="Times New Roman" w:cs="Times New Roman"/>
          <w:sz w:val="24"/>
          <w:szCs w:val="24"/>
        </w:rPr>
        <w:t xml:space="preserve"> viral suppression than those on shorter intervals, a finding reproduced in Nigerian programmatic data by Oluwatosin et al. (2024).</w:t>
      </w:r>
    </w:p>
    <w:p w14:paraId="47F1C911" w14:textId="77777777" w:rsidR="00EE589F" w:rsidRPr="001C11C7" w:rsidRDefault="00EE589F" w:rsidP="00EE589F">
      <w:pPr>
        <w:spacing w:before="100" w:beforeAutospacing="1" w:after="100" w:afterAutospacing="1" w:line="48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sz w:val="24"/>
          <w:szCs w:val="24"/>
        </w:rPr>
        <w:t>Seventy one percent of this cohort was already on MMD 6 at the time of data collection. Nigerian guidelines define MMD 6 eligibility as viral suppression, adherence, and absence of active opportunistic infections (NACA, 2022). The remaining 29% on shorter intervals may be clinically ineligible or may be eligible patients who have not been reviewed for transition. Distinguishing these two groups determines where the programmatic response should be directed.</w:t>
      </w:r>
    </w:p>
    <w:p w14:paraId="21BB7AAD" w14:textId="77777777" w:rsidR="00EE589F" w:rsidRPr="001C11C7" w:rsidRDefault="00EE589F" w:rsidP="00EE589F">
      <w:pPr>
        <w:spacing w:before="100" w:beforeAutospacing="1" w:after="100" w:afterAutospacing="1" w:line="48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sz w:val="24"/>
          <w:szCs w:val="24"/>
        </w:rPr>
        <w:t>The DSD model variable was not significant at any analytical level (</w:t>
      </w:r>
      <w:r w:rsidRPr="001C11C7">
        <w:rPr>
          <w:rFonts w:ascii="Times New Roman" w:eastAsia="Times New Roman" w:hAnsi="Times New Roman" w:cs="Times New Roman"/>
          <w:i/>
          <w:iCs/>
          <w:sz w:val="24"/>
          <w:szCs w:val="24"/>
        </w:rPr>
        <w:t>p</w:t>
      </w:r>
      <w:r w:rsidRPr="001C11C7">
        <w:rPr>
          <w:rFonts w:ascii="Times New Roman" w:eastAsia="Times New Roman" w:hAnsi="Times New Roman" w:cs="Times New Roman"/>
          <w:sz w:val="24"/>
          <w:szCs w:val="24"/>
        </w:rPr>
        <w:t xml:space="preserve"> = .807 bivariate; </w:t>
      </w:r>
      <w:proofErr w:type="spellStart"/>
      <w:r w:rsidRPr="001C11C7">
        <w:rPr>
          <w:rFonts w:ascii="Times New Roman" w:eastAsia="Times New Roman" w:hAnsi="Times New Roman" w:cs="Times New Roman"/>
          <w:sz w:val="24"/>
          <w:szCs w:val="24"/>
        </w:rPr>
        <w:t>non significant</w:t>
      </w:r>
      <w:proofErr w:type="spellEnd"/>
      <w:r w:rsidRPr="001C11C7">
        <w:rPr>
          <w:rFonts w:ascii="Times New Roman" w:eastAsia="Times New Roman" w:hAnsi="Times New Roman" w:cs="Times New Roman"/>
          <w:sz w:val="24"/>
          <w:szCs w:val="24"/>
        </w:rPr>
        <w:t xml:space="preserve"> in both models). The DSD model captures the location of drug distribution, while the </w:t>
      </w:r>
      <w:r w:rsidRPr="001C11C7">
        <w:rPr>
          <w:rFonts w:ascii="Times New Roman" w:eastAsia="Times New Roman" w:hAnsi="Times New Roman" w:cs="Times New Roman"/>
          <w:sz w:val="24"/>
          <w:szCs w:val="24"/>
        </w:rPr>
        <w:lastRenderedPageBreak/>
        <w:t>MMD category captures the duration of the dispensing interval. That MMD duration predicts suppression while DSD location does not confirms that drug supply continuity, not delivery location, is the operative mechanism.</w:t>
      </w:r>
    </w:p>
    <w:p w14:paraId="305E0F19" w14:textId="77777777" w:rsidR="00EE589F" w:rsidRDefault="00EE589F" w:rsidP="0055187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5.1.5</w:t>
      </w:r>
      <w:r w:rsidRPr="001C11C7">
        <w:rPr>
          <w:rFonts w:ascii="Times New Roman" w:eastAsia="Times New Roman" w:hAnsi="Times New Roman" w:cs="Times New Roman"/>
          <w:b/>
          <w:bCs/>
          <w:sz w:val="24"/>
          <w:szCs w:val="24"/>
        </w:rPr>
        <w:t xml:space="preserve"> Educational Attainment</w:t>
      </w:r>
      <w:r w:rsidRPr="001C11C7">
        <w:rPr>
          <w:rFonts w:ascii="Times New Roman" w:eastAsia="Times New Roman" w:hAnsi="Times New Roman" w:cs="Times New Roman"/>
          <w:sz w:val="24"/>
          <w:szCs w:val="24"/>
        </w:rPr>
        <w:t xml:space="preserve"> </w:t>
      </w:r>
    </w:p>
    <w:p w14:paraId="2375FA2A" w14:textId="77777777" w:rsidR="00EE589F" w:rsidRPr="001C11C7" w:rsidRDefault="00EE589F" w:rsidP="00EE589F">
      <w:pPr>
        <w:spacing w:before="100" w:beforeAutospacing="1" w:after="100" w:afterAutospacing="1" w:line="48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sz w:val="24"/>
          <w:szCs w:val="24"/>
        </w:rPr>
        <w:t>Tertiary educated patients had 54% higher adjusted odds of suppression compared to those with no formal education (</w:t>
      </w:r>
      <w:proofErr w:type="spellStart"/>
      <w:r w:rsidRPr="001C11C7">
        <w:rPr>
          <w:rFonts w:ascii="Times New Roman" w:eastAsia="Times New Roman" w:hAnsi="Times New Roman" w:cs="Times New Roman"/>
          <w:sz w:val="24"/>
          <w:szCs w:val="24"/>
        </w:rPr>
        <w:t>aOR</w:t>
      </w:r>
      <w:proofErr w:type="spellEnd"/>
      <w:r w:rsidRPr="001C11C7">
        <w:rPr>
          <w:rFonts w:ascii="Times New Roman" w:eastAsia="Times New Roman" w:hAnsi="Times New Roman" w:cs="Times New Roman"/>
          <w:sz w:val="24"/>
          <w:szCs w:val="24"/>
        </w:rPr>
        <w:t xml:space="preserve"> = 1.54; 95% CI [1.03, 2.30]; </w:t>
      </w:r>
      <w:r w:rsidRPr="001C11C7">
        <w:rPr>
          <w:rFonts w:ascii="Times New Roman" w:eastAsia="Times New Roman" w:hAnsi="Times New Roman" w:cs="Times New Roman"/>
          <w:i/>
          <w:iCs/>
          <w:sz w:val="24"/>
          <w:szCs w:val="24"/>
        </w:rPr>
        <w:t>p</w:t>
      </w:r>
      <w:r w:rsidRPr="001C11C7">
        <w:rPr>
          <w:rFonts w:ascii="Times New Roman" w:eastAsia="Times New Roman" w:hAnsi="Times New Roman" w:cs="Times New Roman"/>
          <w:sz w:val="24"/>
          <w:szCs w:val="24"/>
        </w:rPr>
        <w:t xml:space="preserve"> &lt; .05). This association survived adjustment for all other Level 1 and Level 2 variables. Primary and secondary education showed point estimates in the expected direction (</w:t>
      </w:r>
      <w:proofErr w:type="spellStart"/>
      <w:r w:rsidRPr="001C11C7">
        <w:rPr>
          <w:rFonts w:ascii="Times New Roman" w:eastAsia="Times New Roman" w:hAnsi="Times New Roman" w:cs="Times New Roman"/>
          <w:sz w:val="24"/>
          <w:szCs w:val="24"/>
        </w:rPr>
        <w:t>aOR</w:t>
      </w:r>
      <w:proofErr w:type="spellEnd"/>
      <w:r w:rsidRPr="001C11C7">
        <w:rPr>
          <w:rFonts w:ascii="Times New Roman" w:eastAsia="Times New Roman" w:hAnsi="Times New Roman" w:cs="Times New Roman"/>
          <w:sz w:val="24"/>
          <w:szCs w:val="24"/>
        </w:rPr>
        <w:t xml:space="preserve"> = 1.36 and 1.27 respectively) but were not independently significant. The protective effect is concentrated at the tertiary level.</w:t>
      </w:r>
    </w:p>
    <w:p w14:paraId="000AED10" w14:textId="77777777" w:rsidR="00EE589F" w:rsidRPr="001C11C7" w:rsidRDefault="00EE589F" w:rsidP="00EE589F">
      <w:pPr>
        <w:spacing w:before="100" w:beforeAutospacing="1" w:after="100" w:afterAutospacing="1" w:line="48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sz w:val="24"/>
          <w:szCs w:val="24"/>
        </w:rPr>
        <w:t xml:space="preserve">Patients with no formal education recorded a within group failure rate of 8.7%, compared to 5.0% among those with tertiary education. The 3.7 percentage point difference survived full multivariable adjustment. Tertiary education in the Nigerian context is associated with occupational stability, predictable income, and the capacity to navigate health systems effectively (Adedoyin et al., 2021). These attributes support consistent adherence through mechanisms unrelated to health literacy alone. Oluwatosin et al. (2024) reported that higher educational attainment was independently associated with better </w:t>
      </w:r>
      <w:proofErr w:type="gramStart"/>
      <w:r w:rsidRPr="001C11C7">
        <w:rPr>
          <w:rFonts w:ascii="Times New Roman" w:eastAsia="Times New Roman" w:hAnsi="Times New Roman" w:cs="Times New Roman"/>
          <w:sz w:val="24"/>
          <w:szCs w:val="24"/>
        </w:rPr>
        <w:t>twelve month</w:t>
      </w:r>
      <w:proofErr w:type="gramEnd"/>
      <w:r w:rsidRPr="001C11C7">
        <w:rPr>
          <w:rFonts w:ascii="Times New Roman" w:eastAsia="Times New Roman" w:hAnsi="Times New Roman" w:cs="Times New Roman"/>
          <w:sz w:val="24"/>
          <w:szCs w:val="24"/>
        </w:rPr>
        <w:t xml:space="preserve"> viral suppression in Nigerian urban cohorts. Patel et al. (2021) confirmed the protective effect of tertiary education against virologic failure across fourteen sub Saharan African countries.</w:t>
      </w:r>
    </w:p>
    <w:p w14:paraId="3E351D15" w14:textId="77777777" w:rsidR="00EE589F" w:rsidRPr="001C11C7" w:rsidRDefault="00EE589F" w:rsidP="00EE589F">
      <w:pPr>
        <w:spacing w:before="100" w:beforeAutospacing="1" w:after="100" w:afterAutospacing="1" w:line="48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sz w:val="24"/>
          <w:szCs w:val="24"/>
        </w:rPr>
        <w:t xml:space="preserve">Educational attainment at ART initiation is fixed. The compensatory question for the health system is what must be provided to achieve comparable suppression rates among low education patients. Structured counseling, peer mentor programs, pictorial adherence tools, and community health </w:t>
      </w:r>
      <w:r w:rsidRPr="001C11C7">
        <w:rPr>
          <w:rFonts w:ascii="Times New Roman" w:eastAsia="Times New Roman" w:hAnsi="Times New Roman" w:cs="Times New Roman"/>
          <w:sz w:val="24"/>
          <w:szCs w:val="24"/>
        </w:rPr>
        <w:lastRenderedPageBreak/>
        <w:t>worker follow up are the most evidence supported interventions for this group (Akello et al., 2022; Grimsrud et al., 2020).</w:t>
      </w:r>
    </w:p>
    <w:p w14:paraId="16A99728" w14:textId="77777777" w:rsidR="00EE589F" w:rsidRDefault="00EE589F" w:rsidP="0055187F">
      <w:pPr>
        <w:spacing w:before="100" w:beforeAutospacing="1" w:after="100" w:afterAutospacing="1" w:line="36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b/>
          <w:bCs/>
          <w:sz w:val="24"/>
          <w:szCs w:val="24"/>
        </w:rPr>
        <w:t>5.1.</w:t>
      </w:r>
      <w:r>
        <w:rPr>
          <w:rFonts w:ascii="Times New Roman" w:eastAsia="Times New Roman" w:hAnsi="Times New Roman" w:cs="Times New Roman"/>
          <w:b/>
          <w:bCs/>
          <w:sz w:val="24"/>
          <w:szCs w:val="24"/>
        </w:rPr>
        <w:t>6</w:t>
      </w:r>
      <w:r w:rsidRPr="001C11C7">
        <w:rPr>
          <w:rFonts w:ascii="Times New Roman" w:eastAsia="Times New Roman" w:hAnsi="Times New Roman" w:cs="Times New Roman"/>
          <w:b/>
          <w:bCs/>
          <w:sz w:val="24"/>
          <w:szCs w:val="24"/>
        </w:rPr>
        <w:t xml:space="preserve"> Marital Status</w:t>
      </w:r>
      <w:r w:rsidRPr="001C11C7">
        <w:rPr>
          <w:rFonts w:ascii="Times New Roman" w:eastAsia="Times New Roman" w:hAnsi="Times New Roman" w:cs="Times New Roman"/>
          <w:sz w:val="24"/>
          <w:szCs w:val="24"/>
        </w:rPr>
        <w:t xml:space="preserve"> </w:t>
      </w:r>
    </w:p>
    <w:p w14:paraId="0318A98F" w14:textId="77777777" w:rsidR="00EE589F" w:rsidRPr="001C11C7" w:rsidRDefault="00EE589F" w:rsidP="00EE589F">
      <w:pPr>
        <w:spacing w:before="100" w:beforeAutospacing="1" w:after="100" w:afterAutospacing="1" w:line="48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sz w:val="24"/>
          <w:szCs w:val="24"/>
        </w:rPr>
        <w:t>Never married patients had 25% lower adjusted odds of suppression compared to married patients (</w:t>
      </w:r>
      <w:proofErr w:type="spellStart"/>
      <w:r w:rsidRPr="001C11C7">
        <w:rPr>
          <w:rFonts w:ascii="Times New Roman" w:eastAsia="Times New Roman" w:hAnsi="Times New Roman" w:cs="Times New Roman"/>
          <w:sz w:val="24"/>
          <w:szCs w:val="24"/>
        </w:rPr>
        <w:t>aOR</w:t>
      </w:r>
      <w:proofErr w:type="spellEnd"/>
      <w:r w:rsidRPr="001C11C7">
        <w:rPr>
          <w:rFonts w:ascii="Times New Roman" w:eastAsia="Times New Roman" w:hAnsi="Times New Roman" w:cs="Times New Roman"/>
          <w:sz w:val="24"/>
          <w:szCs w:val="24"/>
        </w:rPr>
        <w:t xml:space="preserve"> = 0.75; 95% CI [0.61, 0.94]; </w:t>
      </w:r>
      <w:r w:rsidRPr="001C11C7">
        <w:rPr>
          <w:rFonts w:ascii="Times New Roman" w:eastAsia="Times New Roman" w:hAnsi="Times New Roman" w:cs="Times New Roman"/>
          <w:i/>
          <w:iCs/>
          <w:sz w:val="24"/>
          <w:szCs w:val="24"/>
        </w:rPr>
        <w:t>p</w:t>
      </w:r>
      <w:r w:rsidRPr="001C11C7">
        <w:rPr>
          <w:rFonts w:ascii="Times New Roman" w:eastAsia="Times New Roman" w:hAnsi="Times New Roman" w:cs="Times New Roman"/>
          <w:sz w:val="24"/>
          <w:szCs w:val="24"/>
        </w:rPr>
        <w:t xml:space="preserve"> &lt; .05). This association was stable across both models. Never married patients recorded a within group failure rate of 7.8%, compared to 5.8% among married patients. The divorced, separated, and widowed group showed a </w:t>
      </w:r>
      <w:proofErr w:type="spellStart"/>
      <w:r w:rsidRPr="001C11C7">
        <w:rPr>
          <w:rFonts w:ascii="Times New Roman" w:eastAsia="Times New Roman" w:hAnsi="Times New Roman" w:cs="Times New Roman"/>
          <w:sz w:val="24"/>
          <w:szCs w:val="24"/>
        </w:rPr>
        <w:t>non significant</w:t>
      </w:r>
      <w:proofErr w:type="spellEnd"/>
      <w:r w:rsidRPr="001C11C7">
        <w:rPr>
          <w:rFonts w:ascii="Times New Roman" w:eastAsia="Times New Roman" w:hAnsi="Times New Roman" w:cs="Times New Roman"/>
          <w:sz w:val="24"/>
          <w:szCs w:val="24"/>
        </w:rPr>
        <w:t xml:space="preserve"> point estimate in the same direction (</w:t>
      </w:r>
      <w:proofErr w:type="spellStart"/>
      <w:r w:rsidRPr="001C11C7">
        <w:rPr>
          <w:rFonts w:ascii="Times New Roman" w:eastAsia="Times New Roman" w:hAnsi="Times New Roman" w:cs="Times New Roman"/>
          <w:sz w:val="24"/>
          <w:szCs w:val="24"/>
        </w:rPr>
        <w:t>aOR</w:t>
      </w:r>
      <w:proofErr w:type="spellEnd"/>
      <w:r w:rsidRPr="001C11C7">
        <w:rPr>
          <w:rFonts w:ascii="Times New Roman" w:eastAsia="Times New Roman" w:hAnsi="Times New Roman" w:cs="Times New Roman"/>
          <w:sz w:val="24"/>
          <w:szCs w:val="24"/>
        </w:rPr>
        <w:t xml:space="preserve"> = 0.91), suggesting that prior partnership experience confers residual protective benefit.</w:t>
      </w:r>
    </w:p>
    <w:p w14:paraId="642D8620" w14:textId="77777777" w:rsidR="00EE589F" w:rsidRPr="001C11C7" w:rsidRDefault="00EE589F" w:rsidP="00EE589F">
      <w:pPr>
        <w:spacing w:before="100" w:beforeAutospacing="1" w:after="100" w:afterAutospacing="1" w:line="48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sz w:val="24"/>
          <w:szCs w:val="24"/>
        </w:rPr>
        <w:t>The mechanism is social. Marriage in the West African context provides treatment disclosure support, medication reminders, shared transport costs, and household economic stability (</w:t>
      </w:r>
      <w:proofErr w:type="spellStart"/>
      <w:r w:rsidRPr="001C11C7">
        <w:rPr>
          <w:rFonts w:ascii="Times New Roman" w:eastAsia="Times New Roman" w:hAnsi="Times New Roman" w:cs="Times New Roman"/>
          <w:sz w:val="24"/>
          <w:szCs w:val="24"/>
        </w:rPr>
        <w:t>Huerga</w:t>
      </w:r>
      <w:proofErr w:type="spellEnd"/>
      <w:r w:rsidRPr="001C11C7">
        <w:rPr>
          <w:rFonts w:ascii="Times New Roman" w:eastAsia="Times New Roman" w:hAnsi="Times New Roman" w:cs="Times New Roman"/>
          <w:sz w:val="24"/>
          <w:szCs w:val="24"/>
        </w:rPr>
        <w:t xml:space="preserve"> et al., 2021; Oluwatosin et al., 2024). Osayi et al. (2024), examining female patients in Plateau State specifically, found that those who disclosed their HIV status to supportive partners were significantly more likely to maintain suppression. The non significance of the divorced and widowed group suggests the protective factor is not the current presence of the partner but the established social infrastructure that a partnered household creates over time. Tomescu et al. (2023) reached the same conclusion, finding that partnership history rather than current formal status was the operative social determinant in Nigerian cohorts.</w:t>
      </w:r>
    </w:p>
    <w:p w14:paraId="417F55CA" w14:textId="77777777" w:rsidR="00EE589F" w:rsidRPr="001C11C7" w:rsidRDefault="00EE589F" w:rsidP="00EE589F">
      <w:pPr>
        <w:spacing w:before="100" w:beforeAutospacing="1" w:after="100" w:afterAutospacing="1" w:line="48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sz w:val="24"/>
          <w:szCs w:val="24"/>
        </w:rPr>
        <w:t xml:space="preserve">After multivariable adjustment, age became </w:t>
      </w:r>
      <w:proofErr w:type="spellStart"/>
      <w:r w:rsidRPr="001C11C7">
        <w:rPr>
          <w:rFonts w:ascii="Times New Roman" w:eastAsia="Times New Roman" w:hAnsi="Times New Roman" w:cs="Times New Roman"/>
          <w:sz w:val="24"/>
          <w:szCs w:val="24"/>
        </w:rPr>
        <w:t>non significant</w:t>
      </w:r>
      <w:proofErr w:type="spellEnd"/>
      <w:r w:rsidRPr="001C11C7">
        <w:rPr>
          <w:rFonts w:ascii="Times New Roman" w:eastAsia="Times New Roman" w:hAnsi="Times New Roman" w:cs="Times New Roman"/>
          <w:sz w:val="24"/>
          <w:szCs w:val="24"/>
        </w:rPr>
        <w:t xml:space="preserve"> while marital status retained significance. This indicates that part of what appears as an age effect in unadjusted analysis is actually a social support effect. Younger patients are less likely to be married, and the absence of marital support rather than age itself accounts for their higher failure rates (8.2% failure among </w:t>
      </w:r>
      <w:proofErr w:type="gramStart"/>
      <w:r w:rsidRPr="001C11C7">
        <w:rPr>
          <w:rFonts w:ascii="Times New Roman" w:eastAsia="Times New Roman" w:hAnsi="Times New Roman" w:cs="Times New Roman"/>
          <w:sz w:val="24"/>
          <w:szCs w:val="24"/>
        </w:rPr>
        <w:t xml:space="preserve">18 </w:t>
      </w:r>
      <w:r w:rsidRPr="001C11C7">
        <w:rPr>
          <w:rFonts w:ascii="Times New Roman" w:eastAsia="Times New Roman" w:hAnsi="Times New Roman" w:cs="Times New Roman"/>
          <w:sz w:val="24"/>
          <w:szCs w:val="24"/>
        </w:rPr>
        <w:lastRenderedPageBreak/>
        <w:t>to 24 year olds</w:t>
      </w:r>
      <w:proofErr w:type="gramEnd"/>
      <w:r w:rsidRPr="001C11C7">
        <w:rPr>
          <w:rFonts w:ascii="Times New Roman" w:eastAsia="Times New Roman" w:hAnsi="Times New Roman" w:cs="Times New Roman"/>
          <w:sz w:val="24"/>
          <w:szCs w:val="24"/>
        </w:rPr>
        <w:t>). Programmatic responses should target never married patients across all age groups.</w:t>
      </w:r>
    </w:p>
    <w:p w14:paraId="4D0B00E5" w14:textId="77777777" w:rsidR="00EE589F" w:rsidRPr="001C11C7" w:rsidRDefault="00EE589F" w:rsidP="0055187F">
      <w:pPr>
        <w:spacing w:before="100" w:beforeAutospacing="1" w:after="100" w:afterAutospacing="1" w:line="36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b/>
          <w:bCs/>
          <w:sz w:val="24"/>
          <w:szCs w:val="24"/>
        </w:rPr>
        <w:t>5.1.6 Significant Null Findings</w:t>
      </w:r>
    </w:p>
    <w:p w14:paraId="3A2E3B37" w14:textId="77777777" w:rsidR="00EE589F" w:rsidRPr="001C11C7" w:rsidRDefault="00EE589F" w:rsidP="00EE589F">
      <w:pPr>
        <w:numPr>
          <w:ilvl w:val="0"/>
          <w:numId w:val="14"/>
        </w:numPr>
        <w:spacing w:before="100" w:beforeAutospacing="1" w:after="100" w:afterAutospacing="1" w:line="48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b/>
          <w:bCs/>
          <w:sz w:val="24"/>
          <w:szCs w:val="24"/>
        </w:rPr>
        <w:t>Sex:</w:t>
      </w:r>
      <w:r w:rsidRPr="001C11C7">
        <w:rPr>
          <w:rFonts w:ascii="Times New Roman" w:eastAsia="Times New Roman" w:hAnsi="Times New Roman" w:cs="Times New Roman"/>
          <w:sz w:val="24"/>
          <w:szCs w:val="24"/>
        </w:rPr>
        <w:t xml:space="preserve"> After adjustment, sex was not a significant predictor (</w:t>
      </w:r>
      <w:proofErr w:type="spellStart"/>
      <w:r w:rsidRPr="001C11C7">
        <w:rPr>
          <w:rFonts w:ascii="Times New Roman" w:eastAsia="Times New Roman" w:hAnsi="Times New Roman" w:cs="Times New Roman"/>
          <w:sz w:val="24"/>
          <w:szCs w:val="24"/>
        </w:rPr>
        <w:t>aOR</w:t>
      </w:r>
      <w:proofErr w:type="spellEnd"/>
      <w:r w:rsidRPr="001C11C7">
        <w:rPr>
          <w:rFonts w:ascii="Times New Roman" w:eastAsia="Times New Roman" w:hAnsi="Times New Roman" w:cs="Times New Roman"/>
          <w:sz w:val="24"/>
          <w:szCs w:val="24"/>
        </w:rPr>
        <w:t xml:space="preserve"> = 0.94, Female versus Male; </w:t>
      </w:r>
      <w:r w:rsidRPr="001C11C7">
        <w:rPr>
          <w:rFonts w:ascii="Times New Roman" w:eastAsia="Times New Roman" w:hAnsi="Times New Roman" w:cs="Times New Roman"/>
          <w:i/>
          <w:iCs/>
          <w:sz w:val="24"/>
          <w:szCs w:val="24"/>
        </w:rPr>
        <w:t>p</w:t>
      </w:r>
      <w:r w:rsidRPr="001C11C7">
        <w:rPr>
          <w:rFonts w:ascii="Times New Roman" w:eastAsia="Times New Roman" w:hAnsi="Times New Roman" w:cs="Times New Roman"/>
          <w:sz w:val="24"/>
          <w:szCs w:val="24"/>
        </w:rPr>
        <w:t xml:space="preserve"> &gt; .05). Male patients recorded a marginally lower within group failure rate of 6.0% compared to 6.7% among females. This contradicts the male suppression deficit reported extensively in sub Saharan Africa, where the WHO (2025) estimated that males exhibit approximately 28% lower suppression rates globally. Three explanations apply. First, survivorship selection: males in this dataset have already overcome the access barriers that exclude men from care; those never diagnosed or lost to follow up are absent. Second, confounding: male patients who are never married, without formal education, or unemployed carry the social vulnerabilities that independently predict non suppression, and these are controlled in the model. Third, pharmacology: near universal Dolutegravir based therapy (99.7%) reduces the adherence related contribution to sex differences, given the high genetic barrier to resistance of the drug (Venter et al., 2020). Male specific programming remains necessary, but should target the social mediators of vulnerability rather than sex as a standalone risk factor.</w:t>
      </w:r>
    </w:p>
    <w:p w14:paraId="1AA287A5" w14:textId="77777777" w:rsidR="00EE589F" w:rsidRPr="001C11C7" w:rsidRDefault="00EE589F" w:rsidP="00EE589F">
      <w:pPr>
        <w:numPr>
          <w:ilvl w:val="0"/>
          <w:numId w:val="14"/>
        </w:numPr>
        <w:spacing w:before="100" w:beforeAutospacing="1" w:after="100" w:afterAutospacing="1" w:line="48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b/>
          <w:bCs/>
          <w:sz w:val="24"/>
          <w:szCs w:val="24"/>
        </w:rPr>
        <w:t>Age:</w:t>
      </w:r>
      <w:r w:rsidRPr="001C11C7">
        <w:rPr>
          <w:rFonts w:ascii="Times New Roman" w:eastAsia="Times New Roman" w:hAnsi="Times New Roman" w:cs="Times New Roman"/>
          <w:sz w:val="24"/>
          <w:szCs w:val="24"/>
        </w:rPr>
        <w:t xml:space="preserve"> A clear bivariate gradient existed (18 to 24 years failure rate 8.2%; 45 years and older failure rate 5.6%; </w:t>
      </w:r>
      <w:r w:rsidRPr="001C11C7">
        <w:rPr>
          <w:rFonts w:ascii="Times New Roman" w:eastAsia="Times New Roman" w:hAnsi="Times New Roman" w:cs="Times New Roman"/>
          <w:i/>
          <w:iCs/>
          <w:sz w:val="24"/>
          <w:szCs w:val="24"/>
        </w:rPr>
        <w:t>p</w:t>
      </w:r>
      <w:r w:rsidRPr="001C11C7">
        <w:rPr>
          <w:rFonts w:ascii="Times New Roman" w:eastAsia="Times New Roman" w:hAnsi="Times New Roman" w:cs="Times New Roman"/>
          <w:sz w:val="24"/>
          <w:szCs w:val="24"/>
        </w:rPr>
        <w:t xml:space="preserve"> = .039). All age groups attenuated to </w:t>
      </w:r>
      <w:proofErr w:type="spellStart"/>
      <w:r w:rsidRPr="001C11C7">
        <w:rPr>
          <w:rFonts w:ascii="Times New Roman" w:eastAsia="Times New Roman" w:hAnsi="Times New Roman" w:cs="Times New Roman"/>
          <w:sz w:val="24"/>
          <w:szCs w:val="24"/>
        </w:rPr>
        <w:t>non significance</w:t>
      </w:r>
      <w:proofErr w:type="spellEnd"/>
      <w:r w:rsidRPr="001C11C7">
        <w:rPr>
          <w:rFonts w:ascii="Times New Roman" w:eastAsia="Times New Roman" w:hAnsi="Times New Roman" w:cs="Times New Roman"/>
          <w:sz w:val="24"/>
          <w:szCs w:val="24"/>
        </w:rPr>
        <w:t xml:space="preserve"> after adjustment. Older patients are more likely to be married and better educated, both of which independently predict suppression. When those variables are held constant, age loses predictive power. The appropriate response is to address the social mediators of young adult vulnerability, not to treat age itself as the intervention target (</w:t>
      </w:r>
      <w:proofErr w:type="spellStart"/>
      <w:r w:rsidRPr="001C11C7">
        <w:rPr>
          <w:rFonts w:ascii="Times New Roman" w:eastAsia="Times New Roman" w:hAnsi="Times New Roman" w:cs="Times New Roman"/>
          <w:sz w:val="24"/>
          <w:szCs w:val="24"/>
        </w:rPr>
        <w:t>Enane</w:t>
      </w:r>
      <w:proofErr w:type="spellEnd"/>
      <w:r w:rsidRPr="001C11C7">
        <w:rPr>
          <w:rFonts w:ascii="Times New Roman" w:eastAsia="Times New Roman" w:hAnsi="Times New Roman" w:cs="Times New Roman"/>
          <w:sz w:val="24"/>
          <w:szCs w:val="24"/>
        </w:rPr>
        <w:t xml:space="preserve"> et al., 2021).</w:t>
      </w:r>
    </w:p>
    <w:p w14:paraId="683A9689" w14:textId="77777777" w:rsidR="00EE589F" w:rsidRPr="001C11C7" w:rsidRDefault="00EE589F" w:rsidP="00EE589F">
      <w:pPr>
        <w:numPr>
          <w:ilvl w:val="0"/>
          <w:numId w:val="14"/>
        </w:numPr>
        <w:spacing w:before="100" w:beforeAutospacing="1" w:after="100" w:afterAutospacing="1" w:line="48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b/>
          <w:bCs/>
          <w:sz w:val="24"/>
          <w:szCs w:val="24"/>
        </w:rPr>
        <w:lastRenderedPageBreak/>
        <w:t>WHO Clinical Stage:</w:t>
      </w:r>
      <w:r w:rsidRPr="001C11C7">
        <w:rPr>
          <w:rFonts w:ascii="Times New Roman" w:eastAsia="Times New Roman" w:hAnsi="Times New Roman" w:cs="Times New Roman"/>
          <w:sz w:val="24"/>
          <w:szCs w:val="24"/>
        </w:rPr>
        <w:t xml:space="preserve"> Clinical staging was not significant at the bivariate (</w:t>
      </w:r>
      <w:r w:rsidRPr="001C11C7">
        <w:rPr>
          <w:rFonts w:ascii="Times New Roman" w:eastAsia="Times New Roman" w:hAnsi="Times New Roman" w:cs="Times New Roman"/>
          <w:i/>
          <w:iCs/>
          <w:sz w:val="24"/>
          <w:szCs w:val="24"/>
        </w:rPr>
        <w:t>p</w:t>
      </w:r>
      <w:r w:rsidRPr="001C11C7">
        <w:rPr>
          <w:rFonts w:ascii="Times New Roman" w:eastAsia="Times New Roman" w:hAnsi="Times New Roman" w:cs="Times New Roman"/>
          <w:sz w:val="24"/>
          <w:szCs w:val="24"/>
        </w:rPr>
        <w:t xml:space="preserve"> = .537) or multivariable level. With 88.7% of patients presenting at Stage I, the variable has insufficient variance to generate detectable effects. The near absence of advanced stage presentations reflects the reach of the Test and Treat strategy and is a programmatic achievement, though it prevents staging from functioning as a statistical predictor within this model (Haas et al., 2022; Ford et al., 2020).</w:t>
      </w:r>
    </w:p>
    <w:p w14:paraId="2AADFE8E" w14:textId="77777777" w:rsidR="00EE589F" w:rsidRPr="001C11C7" w:rsidRDefault="00EE589F" w:rsidP="00EE589F">
      <w:pPr>
        <w:numPr>
          <w:ilvl w:val="0"/>
          <w:numId w:val="14"/>
        </w:numPr>
        <w:spacing w:before="100" w:beforeAutospacing="1" w:after="100" w:afterAutospacing="1" w:line="48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b/>
          <w:bCs/>
          <w:sz w:val="24"/>
          <w:szCs w:val="24"/>
        </w:rPr>
        <w:t>Duration on ART:</w:t>
      </w:r>
      <w:r w:rsidRPr="001C11C7">
        <w:rPr>
          <w:rFonts w:ascii="Times New Roman" w:eastAsia="Times New Roman" w:hAnsi="Times New Roman" w:cs="Times New Roman"/>
          <w:sz w:val="24"/>
          <w:szCs w:val="24"/>
        </w:rPr>
        <w:t xml:space="preserve"> No significant association was found at any analytical level. Within group failure rates were flat across duration categories: 5.9% at 1 to 2 years, 6.6% at 3 to 4 years, and 6.5% at 5 to 7 years. This reflects a retained, treatment stable cohort where the most vulnerable patients have already exited the dataset through dropout or unrecoverable failure. The flat profile reflects survivor selection rather than a genuine absence of duration effects in the broader patient population (Haas et al., 2022).</w:t>
      </w:r>
    </w:p>
    <w:p w14:paraId="700B5FEE" w14:textId="77777777" w:rsidR="00EE589F" w:rsidRPr="001C11C7" w:rsidRDefault="00EE589F" w:rsidP="00EE589F">
      <w:pPr>
        <w:numPr>
          <w:ilvl w:val="0"/>
          <w:numId w:val="14"/>
        </w:numPr>
        <w:spacing w:before="100" w:beforeAutospacing="1" w:after="100" w:afterAutospacing="1" w:line="48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b/>
          <w:bCs/>
          <w:sz w:val="24"/>
          <w:szCs w:val="24"/>
        </w:rPr>
        <w:t>Facility Location:</w:t>
      </w:r>
      <w:r w:rsidRPr="001C11C7">
        <w:rPr>
          <w:rFonts w:ascii="Times New Roman" w:eastAsia="Times New Roman" w:hAnsi="Times New Roman" w:cs="Times New Roman"/>
          <w:sz w:val="24"/>
          <w:szCs w:val="24"/>
        </w:rPr>
        <w:t xml:space="preserve"> Rural patients recorded a within group failure rate of 7.1% compared to 5.5% in urban facilities. Urban location was significant at the bivariate level (</w:t>
      </w:r>
      <w:proofErr w:type="spellStart"/>
      <w:r w:rsidRPr="001C11C7">
        <w:rPr>
          <w:rFonts w:ascii="Times New Roman" w:eastAsia="Times New Roman" w:hAnsi="Times New Roman" w:cs="Times New Roman"/>
          <w:sz w:val="24"/>
          <w:szCs w:val="24"/>
        </w:rPr>
        <w:t>cOR</w:t>
      </w:r>
      <w:proofErr w:type="spellEnd"/>
      <w:r w:rsidRPr="001C11C7">
        <w:rPr>
          <w:rFonts w:ascii="Times New Roman" w:eastAsia="Times New Roman" w:hAnsi="Times New Roman" w:cs="Times New Roman"/>
          <w:sz w:val="24"/>
          <w:szCs w:val="24"/>
        </w:rPr>
        <w:t xml:space="preserve"> = 1.31; 95% CI [1.08, 1.60]; </w:t>
      </w:r>
      <w:r w:rsidRPr="001C11C7">
        <w:rPr>
          <w:rFonts w:ascii="Times New Roman" w:eastAsia="Times New Roman" w:hAnsi="Times New Roman" w:cs="Times New Roman"/>
          <w:i/>
          <w:iCs/>
          <w:sz w:val="24"/>
          <w:szCs w:val="24"/>
        </w:rPr>
        <w:t>p</w:t>
      </w:r>
      <w:r w:rsidRPr="001C11C7">
        <w:rPr>
          <w:rFonts w:ascii="Times New Roman" w:eastAsia="Times New Roman" w:hAnsi="Times New Roman" w:cs="Times New Roman"/>
          <w:sz w:val="24"/>
          <w:szCs w:val="24"/>
        </w:rPr>
        <w:t xml:space="preserve"> = .007) but was fully attenuated after adjustment in Model 2 (</w:t>
      </w:r>
      <w:proofErr w:type="spellStart"/>
      <w:r w:rsidRPr="001C11C7">
        <w:rPr>
          <w:rFonts w:ascii="Times New Roman" w:eastAsia="Times New Roman" w:hAnsi="Times New Roman" w:cs="Times New Roman"/>
          <w:sz w:val="24"/>
          <w:szCs w:val="24"/>
        </w:rPr>
        <w:t>aOR</w:t>
      </w:r>
      <w:proofErr w:type="spellEnd"/>
      <w:r w:rsidRPr="001C11C7">
        <w:rPr>
          <w:rFonts w:ascii="Times New Roman" w:eastAsia="Times New Roman" w:hAnsi="Times New Roman" w:cs="Times New Roman"/>
          <w:sz w:val="24"/>
          <w:szCs w:val="24"/>
        </w:rPr>
        <w:t xml:space="preserve"> = 1.28; 95% CI [0.84, 1.95]; </w:t>
      </w:r>
      <w:r w:rsidRPr="001C11C7">
        <w:rPr>
          <w:rFonts w:ascii="Times New Roman" w:eastAsia="Times New Roman" w:hAnsi="Times New Roman" w:cs="Times New Roman"/>
          <w:i/>
          <w:iCs/>
          <w:sz w:val="24"/>
          <w:szCs w:val="24"/>
        </w:rPr>
        <w:t>p</w:t>
      </w:r>
      <w:r w:rsidRPr="001C11C7">
        <w:rPr>
          <w:rFonts w:ascii="Times New Roman" w:eastAsia="Times New Roman" w:hAnsi="Times New Roman" w:cs="Times New Roman"/>
          <w:sz w:val="24"/>
          <w:szCs w:val="24"/>
        </w:rPr>
        <w:t xml:space="preserve"> &gt; .05). The likelihood ratio test confirmed facility structural variables did not improve model fit (chi square (3) = 2.696; </w:t>
      </w:r>
      <w:r w:rsidRPr="001C11C7">
        <w:rPr>
          <w:rFonts w:ascii="Times New Roman" w:eastAsia="Times New Roman" w:hAnsi="Times New Roman" w:cs="Times New Roman"/>
          <w:i/>
          <w:iCs/>
          <w:sz w:val="24"/>
          <w:szCs w:val="24"/>
        </w:rPr>
        <w:t>p</w:t>
      </w:r>
      <w:r w:rsidRPr="001C11C7">
        <w:rPr>
          <w:rFonts w:ascii="Times New Roman" w:eastAsia="Times New Roman" w:hAnsi="Times New Roman" w:cs="Times New Roman"/>
          <w:sz w:val="24"/>
          <w:szCs w:val="24"/>
        </w:rPr>
        <w:t xml:space="preserve"> = .441). Rural patients are more likely to have lower educational attainment, higher baseline unsuppressed status, and weaker social support. When those are controlled, the rural facility does not independently produce worse outcomes. Osayi et al. (2024) made the same argument for rural Plateau State populations, finding that community adherence support was more strongly associated with improved outcomes than facility infrastructure alone.</w:t>
      </w:r>
    </w:p>
    <w:p w14:paraId="7F6C1F33" w14:textId="77777777" w:rsidR="00EE589F" w:rsidRDefault="00EE589F" w:rsidP="00EE589F">
      <w:pPr>
        <w:numPr>
          <w:ilvl w:val="0"/>
          <w:numId w:val="14"/>
        </w:numPr>
        <w:spacing w:before="100" w:beforeAutospacing="1" w:after="100" w:afterAutospacing="1" w:line="48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b/>
          <w:bCs/>
          <w:sz w:val="24"/>
          <w:szCs w:val="24"/>
        </w:rPr>
        <w:lastRenderedPageBreak/>
        <w:t>Facility Tier and Ownership:</w:t>
      </w:r>
      <w:r w:rsidRPr="001C11C7">
        <w:rPr>
          <w:rFonts w:ascii="Times New Roman" w:eastAsia="Times New Roman" w:hAnsi="Times New Roman" w:cs="Times New Roman"/>
          <w:sz w:val="24"/>
          <w:szCs w:val="24"/>
        </w:rPr>
        <w:t xml:space="preserve"> Neither was significant in the adjusted model. Suppression rates across tiers were: primary 97.1%, secondary 93.3%, tertiary 94.3%. Ownership rates were: public 93.6%, faith based 93.4%, private 94.3%. None of these differences survived adjustment. The ICC of 3.16% confirms facility level variance exists, but tier, ownership, and location do not explain it. </w:t>
      </w:r>
      <w:proofErr w:type="spellStart"/>
      <w:r w:rsidRPr="001C11C7">
        <w:rPr>
          <w:rFonts w:ascii="Times New Roman" w:eastAsia="Times New Roman" w:hAnsi="Times New Roman" w:cs="Times New Roman"/>
          <w:sz w:val="24"/>
          <w:szCs w:val="24"/>
        </w:rPr>
        <w:t>Ojeh</w:t>
      </w:r>
      <w:proofErr w:type="spellEnd"/>
      <w:r w:rsidRPr="001C11C7">
        <w:rPr>
          <w:rFonts w:ascii="Times New Roman" w:eastAsia="Times New Roman" w:hAnsi="Times New Roman" w:cs="Times New Roman"/>
          <w:sz w:val="24"/>
          <w:szCs w:val="24"/>
        </w:rPr>
        <w:t xml:space="preserve"> et al. (2022) noted that ownership type in Nigerian ART programs frequently proxies unmeasured quality variables rather than functioning as a direct determinant of outcomes. The facility characteristics that actually drive suppression differences are likely process quality variables including laboratory turnaround times, adherence counseling frequency, and appointment reminder systems, none of which were captured in this dataset.</w:t>
      </w:r>
    </w:p>
    <w:p w14:paraId="71F5DD89" w14:textId="77777777" w:rsidR="00EE589F" w:rsidRPr="0069404D" w:rsidRDefault="00EE589F" w:rsidP="00EE589F">
      <w:pPr>
        <w:spacing w:before="100" w:beforeAutospacing="1" w:after="100" w:afterAutospacing="1" w:line="480" w:lineRule="auto"/>
        <w:jc w:val="both"/>
        <w:rPr>
          <w:rFonts w:ascii="Times New Roman" w:eastAsia="Times New Roman" w:hAnsi="Times New Roman" w:cs="Times New Roman"/>
          <w:b/>
          <w:bCs/>
          <w:sz w:val="24"/>
          <w:szCs w:val="24"/>
        </w:rPr>
      </w:pPr>
      <w:r w:rsidRPr="0069404D">
        <w:rPr>
          <w:rFonts w:ascii="Times New Roman" w:eastAsia="Times New Roman" w:hAnsi="Times New Roman" w:cs="Times New Roman"/>
          <w:b/>
          <w:bCs/>
          <w:sz w:val="24"/>
          <w:szCs w:val="24"/>
        </w:rPr>
        <w:t>5.2 Methodological and Analytical Alternatives</w:t>
      </w:r>
    </w:p>
    <w:p w14:paraId="0040D446" w14:textId="77777777" w:rsidR="00EE589F" w:rsidRPr="001C11C7" w:rsidRDefault="00EE589F" w:rsidP="00EE589F">
      <w:pPr>
        <w:spacing w:before="100" w:beforeAutospacing="1" w:after="100" w:afterAutospacing="1" w:line="480" w:lineRule="auto"/>
        <w:jc w:val="both"/>
        <w:rPr>
          <w:rFonts w:ascii="Times New Roman" w:eastAsia="Times New Roman" w:hAnsi="Times New Roman" w:cs="Times New Roman"/>
          <w:sz w:val="24"/>
          <w:szCs w:val="24"/>
        </w:rPr>
      </w:pPr>
      <w:r w:rsidRPr="0069404D">
        <w:rPr>
          <w:rFonts w:ascii="Times New Roman" w:eastAsia="Times New Roman" w:hAnsi="Times New Roman" w:cs="Times New Roman"/>
          <w:sz w:val="24"/>
          <w:szCs w:val="24"/>
        </w:rPr>
        <w:t>The findings of this investigation rely on specific analytical decisions regarding variable categorization and model selection. This section evaluates alternative explanations for these findings and discusses how different methodological choices would impact programmatic recommendations.</w:t>
      </w:r>
    </w:p>
    <w:p w14:paraId="521C2C83" w14:textId="77777777" w:rsidR="00EE589F" w:rsidRPr="001C11C7" w:rsidRDefault="00EE589F" w:rsidP="00EE589F">
      <w:pPr>
        <w:spacing w:before="100" w:beforeAutospacing="1" w:after="100" w:afterAutospacing="1" w:line="48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b/>
          <w:bCs/>
          <w:sz w:val="24"/>
          <w:szCs w:val="24"/>
        </w:rPr>
        <w:t>5.2.1 Alternative Explanations for the Four Significant Findings</w:t>
      </w:r>
    </w:p>
    <w:p w14:paraId="1DE48871" w14:textId="77777777" w:rsidR="00EE589F" w:rsidRPr="001C11C7" w:rsidRDefault="00EE589F" w:rsidP="00EE589F">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b/>
          <w:bCs/>
          <w:sz w:val="24"/>
          <w:szCs w:val="24"/>
        </w:rPr>
        <w:t>Baseline Viral Load:</w:t>
      </w:r>
      <w:r w:rsidRPr="001C11C7">
        <w:rPr>
          <w:rFonts w:ascii="Times New Roman" w:eastAsia="Times New Roman" w:hAnsi="Times New Roman" w:cs="Times New Roman"/>
          <w:sz w:val="24"/>
          <w:szCs w:val="24"/>
        </w:rPr>
        <w:t xml:space="preserve"> In a retrospective electronic medical record study, the baseline measurement is the earliest available record per patient and may not represent the true </w:t>
      </w:r>
      <w:proofErr w:type="spellStart"/>
      <w:r w:rsidRPr="001C11C7">
        <w:rPr>
          <w:rFonts w:ascii="Times New Roman" w:eastAsia="Times New Roman" w:hAnsi="Times New Roman" w:cs="Times New Roman"/>
          <w:sz w:val="24"/>
          <w:szCs w:val="24"/>
        </w:rPr>
        <w:t>pre treatment</w:t>
      </w:r>
      <w:proofErr w:type="spellEnd"/>
      <w:r w:rsidRPr="001C11C7">
        <w:rPr>
          <w:rFonts w:ascii="Times New Roman" w:eastAsia="Times New Roman" w:hAnsi="Times New Roman" w:cs="Times New Roman"/>
          <w:sz w:val="24"/>
          <w:szCs w:val="24"/>
        </w:rPr>
        <w:t xml:space="preserve"> viral burden. For patients who transferred into a participating facility mid treatment, the first available record may capture a </w:t>
      </w:r>
      <w:proofErr w:type="spellStart"/>
      <w:r w:rsidRPr="001C11C7">
        <w:rPr>
          <w:rFonts w:ascii="Times New Roman" w:eastAsia="Times New Roman" w:hAnsi="Times New Roman" w:cs="Times New Roman"/>
          <w:sz w:val="24"/>
          <w:szCs w:val="24"/>
        </w:rPr>
        <w:t>mid treatment</w:t>
      </w:r>
      <w:proofErr w:type="spellEnd"/>
      <w:r w:rsidRPr="001C11C7">
        <w:rPr>
          <w:rFonts w:ascii="Times New Roman" w:eastAsia="Times New Roman" w:hAnsi="Times New Roman" w:cs="Times New Roman"/>
          <w:sz w:val="24"/>
          <w:szCs w:val="24"/>
        </w:rPr>
        <w:t xml:space="preserve"> measurement or a viral rebound episode rather than a </w:t>
      </w:r>
      <w:proofErr w:type="gramStart"/>
      <w:r w:rsidRPr="001C11C7">
        <w:rPr>
          <w:rFonts w:ascii="Times New Roman" w:eastAsia="Times New Roman" w:hAnsi="Times New Roman" w:cs="Times New Roman"/>
          <w:sz w:val="24"/>
          <w:szCs w:val="24"/>
        </w:rPr>
        <w:t>pre ART</w:t>
      </w:r>
      <w:proofErr w:type="gramEnd"/>
      <w:r w:rsidRPr="001C11C7">
        <w:rPr>
          <w:rFonts w:ascii="Times New Roman" w:eastAsia="Times New Roman" w:hAnsi="Times New Roman" w:cs="Times New Roman"/>
          <w:sz w:val="24"/>
          <w:szCs w:val="24"/>
        </w:rPr>
        <w:t xml:space="preserve"> baseline. These are clinically distinct scenarios with </w:t>
      </w:r>
      <w:r w:rsidRPr="001C11C7">
        <w:rPr>
          <w:rFonts w:ascii="Times New Roman" w:eastAsia="Times New Roman" w:hAnsi="Times New Roman" w:cs="Times New Roman"/>
          <w:sz w:val="24"/>
          <w:szCs w:val="24"/>
        </w:rPr>
        <w:lastRenderedPageBreak/>
        <w:t>different programmatic implications. The dataset cannot resolve this distinction with certainty. Future prospective studies should capture the ART initiation date and the first ever viral load measurement explicitly. A second alternative concerns differential testing timing across facilities. If some facilities measured baseline viral load at four weeks post initiation while others measured at sixteen weeks, the earlier testing sites would record systematically higher unsuppressed baseline rates, not because patients were biologically more vulnerable, but because the medication had not yet achieved suppression. Standard pharmacodynamic evidence indicates that Dolutegravir produces suppression within eight to twelve weeks in most patients (WHO, 2022). This protocol variation was not captured in the dataset.</w:t>
      </w:r>
    </w:p>
    <w:p w14:paraId="635319A9" w14:textId="77777777" w:rsidR="00EE589F" w:rsidRPr="001C11C7" w:rsidRDefault="00EE589F" w:rsidP="00EE589F">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b/>
          <w:bCs/>
          <w:sz w:val="24"/>
          <w:szCs w:val="24"/>
        </w:rPr>
        <w:t>Multi Month Dispensing:</w:t>
      </w:r>
      <w:r w:rsidRPr="001C11C7">
        <w:rPr>
          <w:rFonts w:ascii="Times New Roman" w:eastAsia="Times New Roman" w:hAnsi="Times New Roman" w:cs="Times New Roman"/>
          <w:sz w:val="24"/>
          <w:szCs w:val="24"/>
        </w:rPr>
        <w:t xml:space="preserve"> The most serious alternative explanation is reverse causation. Nigerian guidelines restrict MMD 6 to clinically stable patients (NACA, 2022). If clinicians assign extended dispensing to already suppressed patients, the observed association may partly reflect the selection of stable patients into MMD 6, rather than MMD 6 producing stability. Akello et al. (2022) noted that randomized trials of MMD consistently produce smaller effect sizes than observational studies for this reason. The </w:t>
      </w:r>
      <w:proofErr w:type="spellStart"/>
      <w:r w:rsidRPr="001C11C7">
        <w:rPr>
          <w:rFonts w:ascii="Times New Roman" w:eastAsia="Times New Roman" w:hAnsi="Times New Roman" w:cs="Times New Roman"/>
          <w:sz w:val="24"/>
          <w:szCs w:val="24"/>
        </w:rPr>
        <w:t>aOR</w:t>
      </w:r>
      <w:proofErr w:type="spellEnd"/>
      <w:r w:rsidRPr="001C11C7">
        <w:rPr>
          <w:rFonts w:ascii="Times New Roman" w:eastAsia="Times New Roman" w:hAnsi="Times New Roman" w:cs="Times New Roman"/>
          <w:sz w:val="24"/>
          <w:szCs w:val="24"/>
        </w:rPr>
        <w:t xml:space="preserve"> of 1.34 in this study is likely an overestimate of the true causal effect. The direction is almost certainly genuine, but the magnitude may be partially inflated by selection. A quasi experimental evaluation within Plateau State would generate a stronger causal estimate.</w:t>
      </w:r>
    </w:p>
    <w:p w14:paraId="060C5498" w14:textId="77777777" w:rsidR="00EE589F" w:rsidRPr="001C11C7" w:rsidRDefault="00EE589F" w:rsidP="00EE589F">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b/>
          <w:bCs/>
          <w:sz w:val="24"/>
          <w:szCs w:val="24"/>
        </w:rPr>
        <w:t>Tertiary Educational Attainment:</w:t>
      </w:r>
      <w:r w:rsidRPr="001C11C7">
        <w:rPr>
          <w:rFonts w:ascii="Times New Roman" w:eastAsia="Times New Roman" w:hAnsi="Times New Roman" w:cs="Times New Roman"/>
          <w:sz w:val="24"/>
          <w:szCs w:val="24"/>
        </w:rPr>
        <w:t xml:space="preserve"> Two mechanisms that the dataset cannot separate may explain the finding. The first is that tertiary education genuinely increases health literacy and </w:t>
      </w:r>
      <w:proofErr w:type="spellStart"/>
      <w:r w:rsidRPr="001C11C7">
        <w:rPr>
          <w:rFonts w:ascii="Times New Roman" w:eastAsia="Times New Roman" w:hAnsi="Times New Roman" w:cs="Times New Roman"/>
          <w:sz w:val="24"/>
          <w:szCs w:val="24"/>
        </w:rPr>
        <w:t>self efficacy</w:t>
      </w:r>
      <w:proofErr w:type="spellEnd"/>
      <w:r w:rsidRPr="001C11C7">
        <w:rPr>
          <w:rFonts w:ascii="Times New Roman" w:eastAsia="Times New Roman" w:hAnsi="Times New Roman" w:cs="Times New Roman"/>
          <w:sz w:val="24"/>
          <w:szCs w:val="24"/>
        </w:rPr>
        <w:t xml:space="preserve">. The second is that tertiary education </w:t>
      </w:r>
      <w:proofErr w:type="gramStart"/>
      <w:r w:rsidRPr="001C11C7">
        <w:rPr>
          <w:rFonts w:ascii="Times New Roman" w:eastAsia="Times New Roman" w:hAnsi="Times New Roman" w:cs="Times New Roman"/>
          <w:sz w:val="24"/>
          <w:szCs w:val="24"/>
        </w:rPr>
        <w:t>proxies</w:t>
      </w:r>
      <w:proofErr w:type="gramEnd"/>
      <w:r w:rsidRPr="001C11C7">
        <w:rPr>
          <w:rFonts w:ascii="Times New Roman" w:eastAsia="Times New Roman" w:hAnsi="Times New Roman" w:cs="Times New Roman"/>
          <w:sz w:val="24"/>
          <w:szCs w:val="24"/>
        </w:rPr>
        <w:t xml:space="preserve"> socioeconomic status, urban </w:t>
      </w:r>
      <w:r w:rsidRPr="001C11C7">
        <w:rPr>
          <w:rFonts w:ascii="Times New Roman" w:eastAsia="Times New Roman" w:hAnsi="Times New Roman" w:cs="Times New Roman"/>
          <w:sz w:val="24"/>
          <w:szCs w:val="24"/>
        </w:rPr>
        <w:lastRenderedPageBreak/>
        <w:t>residency, and occupational stability, none of which were directly measured. If socioeconomic status is the operative mechanism, then income support, food security programs, and transportation assistance would address the underlying vulnerability more directly than education focused interventions. Future studies should include direct measures of household income and food security.</w:t>
      </w:r>
    </w:p>
    <w:p w14:paraId="221609C9" w14:textId="77777777" w:rsidR="00EE589F" w:rsidRPr="001C11C7" w:rsidRDefault="00EE589F" w:rsidP="00EE589F">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b/>
          <w:bCs/>
          <w:sz w:val="24"/>
          <w:szCs w:val="24"/>
        </w:rPr>
        <w:t>Never Married Status:</w:t>
      </w:r>
      <w:r w:rsidRPr="001C11C7">
        <w:rPr>
          <w:rFonts w:ascii="Times New Roman" w:eastAsia="Times New Roman" w:hAnsi="Times New Roman" w:cs="Times New Roman"/>
          <w:sz w:val="24"/>
          <w:szCs w:val="24"/>
        </w:rPr>
        <w:t xml:space="preserve"> Residual confounding with age cannot be entirely dismissed. Never married status is correlated with younger age in this cohort. Both variables were included simultaneously in the final model, and age attenuated to </w:t>
      </w:r>
      <w:proofErr w:type="spellStart"/>
      <w:r w:rsidRPr="001C11C7">
        <w:rPr>
          <w:rFonts w:ascii="Times New Roman" w:eastAsia="Times New Roman" w:hAnsi="Times New Roman" w:cs="Times New Roman"/>
          <w:sz w:val="24"/>
          <w:szCs w:val="24"/>
        </w:rPr>
        <w:t>non significance</w:t>
      </w:r>
      <w:proofErr w:type="spellEnd"/>
      <w:r w:rsidRPr="001C11C7">
        <w:rPr>
          <w:rFonts w:ascii="Times New Roman" w:eastAsia="Times New Roman" w:hAnsi="Times New Roman" w:cs="Times New Roman"/>
          <w:sz w:val="24"/>
          <w:szCs w:val="24"/>
        </w:rPr>
        <w:t xml:space="preserve"> while marital status retained significance. However, the conceptual boundary between being young and being never married is not always clean in the Nigerian social context, where marriage commonly occurs in the late twenties and early thirties for urban adults. Future studies should measure partnership quality, treatment disclosure status, and household composition as more precise proxies for the social support mechanism.</w:t>
      </w:r>
    </w:p>
    <w:p w14:paraId="42823132" w14:textId="77777777" w:rsidR="00EE589F" w:rsidRPr="001C11C7" w:rsidRDefault="00EE589F" w:rsidP="0055187F">
      <w:pPr>
        <w:spacing w:before="100" w:beforeAutospacing="1" w:after="100" w:afterAutospacing="1" w:line="36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b/>
          <w:bCs/>
          <w:sz w:val="24"/>
          <w:szCs w:val="24"/>
        </w:rPr>
        <w:t>5.2.2 Methodological Alternatives</w:t>
      </w:r>
    </w:p>
    <w:p w14:paraId="17A62874" w14:textId="77777777" w:rsidR="00EE589F" w:rsidRPr="001C11C7" w:rsidRDefault="00EE589F" w:rsidP="00EE589F">
      <w:pPr>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b/>
          <w:bCs/>
          <w:sz w:val="24"/>
          <w:szCs w:val="24"/>
        </w:rPr>
        <w:t>Reference Category Choices:</w:t>
      </w:r>
      <w:r w:rsidRPr="001C11C7">
        <w:rPr>
          <w:rFonts w:ascii="Times New Roman" w:eastAsia="Times New Roman" w:hAnsi="Times New Roman" w:cs="Times New Roman"/>
          <w:sz w:val="24"/>
          <w:szCs w:val="24"/>
        </w:rPr>
        <w:t xml:space="preserve"> MMD 3 months was used as the reference rather than MMD 6 months as originally specified in Table 4.1. This was a deliberate policy relevance decision: expressing the odds ratio as the benefit of MMD 6 over standard practice is more actionable for </w:t>
      </w:r>
      <w:proofErr w:type="spellStart"/>
      <w:r w:rsidRPr="001C11C7">
        <w:rPr>
          <w:rFonts w:ascii="Times New Roman" w:eastAsia="Times New Roman" w:hAnsi="Times New Roman" w:cs="Times New Roman"/>
          <w:sz w:val="24"/>
          <w:szCs w:val="24"/>
        </w:rPr>
        <w:t>programme</w:t>
      </w:r>
      <w:proofErr w:type="spellEnd"/>
      <w:r w:rsidRPr="001C11C7">
        <w:rPr>
          <w:rFonts w:ascii="Times New Roman" w:eastAsia="Times New Roman" w:hAnsi="Times New Roman" w:cs="Times New Roman"/>
          <w:sz w:val="24"/>
          <w:szCs w:val="24"/>
        </w:rPr>
        <w:t xml:space="preserve"> managers than expressing it as the penalty of MMD 3 relative to the optimal interval. The inference is identical either way. No formal education was retained as the education reference to allow the odds ratios to express the progressive protective benefit of increasing educational attainment relative to the most disadvantaged group, which is more policy relevant for a setting where 11.4% of patients have no formal education.</w:t>
      </w:r>
    </w:p>
    <w:p w14:paraId="5C6AA316" w14:textId="77777777" w:rsidR="00EE589F" w:rsidRPr="001C11C7" w:rsidRDefault="00EE589F" w:rsidP="00EE589F">
      <w:pPr>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b/>
          <w:bCs/>
          <w:sz w:val="24"/>
          <w:szCs w:val="24"/>
        </w:rPr>
        <w:lastRenderedPageBreak/>
        <w:t>Category Merging:</w:t>
      </w:r>
      <w:r w:rsidRPr="001C11C7">
        <w:rPr>
          <w:rFonts w:ascii="Times New Roman" w:eastAsia="Times New Roman" w:hAnsi="Times New Roman" w:cs="Times New Roman"/>
          <w:sz w:val="24"/>
          <w:szCs w:val="24"/>
        </w:rPr>
        <w:t xml:space="preserve"> Three merging decisions were made prior to model fitting: WHO Stage IV with Stage III, Primary tier with Secondary, and Private ownership with Faith based. Each was necessary to prevent complete separation or sparse cell instability. The most consequential is the WHO Stage merger. The 17 Stage IV patients, all of whom suppressed, cannot be examined separately. In settings where Stage IV presentation is more common, suppression outcomes for this group differ substantially from Stage III. Future cohort designs should ensure advanced disease presentations are captured in sufficient numbers for separate analysis.</w:t>
      </w:r>
    </w:p>
    <w:p w14:paraId="01FF5EA2" w14:textId="77777777" w:rsidR="00EE589F" w:rsidRPr="001C11C7" w:rsidRDefault="00EE589F" w:rsidP="00EE589F">
      <w:pPr>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b/>
          <w:bCs/>
          <w:sz w:val="24"/>
          <w:szCs w:val="24"/>
        </w:rPr>
        <w:t>The ICC and Multilevel Modelling:</w:t>
      </w:r>
      <w:r w:rsidRPr="001C11C7">
        <w:rPr>
          <w:rFonts w:ascii="Times New Roman" w:eastAsia="Times New Roman" w:hAnsi="Times New Roman" w:cs="Times New Roman"/>
          <w:sz w:val="24"/>
          <w:szCs w:val="24"/>
        </w:rPr>
        <w:t xml:space="preserve"> An ICC of 3.16% sits at the lower boundary of what some methodologists consider meaningful clustering. Snijders and Bosker (2012) cite a minimum threshold of 5%, while Hox et al. (2018) argue that any </w:t>
      </w:r>
      <w:proofErr w:type="spellStart"/>
      <w:r w:rsidRPr="001C11C7">
        <w:rPr>
          <w:rFonts w:ascii="Times New Roman" w:eastAsia="Times New Roman" w:hAnsi="Times New Roman" w:cs="Times New Roman"/>
          <w:sz w:val="24"/>
          <w:szCs w:val="24"/>
        </w:rPr>
        <w:t>non zero</w:t>
      </w:r>
      <w:proofErr w:type="spellEnd"/>
      <w:r w:rsidRPr="001C11C7">
        <w:rPr>
          <w:rFonts w:ascii="Times New Roman" w:eastAsia="Times New Roman" w:hAnsi="Times New Roman" w:cs="Times New Roman"/>
          <w:sz w:val="24"/>
          <w:szCs w:val="24"/>
        </w:rPr>
        <w:t xml:space="preserve"> ICC in a nested data structure violates the independence assumption of standard logistic regression and justifies a random effects specification. This study adopted the latter position. A standard logistic regression with robust standard errors would have produced largely similar individual level estimates given the modest ICC, but would have prevented </w:t>
      </w:r>
      <w:proofErr w:type="spellStart"/>
      <w:r w:rsidRPr="001C11C7">
        <w:rPr>
          <w:rFonts w:ascii="Times New Roman" w:eastAsia="Times New Roman" w:hAnsi="Times New Roman" w:cs="Times New Roman"/>
          <w:sz w:val="24"/>
          <w:szCs w:val="24"/>
        </w:rPr>
        <w:t>generalisation</w:t>
      </w:r>
      <w:proofErr w:type="spellEnd"/>
      <w:r w:rsidRPr="001C11C7">
        <w:rPr>
          <w:rFonts w:ascii="Times New Roman" w:eastAsia="Times New Roman" w:hAnsi="Times New Roman" w:cs="Times New Roman"/>
          <w:sz w:val="24"/>
          <w:szCs w:val="24"/>
        </w:rPr>
        <w:t xml:space="preserve"> beyond the 35 sampled facilities, which was a study design objective.</w:t>
      </w:r>
    </w:p>
    <w:p w14:paraId="3CDE25F3" w14:textId="77777777" w:rsidR="00EE589F" w:rsidRPr="001C11C7" w:rsidRDefault="00EE589F" w:rsidP="00EE589F">
      <w:pPr>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b/>
          <w:bCs/>
          <w:sz w:val="24"/>
          <w:szCs w:val="24"/>
        </w:rPr>
        <w:t>Cross Level Interactions:</w:t>
      </w:r>
      <w:r w:rsidRPr="001C11C7">
        <w:rPr>
          <w:rFonts w:ascii="Times New Roman" w:eastAsia="Times New Roman" w:hAnsi="Times New Roman" w:cs="Times New Roman"/>
          <w:sz w:val="24"/>
          <w:szCs w:val="24"/>
        </w:rPr>
        <w:t xml:space="preserve"> The adapted Social Ecological Model posited that facility level characteristics would moderate individual level effects. For example, the baseline viral load penalty might differ between facilities with rapid laboratory turnaround and those with delayed reporting. These interactions were not formally tested. Cross level interactions require adequate within facility sample sizes, and with an average of approximately 201 patients per facility and considerable size variation, the power to detect such interactions </w:t>
      </w:r>
      <w:r w:rsidRPr="001C11C7">
        <w:rPr>
          <w:rFonts w:ascii="Times New Roman" w:eastAsia="Times New Roman" w:hAnsi="Times New Roman" w:cs="Times New Roman"/>
          <w:sz w:val="24"/>
          <w:szCs w:val="24"/>
        </w:rPr>
        <w:lastRenderedPageBreak/>
        <w:t>without overfitting was limited. Future studies with larger within facility samples should test these interactions formally.</w:t>
      </w:r>
    </w:p>
    <w:p w14:paraId="31629E7E" w14:textId="77777777" w:rsidR="00EE589F" w:rsidRPr="001C11C7" w:rsidRDefault="00EE589F" w:rsidP="0055187F">
      <w:pPr>
        <w:spacing w:before="100" w:beforeAutospacing="1" w:after="100" w:afterAutospacing="1" w:line="36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b/>
          <w:bCs/>
          <w:sz w:val="24"/>
          <w:szCs w:val="24"/>
        </w:rPr>
        <w:t>5.2.3 Alternative Programmatic Responses</w:t>
      </w:r>
    </w:p>
    <w:p w14:paraId="2F670FA2" w14:textId="77777777" w:rsidR="00EE589F" w:rsidRPr="001C11C7" w:rsidRDefault="00EE589F" w:rsidP="00EE589F">
      <w:pPr>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b/>
          <w:bCs/>
          <w:sz w:val="24"/>
          <w:szCs w:val="24"/>
        </w:rPr>
        <w:t>On Baseline Viral Load:</w:t>
      </w:r>
      <w:r w:rsidRPr="001C11C7">
        <w:rPr>
          <w:rFonts w:ascii="Times New Roman" w:eastAsia="Times New Roman" w:hAnsi="Times New Roman" w:cs="Times New Roman"/>
          <w:sz w:val="24"/>
          <w:szCs w:val="24"/>
        </w:rPr>
        <w:t xml:space="preserve"> The current model is reactive: patients who fail to suppress are identified at scheduled review points and referred for counseling or regimen review at that stage. The findings argue for a prospective early alert model. Patients identified as baseline unsuppressed at initial measurement should be flagged immediately for enhanced adherence support and clinical review at four weeks rather than the standard three to six months. This is consistent with WHO consolidated guidelines (WHO, 2022). The widening gap documented in Figure 4.1, where baseline suppression fell to 81.2% in 2024, adds urgency. Upstream interventions including community testing, index case testing, and same day ART initiation are needed to reduce the proportion entering care already virologically active.</w:t>
      </w:r>
    </w:p>
    <w:p w14:paraId="1FCF74BF" w14:textId="77777777" w:rsidR="00EE589F" w:rsidRPr="001C11C7" w:rsidRDefault="00EE589F" w:rsidP="00EE589F">
      <w:pPr>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b/>
          <w:bCs/>
          <w:sz w:val="24"/>
          <w:szCs w:val="24"/>
        </w:rPr>
        <w:t>On MMD Scale Up:</w:t>
      </w:r>
      <w:r w:rsidRPr="001C11C7">
        <w:rPr>
          <w:rFonts w:ascii="Times New Roman" w:eastAsia="Times New Roman" w:hAnsi="Times New Roman" w:cs="Times New Roman"/>
          <w:sz w:val="24"/>
          <w:szCs w:val="24"/>
        </w:rPr>
        <w:t xml:space="preserve"> The alternative to the current </w:t>
      </w:r>
      <w:proofErr w:type="gramStart"/>
      <w:r w:rsidRPr="001C11C7">
        <w:rPr>
          <w:rFonts w:ascii="Times New Roman" w:eastAsia="Times New Roman" w:hAnsi="Times New Roman" w:cs="Times New Roman"/>
          <w:sz w:val="24"/>
          <w:szCs w:val="24"/>
        </w:rPr>
        <w:t>eligibility based</w:t>
      </w:r>
      <w:proofErr w:type="gramEnd"/>
      <w:r w:rsidRPr="001C11C7">
        <w:rPr>
          <w:rFonts w:ascii="Times New Roman" w:eastAsia="Times New Roman" w:hAnsi="Times New Roman" w:cs="Times New Roman"/>
          <w:sz w:val="24"/>
          <w:szCs w:val="24"/>
        </w:rPr>
        <w:t xml:space="preserve"> approach is a presumptive MMD 6 model where all patients initiate on extended dispensing unless a documented clinical contraindication exists. This reverses the burden of proof. Rather than requiring stability to be demonstrated before MMD 6 is granted, instability would need to be documented before it is withheld. Two structural constraints limit this: facility storage capacity at smaller sites and supply chain reliability. Both are operationally addressable. A 34% improvement in suppression odds among the 29% currently on shorter intervals provides a strong investment case.</w:t>
      </w:r>
    </w:p>
    <w:p w14:paraId="74BE9462" w14:textId="77777777" w:rsidR="00EE589F" w:rsidRPr="001C11C7" w:rsidRDefault="00EE589F" w:rsidP="00EE589F">
      <w:pPr>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b/>
          <w:bCs/>
          <w:sz w:val="24"/>
          <w:szCs w:val="24"/>
        </w:rPr>
        <w:t>On the Rural Disadvantage:</w:t>
      </w:r>
      <w:r w:rsidRPr="001C11C7">
        <w:rPr>
          <w:rFonts w:ascii="Times New Roman" w:eastAsia="Times New Roman" w:hAnsi="Times New Roman" w:cs="Times New Roman"/>
          <w:sz w:val="24"/>
          <w:szCs w:val="24"/>
        </w:rPr>
        <w:t xml:space="preserve"> The attenuation of the rural location effect after individual level adjustment shows the rural urban suppression gap is driven by patient characteristics </w:t>
      </w:r>
      <w:r w:rsidRPr="001C11C7">
        <w:rPr>
          <w:rFonts w:ascii="Times New Roman" w:eastAsia="Times New Roman" w:hAnsi="Times New Roman" w:cs="Times New Roman"/>
          <w:sz w:val="24"/>
          <w:szCs w:val="24"/>
        </w:rPr>
        <w:lastRenderedPageBreak/>
        <w:t xml:space="preserve">rather than facility geography. Geography based resource allocation may therefore be less effective at improving rural suppression rates than programs targeting the social vulnerabilities of rural patient populations directly. Vulnerability </w:t>
      </w:r>
      <w:proofErr w:type="gramStart"/>
      <w:r w:rsidRPr="001C11C7">
        <w:rPr>
          <w:rFonts w:ascii="Times New Roman" w:eastAsia="Times New Roman" w:hAnsi="Times New Roman" w:cs="Times New Roman"/>
          <w:sz w:val="24"/>
          <w:szCs w:val="24"/>
        </w:rPr>
        <w:t>profile based</w:t>
      </w:r>
      <w:proofErr w:type="gramEnd"/>
      <w:r w:rsidRPr="001C11C7">
        <w:rPr>
          <w:rFonts w:ascii="Times New Roman" w:eastAsia="Times New Roman" w:hAnsi="Times New Roman" w:cs="Times New Roman"/>
          <w:sz w:val="24"/>
          <w:szCs w:val="24"/>
        </w:rPr>
        <w:t xml:space="preserve"> resource allocation, directed at facilities serving high concentrations of patients with no formal education, never married status, and baseline unsuppressed viral loads, would be more precisely aligned with where patient need is concentrated. Community based adherence support models including mobile outreach and community adherence clubs have produced suppression gains comparable to facility infrastructure investment in comparable settings, at a lower per patient cost (Grimsrud et al., 2020; Akello et al., 2022).</w:t>
      </w:r>
    </w:p>
    <w:p w14:paraId="4E4F5B01" w14:textId="77777777" w:rsidR="00EE589F" w:rsidRPr="001C11C7" w:rsidRDefault="00EE589F" w:rsidP="00EE589F">
      <w:pPr>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1C11C7">
        <w:rPr>
          <w:rFonts w:ascii="Times New Roman" w:eastAsia="Times New Roman" w:hAnsi="Times New Roman" w:cs="Times New Roman"/>
          <w:b/>
          <w:bCs/>
          <w:sz w:val="24"/>
          <w:szCs w:val="24"/>
        </w:rPr>
        <w:t>On Facility Tier and Ownership:</w:t>
      </w:r>
      <w:r w:rsidRPr="001C11C7">
        <w:rPr>
          <w:rFonts w:ascii="Times New Roman" w:eastAsia="Times New Roman" w:hAnsi="Times New Roman" w:cs="Times New Roman"/>
          <w:sz w:val="24"/>
          <w:szCs w:val="24"/>
        </w:rPr>
        <w:t xml:space="preserve"> The ICC of 3.16% confirms that facilities differ in suppression outcomes, but tier, ownership, and location do not explain why. The alternative to </w:t>
      </w:r>
      <w:proofErr w:type="gramStart"/>
      <w:r w:rsidRPr="001C11C7">
        <w:rPr>
          <w:rFonts w:ascii="Times New Roman" w:eastAsia="Times New Roman" w:hAnsi="Times New Roman" w:cs="Times New Roman"/>
          <w:sz w:val="24"/>
          <w:szCs w:val="24"/>
        </w:rPr>
        <w:t>tier based</w:t>
      </w:r>
      <w:proofErr w:type="gramEnd"/>
      <w:r w:rsidRPr="001C11C7">
        <w:rPr>
          <w:rFonts w:ascii="Times New Roman" w:eastAsia="Times New Roman" w:hAnsi="Times New Roman" w:cs="Times New Roman"/>
          <w:sz w:val="24"/>
          <w:szCs w:val="24"/>
        </w:rPr>
        <w:t xml:space="preserve"> quality assurance is </w:t>
      </w:r>
      <w:proofErr w:type="gramStart"/>
      <w:r w:rsidRPr="001C11C7">
        <w:rPr>
          <w:rFonts w:ascii="Times New Roman" w:eastAsia="Times New Roman" w:hAnsi="Times New Roman" w:cs="Times New Roman"/>
          <w:sz w:val="24"/>
          <w:szCs w:val="24"/>
        </w:rPr>
        <w:t>outcome based</w:t>
      </w:r>
      <w:proofErr w:type="gramEnd"/>
      <w:r w:rsidRPr="001C11C7">
        <w:rPr>
          <w:rFonts w:ascii="Times New Roman" w:eastAsia="Times New Roman" w:hAnsi="Times New Roman" w:cs="Times New Roman"/>
          <w:sz w:val="24"/>
          <w:szCs w:val="24"/>
        </w:rPr>
        <w:t xml:space="preserve"> facility monitoring. Each facility should be assessed against a defined suppression performance threshold regardless of its structural classification. Facilities recording suppression rates below 90%, corresponding to five facilities in this study, should trigger intensified programmatic support. This approach is directly supported by the inter facility suppression range of 83.2% to 100.0% documented in Chapter Four.</w:t>
      </w:r>
    </w:p>
    <w:p w14:paraId="55630250" w14:textId="77777777" w:rsidR="00EE589F" w:rsidRDefault="00EE589F" w:rsidP="00CA2730">
      <w:pPr>
        <w:spacing w:before="100" w:beforeAutospacing="1" w:after="100" w:afterAutospacing="1" w:line="480" w:lineRule="auto"/>
        <w:jc w:val="center"/>
        <w:outlineLvl w:val="3"/>
        <w:rPr>
          <w:rFonts w:ascii="Times New Roman" w:eastAsia="Times New Roman" w:hAnsi="Times New Roman" w:cs="Times New Roman"/>
          <w:b/>
          <w:bCs/>
          <w:sz w:val="24"/>
          <w:szCs w:val="24"/>
        </w:rPr>
      </w:pPr>
    </w:p>
    <w:p w14:paraId="525CA5CE" w14:textId="77777777" w:rsidR="00EE589F" w:rsidRDefault="00EE589F" w:rsidP="00CA2730">
      <w:pPr>
        <w:spacing w:before="100" w:beforeAutospacing="1" w:after="100" w:afterAutospacing="1" w:line="480" w:lineRule="auto"/>
        <w:jc w:val="center"/>
        <w:outlineLvl w:val="3"/>
        <w:rPr>
          <w:rFonts w:ascii="Times New Roman" w:eastAsia="Times New Roman" w:hAnsi="Times New Roman" w:cs="Times New Roman"/>
          <w:b/>
          <w:bCs/>
          <w:sz w:val="24"/>
          <w:szCs w:val="24"/>
        </w:rPr>
      </w:pPr>
    </w:p>
    <w:p w14:paraId="4751BB82" w14:textId="77777777" w:rsidR="00EE589F" w:rsidRDefault="00EE589F" w:rsidP="00CA2730">
      <w:pPr>
        <w:spacing w:before="100" w:beforeAutospacing="1" w:after="100" w:afterAutospacing="1" w:line="480" w:lineRule="auto"/>
        <w:jc w:val="center"/>
        <w:outlineLvl w:val="3"/>
        <w:rPr>
          <w:rFonts w:ascii="Times New Roman" w:eastAsia="Times New Roman" w:hAnsi="Times New Roman" w:cs="Times New Roman"/>
          <w:b/>
          <w:bCs/>
          <w:sz w:val="24"/>
          <w:szCs w:val="24"/>
        </w:rPr>
      </w:pPr>
    </w:p>
    <w:p w14:paraId="259344BE" w14:textId="77777777" w:rsidR="00EE589F" w:rsidRDefault="00EE589F" w:rsidP="00CA2730">
      <w:pPr>
        <w:spacing w:before="100" w:beforeAutospacing="1" w:after="100" w:afterAutospacing="1" w:line="480" w:lineRule="auto"/>
        <w:jc w:val="center"/>
        <w:outlineLvl w:val="3"/>
        <w:rPr>
          <w:rFonts w:ascii="Times New Roman" w:eastAsia="Times New Roman" w:hAnsi="Times New Roman" w:cs="Times New Roman"/>
          <w:b/>
          <w:bCs/>
          <w:sz w:val="24"/>
          <w:szCs w:val="24"/>
        </w:rPr>
      </w:pPr>
    </w:p>
    <w:p w14:paraId="1DC0F0B0" w14:textId="77777777" w:rsidR="00E46208" w:rsidRPr="008B6841" w:rsidRDefault="00E46208" w:rsidP="0055187F">
      <w:pPr>
        <w:spacing w:before="100" w:beforeAutospacing="1" w:after="100" w:afterAutospacing="1" w:line="360" w:lineRule="auto"/>
        <w:jc w:val="center"/>
        <w:outlineLvl w:val="2"/>
        <w:rPr>
          <w:rFonts w:ascii="Times New Roman" w:eastAsia="Times New Roman" w:hAnsi="Times New Roman" w:cs="Times New Roman"/>
          <w:b/>
          <w:bCs/>
          <w:sz w:val="24"/>
          <w:szCs w:val="24"/>
        </w:rPr>
      </w:pPr>
      <w:r w:rsidRPr="008B6841">
        <w:rPr>
          <w:rFonts w:ascii="Times New Roman" w:eastAsia="Times New Roman" w:hAnsi="Times New Roman" w:cs="Times New Roman"/>
          <w:b/>
          <w:bCs/>
          <w:sz w:val="24"/>
          <w:szCs w:val="24"/>
        </w:rPr>
        <w:lastRenderedPageBreak/>
        <w:t>CHAPTER SIX</w:t>
      </w:r>
    </w:p>
    <w:p w14:paraId="0DDE443E" w14:textId="77777777" w:rsidR="00E46208" w:rsidRPr="008B6841" w:rsidRDefault="00E46208" w:rsidP="0055187F">
      <w:pPr>
        <w:spacing w:before="100" w:beforeAutospacing="1" w:after="100" w:afterAutospacing="1" w:line="360" w:lineRule="auto"/>
        <w:jc w:val="center"/>
        <w:outlineLvl w:val="2"/>
        <w:rPr>
          <w:rFonts w:ascii="Times New Roman" w:eastAsia="Times New Roman" w:hAnsi="Times New Roman" w:cs="Times New Roman"/>
          <w:b/>
          <w:bCs/>
          <w:sz w:val="24"/>
          <w:szCs w:val="24"/>
        </w:rPr>
      </w:pPr>
      <w:r w:rsidRPr="008B6841">
        <w:rPr>
          <w:rFonts w:ascii="Times New Roman" w:eastAsia="Times New Roman" w:hAnsi="Times New Roman" w:cs="Times New Roman"/>
          <w:b/>
          <w:bCs/>
          <w:sz w:val="24"/>
          <w:szCs w:val="24"/>
        </w:rPr>
        <w:t>CONCLUSION AND RECOMMENDATIONS</w:t>
      </w:r>
    </w:p>
    <w:p w14:paraId="22ECA9C2" w14:textId="77777777" w:rsidR="00E46208" w:rsidRPr="008B6841" w:rsidRDefault="00E46208" w:rsidP="00E46208">
      <w:pPr>
        <w:spacing w:before="100" w:beforeAutospacing="1" w:after="100" w:afterAutospacing="1" w:line="480" w:lineRule="auto"/>
        <w:jc w:val="both"/>
        <w:rPr>
          <w:rFonts w:ascii="Times New Roman" w:eastAsia="Times New Roman" w:hAnsi="Times New Roman" w:cs="Times New Roman"/>
          <w:sz w:val="24"/>
          <w:szCs w:val="24"/>
        </w:rPr>
      </w:pPr>
      <w:r w:rsidRPr="008B6841">
        <w:rPr>
          <w:rFonts w:ascii="Times New Roman" w:eastAsia="Times New Roman" w:hAnsi="Times New Roman" w:cs="Times New Roman"/>
          <w:sz w:val="24"/>
          <w:szCs w:val="24"/>
        </w:rPr>
        <w:t xml:space="preserve">This final chapter synthesizes the empirical findings of the investigation, situates them within the Nigerian programmatic context, and translates the data into actionable public health recommendations. Section 6.1 presents the general discussion of the multilevel determinants of viral load suppression in Plateau State. Section 6.2 outlines precise, </w:t>
      </w:r>
      <w:proofErr w:type="gramStart"/>
      <w:r w:rsidRPr="008B6841">
        <w:rPr>
          <w:rFonts w:ascii="Times New Roman" w:eastAsia="Times New Roman" w:hAnsi="Times New Roman" w:cs="Times New Roman"/>
          <w:sz w:val="24"/>
          <w:szCs w:val="24"/>
        </w:rPr>
        <w:t>evidence based</w:t>
      </w:r>
      <w:proofErr w:type="gramEnd"/>
      <w:r w:rsidRPr="008B6841">
        <w:rPr>
          <w:rFonts w:ascii="Times New Roman" w:eastAsia="Times New Roman" w:hAnsi="Times New Roman" w:cs="Times New Roman"/>
          <w:sz w:val="24"/>
          <w:szCs w:val="24"/>
        </w:rPr>
        <w:t xml:space="preserve"> directives for clinical managers, policymakers, and future researchers.</w:t>
      </w:r>
    </w:p>
    <w:p w14:paraId="6C3949E5" w14:textId="77777777" w:rsidR="00E46208" w:rsidRPr="008B6841" w:rsidRDefault="00E46208" w:rsidP="00E46208">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8B6841">
        <w:rPr>
          <w:rFonts w:ascii="Times New Roman" w:eastAsia="Times New Roman" w:hAnsi="Times New Roman" w:cs="Times New Roman"/>
          <w:b/>
          <w:bCs/>
          <w:sz w:val="24"/>
          <w:szCs w:val="24"/>
        </w:rPr>
        <w:t xml:space="preserve">6.1 </w:t>
      </w:r>
      <w:r w:rsidR="001E2609" w:rsidRPr="008B6841">
        <w:rPr>
          <w:rFonts w:ascii="Times New Roman" w:eastAsia="Times New Roman" w:hAnsi="Times New Roman" w:cs="Times New Roman"/>
          <w:b/>
          <w:bCs/>
          <w:sz w:val="24"/>
          <w:szCs w:val="24"/>
        </w:rPr>
        <w:t>General Discussions</w:t>
      </w:r>
    </w:p>
    <w:p w14:paraId="6CD4CEE6" w14:textId="77777777" w:rsidR="00E46208" w:rsidRPr="008B6841" w:rsidRDefault="00E46208" w:rsidP="00E46208">
      <w:pPr>
        <w:spacing w:before="100" w:beforeAutospacing="1" w:after="100" w:afterAutospacing="1" w:line="480" w:lineRule="auto"/>
        <w:jc w:val="both"/>
        <w:rPr>
          <w:rFonts w:ascii="Times New Roman" w:eastAsia="Times New Roman" w:hAnsi="Times New Roman" w:cs="Times New Roman"/>
          <w:sz w:val="24"/>
          <w:szCs w:val="24"/>
        </w:rPr>
      </w:pPr>
      <w:r w:rsidRPr="008B6841">
        <w:rPr>
          <w:rFonts w:ascii="Times New Roman" w:eastAsia="Times New Roman" w:hAnsi="Times New Roman" w:cs="Times New Roman"/>
          <w:sz w:val="24"/>
          <w:szCs w:val="24"/>
        </w:rPr>
        <w:t>This study analyzed viral load suppression outcomes among 7,029 adult patients across 35 decentralized treatment sites in Plateau State from 2019 to 2024. The overall suppression rate of 93.6 percent places the state within one percentage point of the UNAIDS 95 95 95 third pillar target. This marks a monumental programmatic achievement compared to the 2018 national population level estimate of 44.5 percent.</w:t>
      </w:r>
    </w:p>
    <w:p w14:paraId="3B123F5F" w14:textId="77777777" w:rsidR="00E46208" w:rsidRPr="008B6841" w:rsidRDefault="00E46208" w:rsidP="00E46208">
      <w:pPr>
        <w:spacing w:before="100" w:beforeAutospacing="1" w:after="100" w:afterAutospacing="1" w:line="480" w:lineRule="auto"/>
        <w:jc w:val="both"/>
        <w:rPr>
          <w:rFonts w:ascii="Times New Roman" w:eastAsia="Times New Roman" w:hAnsi="Times New Roman" w:cs="Times New Roman"/>
          <w:sz w:val="24"/>
          <w:szCs w:val="24"/>
        </w:rPr>
      </w:pPr>
      <w:r w:rsidRPr="008B6841">
        <w:rPr>
          <w:rFonts w:ascii="Times New Roman" w:eastAsia="Times New Roman" w:hAnsi="Times New Roman" w:cs="Times New Roman"/>
          <w:sz w:val="24"/>
          <w:szCs w:val="24"/>
        </w:rPr>
        <w:t xml:space="preserve">However, the longitudinal data reveals a critical programmatic divergence. While ultimate viral load suppression remained consistently high and stable, ending at 94.7 percent in 2024, baseline viral load suppression deteriorated sharply to 81.2 percent in the same year. This widened the suppression gap to 13.5 percentage points, proving that while current antiretroviral regimens successfully secure endline virologic control, patients are increasingly entering the care cascade with profound virologic vulnerability due to </w:t>
      </w:r>
      <w:r w:rsidR="006E08BF">
        <w:rPr>
          <w:rFonts w:ascii="Times New Roman" w:eastAsia="Times New Roman" w:hAnsi="Times New Roman" w:cs="Times New Roman"/>
          <w:sz w:val="24"/>
          <w:szCs w:val="24"/>
        </w:rPr>
        <w:t>delay in identification of cases</w:t>
      </w:r>
      <w:r w:rsidRPr="008B6841">
        <w:rPr>
          <w:rFonts w:ascii="Times New Roman" w:eastAsia="Times New Roman" w:hAnsi="Times New Roman" w:cs="Times New Roman"/>
          <w:sz w:val="24"/>
          <w:szCs w:val="24"/>
        </w:rPr>
        <w:t xml:space="preserve"> or interruptions in care.</w:t>
      </w:r>
    </w:p>
    <w:p w14:paraId="4615F60E" w14:textId="77777777" w:rsidR="00E46208" w:rsidRPr="008B6841" w:rsidRDefault="00E46208" w:rsidP="00E46208">
      <w:pPr>
        <w:spacing w:before="100" w:beforeAutospacing="1" w:after="100" w:afterAutospacing="1" w:line="480" w:lineRule="auto"/>
        <w:jc w:val="both"/>
        <w:rPr>
          <w:rFonts w:ascii="Times New Roman" w:eastAsia="Times New Roman" w:hAnsi="Times New Roman" w:cs="Times New Roman"/>
          <w:sz w:val="24"/>
          <w:szCs w:val="24"/>
        </w:rPr>
      </w:pPr>
      <w:r w:rsidRPr="008B6841">
        <w:rPr>
          <w:rFonts w:ascii="Times New Roman" w:eastAsia="Times New Roman" w:hAnsi="Times New Roman" w:cs="Times New Roman"/>
          <w:sz w:val="24"/>
          <w:szCs w:val="24"/>
        </w:rPr>
        <w:t xml:space="preserve">Crucially, the multilevel analysis proved that virologic failure in this cohort is not systemic but highly concentrated within specific vulnerable subgroups. The null model established an Intraclass </w:t>
      </w:r>
      <w:r w:rsidRPr="008B6841">
        <w:rPr>
          <w:rFonts w:ascii="Times New Roman" w:eastAsia="Times New Roman" w:hAnsi="Times New Roman" w:cs="Times New Roman"/>
          <w:sz w:val="24"/>
          <w:szCs w:val="24"/>
        </w:rPr>
        <w:lastRenderedPageBreak/>
        <w:t xml:space="preserve">Correlation Coefficient of 3.16 percent, confirming that the facility environment actively influences suppression probabilities. Yet, the fully adjusted model revealed that standard structural classifications, including facility tier, ownership type, and urban versus rural location, do not independently dictate these outcomes (chi </w:t>
      </w:r>
      <w:proofErr w:type="gramStart"/>
      <w:r w:rsidRPr="008B6841">
        <w:rPr>
          <w:rFonts w:ascii="Times New Roman" w:eastAsia="Times New Roman" w:hAnsi="Times New Roman" w:cs="Times New Roman"/>
          <w:sz w:val="24"/>
          <w:szCs w:val="24"/>
        </w:rPr>
        <w:t>square(</w:t>
      </w:r>
      <w:proofErr w:type="gramEnd"/>
      <w:r w:rsidRPr="008B6841">
        <w:rPr>
          <w:rFonts w:ascii="Times New Roman" w:eastAsia="Times New Roman" w:hAnsi="Times New Roman" w:cs="Times New Roman"/>
          <w:sz w:val="24"/>
          <w:szCs w:val="24"/>
        </w:rPr>
        <w:t>3) = 2.696, p = .441). Instead, the true drivers of clinical success are concentrated individual patient vulnerabilities intersecting with unmeasured facility process quality.</w:t>
      </w:r>
    </w:p>
    <w:p w14:paraId="538D490E" w14:textId="77777777" w:rsidR="00E46208" w:rsidRPr="008B6841" w:rsidRDefault="00E46208" w:rsidP="00E46208">
      <w:pPr>
        <w:spacing w:before="100" w:beforeAutospacing="1" w:after="100" w:afterAutospacing="1" w:line="480" w:lineRule="auto"/>
        <w:jc w:val="both"/>
        <w:rPr>
          <w:rFonts w:ascii="Times New Roman" w:eastAsia="Times New Roman" w:hAnsi="Times New Roman" w:cs="Times New Roman"/>
          <w:sz w:val="24"/>
          <w:szCs w:val="24"/>
        </w:rPr>
      </w:pPr>
      <w:r w:rsidRPr="008B6841">
        <w:rPr>
          <w:rFonts w:ascii="Times New Roman" w:eastAsia="Times New Roman" w:hAnsi="Times New Roman" w:cs="Times New Roman"/>
          <w:sz w:val="24"/>
          <w:szCs w:val="24"/>
        </w:rPr>
        <w:t>Four distinct patient level variables emerged as the independent determinants of virologic success:</w:t>
      </w:r>
    </w:p>
    <w:p w14:paraId="6E389359" w14:textId="77777777" w:rsidR="00E46208" w:rsidRPr="008B6841" w:rsidRDefault="00E46208" w:rsidP="00E46208">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8B6841">
        <w:rPr>
          <w:rFonts w:ascii="Times New Roman" w:eastAsia="Times New Roman" w:hAnsi="Times New Roman" w:cs="Times New Roman"/>
          <w:b/>
          <w:bCs/>
          <w:sz w:val="24"/>
          <w:szCs w:val="24"/>
        </w:rPr>
        <w:t>Baseline Viral Load:</w:t>
      </w:r>
      <w:r w:rsidRPr="008B6841">
        <w:rPr>
          <w:rFonts w:ascii="Times New Roman" w:eastAsia="Times New Roman" w:hAnsi="Times New Roman" w:cs="Times New Roman"/>
          <w:sz w:val="24"/>
          <w:szCs w:val="24"/>
        </w:rPr>
        <w:t xml:space="preserve"> Patients presenting with unsuppressed baseline viremia experienced a 54 percent reduction in their adjusted odds of achieving ultimate suppression (</w:t>
      </w:r>
      <w:proofErr w:type="spellStart"/>
      <w:r w:rsidRPr="008B6841">
        <w:rPr>
          <w:rFonts w:ascii="Times New Roman" w:eastAsia="Times New Roman" w:hAnsi="Times New Roman" w:cs="Times New Roman"/>
          <w:sz w:val="24"/>
          <w:szCs w:val="24"/>
        </w:rPr>
        <w:t>aOR</w:t>
      </w:r>
      <w:proofErr w:type="spellEnd"/>
      <w:r w:rsidRPr="008B6841">
        <w:rPr>
          <w:rFonts w:ascii="Times New Roman" w:eastAsia="Times New Roman" w:hAnsi="Times New Roman" w:cs="Times New Roman"/>
          <w:sz w:val="24"/>
          <w:szCs w:val="24"/>
        </w:rPr>
        <w:t xml:space="preserve"> = 0.46, p &lt; .001). This confirms that delayed viral clearance compounds into long term clinical failure.</w:t>
      </w:r>
    </w:p>
    <w:p w14:paraId="0B79A171" w14:textId="77777777" w:rsidR="00E46208" w:rsidRPr="008B6841" w:rsidRDefault="00E46208" w:rsidP="00E46208">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8B6841">
        <w:rPr>
          <w:rFonts w:ascii="Times New Roman" w:eastAsia="Times New Roman" w:hAnsi="Times New Roman" w:cs="Times New Roman"/>
          <w:b/>
          <w:bCs/>
          <w:sz w:val="24"/>
          <w:szCs w:val="24"/>
        </w:rPr>
        <w:t>Dispensing Intervals:</w:t>
      </w:r>
      <w:r w:rsidRPr="008B6841">
        <w:rPr>
          <w:rFonts w:ascii="Times New Roman" w:eastAsia="Times New Roman" w:hAnsi="Times New Roman" w:cs="Times New Roman"/>
          <w:sz w:val="24"/>
          <w:szCs w:val="24"/>
        </w:rPr>
        <w:t xml:space="preserve"> Patients maintained on </w:t>
      </w:r>
      <w:proofErr w:type="gramStart"/>
      <w:r w:rsidRPr="008B6841">
        <w:rPr>
          <w:rFonts w:ascii="Times New Roman" w:eastAsia="Times New Roman" w:hAnsi="Times New Roman" w:cs="Times New Roman"/>
          <w:sz w:val="24"/>
          <w:szCs w:val="24"/>
        </w:rPr>
        <w:t>six month</w:t>
      </w:r>
      <w:proofErr w:type="gramEnd"/>
      <w:r w:rsidRPr="008B6841">
        <w:rPr>
          <w:rFonts w:ascii="Times New Roman" w:eastAsia="Times New Roman" w:hAnsi="Times New Roman" w:cs="Times New Roman"/>
          <w:sz w:val="24"/>
          <w:szCs w:val="24"/>
        </w:rPr>
        <w:t xml:space="preserve"> multi month dispensing exhibited 34 percent higher adjusted odds of suppression compared to those on standard schedules (</w:t>
      </w:r>
      <w:proofErr w:type="spellStart"/>
      <w:r w:rsidRPr="008B6841">
        <w:rPr>
          <w:rFonts w:ascii="Times New Roman" w:eastAsia="Times New Roman" w:hAnsi="Times New Roman" w:cs="Times New Roman"/>
          <w:sz w:val="24"/>
          <w:szCs w:val="24"/>
        </w:rPr>
        <w:t>aOR</w:t>
      </w:r>
      <w:proofErr w:type="spellEnd"/>
      <w:r w:rsidRPr="008B6841">
        <w:rPr>
          <w:rFonts w:ascii="Times New Roman" w:eastAsia="Times New Roman" w:hAnsi="Times New Roman" w:cs="Times New Roman"/>
          <w:sz w:val="24"/>
          <w:szCs w:val="24"/>
        </w:rPr>
        <w:t xml:space="preserve"> = 1.34, p &lt; .01), proving that reducing structural barriers directly improves biological outcomes.</w:t>
      </w:r>
    </w:p>
    <w:p w14:paraId="543312F0" w14:textId="77777777" w:rsidR="00E46208" w:rsidRPr="008B6841" w:rsidRDefault="00E46208" w:rsidP="00E46208">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8B6841">
        <w:rPr>
          <w:rFonts w:ascii="Times New Roman" w:eastAsia="Times New Roman" w:hAnsi="Times New Roman" w:cs="Times New Roman"/>
          <w:b/>
          <w:bCs/>
          <w:sz w:val="24"/>
          <w:szCs w:val="24"/>
        </w:rPr>
        <w:t>Educational Attainment:</w:t>
      </w:r>
      <w:r w:rsidRPr="008B6841">
        <w:rPr>
          <w:rFonts w:ascii="Times New Roman" w:eastAsia="Times New Roman" w:hAnsi="Times New Roman" w:cs="Times New Roman"/>
          <w:sz w:val="24"/>
          <w:szCs w:val="24"/>
        </w:rPr>
        <w:t xml:space="preserve"> Patients with tertiary education had 54 percent higher odds of suppression compared to those with no formal education (</w:t>
      </w:r>
      <w:proofErr w:type="spellStart"/>
      <w:r w:rsidRPr="008B6841">
        <w:rPr>
          <w:rFonts w:ascii="Times New Roman" w:eastAsia="Times New Roman" w:hAnsi="Times New Roman" w:cs="Times New Roman"/>
          <w:sz w:val="24"/>
          <w:szCs w:val="24"/>
        </w:rPr>
        <w:t>aOR</w:t>
      </w:r>
      <w:proofErr w:type="spellEnd"/>
      <w:r w:rsidRPr="008B6841">
        <w:rPr>
          <w:rFonts w:ascii="Times New Roman" w:eastAsia="Times New Roman" w:hAnsi="Times New Roman" w:cs="Times New Roman"/>
          <w:sz w:val="24"/>
          <w:szCs w:val="24"/>
        </w:rPr>
        <w:t xml:space="preserve"> = 1.54, p &lt; .05), highlighting the profound protective effect of health literacy and socioeconomic stability.</w:t>
      </w:r>
    </w:p>
    <w:p w14:paraId="466A6571" w14:textId="77777777" w:rsidR="00E46208" w:rsidRPr="008B6841" w:rsidRDefault="00E46208" w:rsidP="00E46208">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8B6841">
        <w:rPr>
          <w:rFonts w:ascii="Times New Roman" w:eastAsia="Times New Roman" w:hAnsi="Times New Roman" w:cs="Times New Roman"/>
          <w:b/>
          <w:bCs/>
          <w:sz w:val="24"/>
          <w:szCs w:val="24"/>
        </w:rPr>
        <w:t>Marital Status:</w:t>
      </w:r>
      <w:r w:rsidRPr="008B6841">
        <w:rPr>
          <w:rFonts w:ascii="Times New Roman" w:eastAsia="Times New Roman" w:hAnsi="Times New Roman" w:cs="Times New Roman"/>
          <w:sz w:val="24"/>
          <w:szCs w:val="24"/>
        </w:rPr>
        <w:t xml:space="preserve"> Never married patients faced a 25 percent decrease in suppression odds compared to married peers (</w:t>
      </w:r>
      <w:proofErr w:type="spellStart"/>
      <w:r w:rsidRPr="008B6841">
        <w:rPr>
          <w:rFonts w:ascii="Times New Roman" w:eastAsia="Times New Roman" w:hAnsi="Times New Roman" w:cs="Times New Roman"/>
          <w:sz w:val="24"/>
          <w:szCs w:val="24"/>
        </w:rPr>
        <w:t>aOR</w:t>
      </w:r>
      <w:proofErr w:type="spellEnd"/>
      <w:r w:rsidRPr="008B6841">
        <w:rPr>
          <w:rFonts w:ascii="Times New Roman" w:eastAsia="Times New Roman" w:hAnsi="Times New Roman" w:cs="Times New Roman"/>
          <w:sz w:val="24"/>
          <w:szCs w:val="24"/>
        </w:rPr>
        <w:t xml:space="preserve"> = 0.75, p &lt; .05), demonstrating that household support systems are critical infrastructure for lifelong adherence.</w:t>
      </w:r>
    </w:p>
    <w:p w14:paraId="7AC27B3C" w14:textId="77777777" w:rsidR="00E46208" w:rsidRPr="008B6841" w:rsidRDefault="00E46208" w:rsidP="00E46208">
      <w:pPr>
        <w:spacing w:before="100" w:beforeAutospacing="1" w:after="100" w:afterAutospacing="1" w:line="480" w:lineRule="auto"/>
        <w:jc w:val="both"/>
        <w:rPr>
          <w:rFonts w:ascii="Times New Roman" w:eastAsia="Times New Roman" w:hAnsi="Times New Roman" w:cs="Times New Roman"/>
          <w:sz w:val="24"/>
          <w:szCs w:val="24"/>
        </w:rPr>
      </w:pPr>
      <w:r w:rsidRPr="008B6841">
        <w:rPr>
          <w:rFonts w:ascii="Times New Roman" w:eastAsia="Times New Roman" w:hAnsi="Times New Roman" w:cs="Times New Roman"/>
          <w:sz w:val="24"/>
          <w:szCs w:val="24"/>
        </w:rPr>
        <w:lastRenderedPageBreak/>
        <w:t>Furthermore, the study successfully dismantled prevailing assumptions regarding demographics and geography. The absence of a significant sex effect indicates that while men face severe barriers to entering care, those who successfully enroll achieve suppression at rates comparable to women. Most importantly, the distinct rural disadvantage observed in unadjusted data was fully attenuated once individual characteristics were controlled. Rural patients fail because they are disproportionately uneducated and unmarried, not simply because they attend rural clinics.</w:t>
      </w:r>
    </w:p>
    <w:p w14:paraId="11FEAF2D" w14:textId="77777777" w:rsidR="00E46208" w:rsidRPr="008B6841" w:rsidRDefault="00E46208" w:rsidP="00E46208">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8B6841">
        <w:rPr>
          <w:rFonts w:ascii="Times New Roman" w:eastAsia="Times New Roman" w:hAnsi="Times New Roman" w:cs="Times New Roman"/>
          <w:b/>
          <w:bCs/>
          <w:sz w:val="24"/>
          <w:szCs w:val="24"/>
        </w:rPr>
        <w:t xml:space="preserve">6.2 </w:t>
      </w:r>
      <w:r w:rsidR="001E2609" w:rsidRPr="008B6841">
        <w:rPr>
          <w:rFonts w:ascii="Times New Roman" w:eastAsia="Times New Roman" w:hAnsi="Times New Roman" w:cs="Times New Roman"/>
          <w:b/>
          <w:bCs/>
          <w:sz w:val="24"/>
          <w:szCs w:val="24"/>
        </w:rPr>
        <w:t>Recommendations</w:t>
      </w:r>
    </w:p>
    <w:p w14:paraId="729306EB" w14:textId="77777777" w:rsidR="00E46208" w:rsidRPr="008B6841" w:rsidRDefault="00E46208" w:rsidP="00E46208">
      <w:pPr>
        <w:spacing w:before="100" w:beforeAutospacing="1" w:after="100" w:afterAutospacing="1" w:line="480" w:lineRule="auto"/>
        <w:jc w:val="both"/>
        <w:rPr>
          <w:rFonts w:ascii="Times New Roman" w:eastAsia="Times New Roman" w:hAnsi="Times New Roman" w:cs="Times New Roman"/>
          <w:sz w:val="24"/>
          <w:szCs w:val="24"/>
        </w:rPr>
      </w:pPr>
      <w:r w:rsidRPr="008B6841">
        <w:rPr>
          <w:rFonts w:ascii="Times New Roman" w:eastAsia="Times New Roman" w:hAnsi="Times New Roman" w:cs="Times New Roman"/>
          <w:sz w:val="24"/>
          <w:szCs w:val="24"/>
        </w:rPr>
        <w:t>Based on the empirical evidence generated by this multilevel evaluation, the following recommendations are directed at the stakeholders responsible for sustaining the Plateau State HIV response.</w:t>
      </w:r>
    </w:p>
    <w:p w14:paraId="0D7D60B5" w14:textId="77777777" w:rsidR="00E46208" w:rsidRPr="008B6841" w:rsidRDefault="00E46208" w:rsidP="001E2609">
      <w:pPr>
        <w:spacing w:before="100" w:beforeAutospacing="1" w:after="100" w:afterAutospacing="1" w:line="360" w:lineRule="auto"/>
        <w:jc w:val="both"/>
        <w:rPr>
          <w:rFonts w:ascii="Times New Roman" w:eastAsia="Times New Roman" w:hAnsi="Times New Roman" w:cs="Times New Roman"/>
          <w:sz w:val="24"/>
          <w:szCs w:val="24"/>
        </w:rPr>
      </w:pPr>
      <w:r w:rsidRPr="008B6841">
        <w:rPr>
          <w:rFonts w:ascii="Times New Roman" w:eastAsia="Times New Roman" w:hAnsi="Times New Roman" w:cs="Times New Roman"/>
          <w:b/>
          <w:bCs/>
          <w:sz w:val="24"/>
          <w:szCs w:val="24"/>
        </w:rPr>
        <w:t xml:space="preserve">6.2.1 Recommendations for Clinical </w:t>
      </w:r>
      <w:proofErr w:type="spellStart"/>
      <w:r w:rsidRPr="008B6841">
        <w:rPr>
          <w:rFonts w:ascii="Times New Roman" w:eastAsia="Times New Roman" w:hAnsi="Times New Roman" w:cs="Times New Roman"/>
          <w:b/>
          <w:bCs/>
          <w:sz w:val="24"/>
          <w:szCs w:val="24"/>
        </w:rPr>
        <w:t>Programme</w:t>
      </w:r>
      <w:proofErr w:type="spellEnd"/>
      <w:r w:rsidRPr="008B6841">
        <w:rPr>
          <w:rFonts w:ascii="Times New Roman" w:eastAsia="Times New Roman" w:hAnsi="Times New Roman" w:cs="Times New Roman"/>
          <w:b/>
          <w:bCs/>
          <w:sz w:val="24"/>
          <w:szCs w:val="24"/>
        </w:rPr>
        <w:t xml:space="preserve"> Managers</w:t>
      </w:r>
    </w:p>
    <w:p w14:paraId="1DF3B2A2" w14:textId="77777777" w:rsidR="00E46208" w:rsidRPr="008B6841" w:rsidRDefault="00E46208" w:rsidP="00E46208">
      <w:pPr>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8B6841">
        <w:rPr>
          <w:rFonts w:ascii="Times New Roman" w:eastAsia="Times New Roman" w:hAnsi="Times New Roman" w:cs="Times New Roman"/>
          <w:b/>
          <w:bCs/>
          <w:sz w:val="24"/>
          <w:szCs w:val="24"/>
        </w:rPr>
        <w:t>Implement Early Viral Load Intensification:</w:t>
      </w:r>
      <w:r w:rsidRPr="008B6841">
        <w:rPr>
          <w:rFonts w:ascii="Times New Roman" w:eastAsia="Times New Roman" w:hAnsi="Times New Roman" w:cs="Times New Roman"/>
          <w:sz w:val="24"/>
          <w:szCs w:val="24"/>
        </w:rPr>
        <w:t xml:space="preserve"> Patients arriving with an unsuppressed baseline viral load accounted for nearly 20 percent of all clinical failures. Facilities must abandon standard delayed review timelines for this group. Any patient testing unsuppressed at baseline must trigger an immediate early alert protocol featuring enhanced adherence counseling at two weeks and a confirmatory viral load test at eight weeks.</w:t>
      </w:r>
    </w:p>
    <w:p w14:paraId="2918B124" w14:textId="77777777" w:rsidR="00E46208" w:rsidRPr="008B6841" w:rsidRDefault="00E46208" w:rsidP="00E46208">
      <w:pPr>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8B6841">
        <w:rPr>
          <w:rFonts w:ascii="Times New Roman" w:eastAsia="Times New Roman" w:hAnsi="Times New Roman" w:cs="Times New Roman"/>
          <w:b/>
          <w:bCs/>
          <w:sz w:val="24"/>
          <w:szCs w:val="24"/>
        </w:rPr>
        <w:t>Conduct Systematic Dispensing Eligibility Reviews:</w:t>
      </w:r>
      <w:r w:rsidRPr="008B6841">
        <w:rPr>
          <w:rFonts w:ascii="Times New Roman" w:eastAsia="Times New Roman" w:hAnsi="Times New Roman" w:cs="Times New Roman"/>
          <w:sz w:val="24"/>
          <w:szCs w:val="24"/>
        </w:rPr>
        <w:t xml:space="preserve"> With 29 percent of the cohort remaining on suboptimal </w:t>
      </w:r>
      <w:proofErr w:type="gramStart"/>
      <w:r w:rsidRPr="008B6841">
        <w:rPr>
          <w:rFonts w:ascii="Times New Roman" w:eastAsia="Times New Roman" w:hAnsi="Times New Roman" w:cs="Times New Roman"/>
          <w:sz w:val="24"/>
          <w:szCs w:val="24"/>
        </w:rPr>
        <w:t>three month</w:t>
      </w:r>
      <w:proofErr w:type="gramEnd"/>
      <w:r w:rsidRPr="008B6841">
        <w:rPr>
          <w:rFonts w:ascii="Times New Roman" w:eastAsia="Times New Roman" w:hAnsi="Times New Roman" w:cs="Times New Roman"/>
          <w:sz w:val="24"/>
          <w:szCs w:val="24"/>
        </w:rPr>
        <w:t xml:space="preserve"> dispensing intervals, facility teams must conduct immediate clinical audits. Stable patients must be transitioned to six </w:t>
      </w:r>
      <w:proofErr w:type="gramStart"/>
      <w:r w:rsidRPr="008B6841">
        <w:rPr>
          <w:rFonts w:ascii="Times New Roman" w:eastAsia="Times New Roman" w:hAnsi="Times New Roman" w:cs="Times New Roman"/>
          <w:sz w:val="24"/>
          <w:szCs w:val="24"/>
        </w:rPr>
        <w:t>month</w:t>
      </w:r>
      <w:proofErr w:type="gramEnd"/>
      <w:r w:rsidRPr="008B6841">
        <w:rPr>
          <w:rFonts w:ascii="Times New Roman" w:eastAsia="Times New Roman" w:hAnsi="Times New Roman" w:cs="Times New Roman"/>
          <w:sz w:val="24"/>
          <w:szCs w:val="24"/>
        </w:rPr>
        <w:t xml:space="preserve"> dispensing to alleviate treatment fatigue, while clinically ineligible patients must receive targeted support to achieve eligibility.</w:t>
      </w:r>
    </w:p>
    <w:p w14:paraId="33508613" w14:textId="77777777" w:rsidR="00E46208" w:rsidRPr="008B6841" w:rsidRDefault="00E46208" w:rsidP="00E46208">
      <w:pPr>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8B6841">
        <w:rPr>
          <w:rFonts w:ascii="Times New Roman" w:eastAsia="Times New Roman" w:hAnsi="Times New Roman" w:cs="Times New Roman"/>
          <w:b/>
          <w:bCs/>
          <w:sz w:val="24"/>
          <w:szCs w:val="24"/>
        </w:rPr>
        <w:lastRenderedPageBreak/>
        <w:t>Deploy Targeted Adherence Infrastructure:</w:t>
      </w:r>
      <w:r w:rsidRPr="008B6841">
        <w:rPr>
          <w:rFonts w:ascii="Times New Roman" w:eastAsia="Times New Roman" w:hAnsi="Times New Roman" w:cs="Times New Roman"/>
          <w:sz w:val="24"/>
          <w:szCs w:val="24"/>
        </w:rPr>
        <w:t xml:space="preserve"> Uneducated and never married patients require social infrastructure that the standard clinical encounter cannot provide. Facilities must deploy peer navigator programs and utilize pictorial adherence tools specifically for these </w:t>
      </w:r>
      <w:proofErr w:type="gramStart"/>
      <w:r w:rsidRPr="008B6841">
        <w:rPr>
          <w:rFonts w:ascii="Times New Roman" w:eastAsia="Times New Roman" w:hAnsi="Times New Roman" w:cs="Times New Roman"/>
          <w:sz w:val="24"/>
          <w:szCs w:val="24"/>
        </w:rPr>
        <w:t>high risk</w:t>
      </w:r>
      <w:proofErr w:type="gramEnd"/>
      <w:r w:rsidRPr="008B6841">
        <w:rPr>
          <w:rFonts w:ascii="Times New Roman" w:eastAsia="Times New Roman" w:hAnsi="Times New Roman" w:cs="Times New Roman"/>
          <w:sz w:val="24"/>
          <w:szCs w:val="24"/>
        </w:rPr>
        <w:t xml:space="preserve"> demographics.</w:t>
      </w:r>
    </w:p>
    <w:p w14:paraId="33345222" w14:textId="77777777" w:rsidR="00E46208" w:rsidRPr="008B6841" w:rsidRDefault="00E46208" w:rsidP="001E2609">
      <w:pPr>
        <w:spacing w:before="100" w:beforeAutospacing="1" w:after="100" w:afterAutospacing="1" w:line="360" w:lineRule="auto"/>
        <w:jc w:val="both"/>
        <w:rPr>
          <w:rFonts w:ascii="Times New Roman" w:eastAsia="Times New Roman" w:hAnsi="Times New Roman" w:cs="Times New Roman"/>
          <w:sz w:val="24"/>
          <w:szCs w:val="24"/>
        </w:rPr>
      </w:pPr>
      <w:r w:rsidRPr="008B6841">
        <w:rPr>
          <w:rFonts w:ascii="Times New Roman" w:eastAsia="Times New Roman" w:hAnsi="Times New Roman" w:cs="Times New Roman"/>
          <w:b/>
          <w:bCs/>
          <w:sz w:val="24"/>
          <w:szCs w:val="24"/>
        </w:rPr>
        <w:t>6.2.2 Recommendations for State and National Policymakers</w:t>
      </w:r>
    </w:p>
    <w:p w14:paraId="793FA3E9" w14:textId="77777777" w:rsidR="00E46208" w:rsidRPr="008B6841" w:rsidRDefault="00E46208" w:rsidP="00E46208">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8B6841">
        <w:rPr>
          <w:rFonts w:ascii="Times New Roman" w:eastAsia="Times New Roman" w:hAnsi="Times New Roman" w:cs="Times New Roman"/>
          <w:b/>
          <w:bCs/>
          <w:sz w:val="24"/>
          <w:szCs w:val="24"/>
        </w:rPr>
        <w:t>Shift Investment to Vulnerability Based Allocation:</w:t>
      </w:r>
      <w:r w:rsidRPr="008B6841">
        <w:rPr>
          <w:rFonts w:ascii="Times New Roman" w:eastAsia="Times New Roman" w:hAnsi="Times New Roman" w:cs="Times New Roman"/>
          <w:sz w:val="24"/>
          <w:szCs w:val="24"/>
        </w:rPr>
        <w:t xml:space="preserve"> Upgrading rural facility infrastructure will not close the suppression gap if patient vulnerabilities are ignored. The Plateau State Ministry of Health must redirect funding toward </w:t>
      </w:r>
      <w:proofErr w:type="gramStart"/>
      <w:r w:rsidRPr="008B6841">
        <w:rPr>
          <w:rFonts w:ascii="Times New Roman" w:eastAsia="Times New Roman" w:hAnsi="Times New Roman" w:cs="Times New Roman"/>
          <w:sz w:val="24"/>
          <w:szCs w:val="24"/>
        </w:rPr>
        <w:t>community based</w:t>
      </w:r>
      <w:proofErr w:type="gramEnd"/>
      <w:r w:rsidRPr="008B6841">
        <w:rPr>
          <w:rFonts w:ascii="Times New Roman" w:eastAsia="Times New Roman" w:hAnsi="Times New Roman" w:cs="Times New Roman"/>
          <w:sz w:val="24"/>
          <w:szCs w:val="24"/>
        </w:rPr>
        <w:t xml:space="preserve"> interventions. Resources should fund mobile adherence teams and household drug delivery in areas with high concentrations of uneducated and unsupported patients.</w:t>
      </w:r>
    </w:p>
    <w:p w14:paraId="19801F60" w14:textId="77777777" w:rsidR="00E46208" w:rsidRPr="008B6841" w:rsidRDefault="00E46208" w:rsidP="00E46208">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8B6841">
        <w:rPr>
          <w:rFonts w:ascii="Times New Roman" w:eastAsia="Times New Roman" w:hAnsi="Times New Roman" w:cs="Times New Roman"/>
          <w:b/>
          <w:bCs/>
          <w:sz w:val="24"/>
          <w:szCs w:val="24"/>
        </w:rPr>
        <w:t xml:space="preserve">Adopt Presumptive </w:t>
      </w:r>
      <w:proofErr w:type="gramStart"/>
      <w:r w:rsidRPr="008B6841">
        <w:rPr>
          <w:rFonts w:ascii="Times New Roman" w:eastAsia="Times New Roman" w:hAnsi="Times New Roman" w:cs="Times New Roman"/>
          <w:b/>
          <w:bCs/>
          <w:sz w:val="24"/>
          <w:szCs w:val="24"/>
        </w:rPr>
        <w:t>Six Month</w:t>
      </w:r>
      <w:proofErr w:type="gramEnd"/>
      <w:r w:rsidRPr="008B6841">
        <w:rPr>
          <w:rFonts w:ascii="Times New Roman" w:eastAsia="Times New Roman" w:hAnsi="Times New Roman" w:cs="Times New Roman"/>
          <w:b/>
          <w:bCs/>
          <w:sz w:val="24"/>
          <w:szCs w:val="24"/>
        </w:rPr>
        <w:t xml:space="preserve"> Dispensing:</w:t>
      </w:r>
      <w:r w:rsidRPr="008B6841">
        <w:rPr>
          <w:rFonts w:ascii="Times New Roman" w:eastAsia="Times New Roman" w:hAnsi="Times New Roman" w:cs="Times New Roman"/>
          <w:sz w:val="24"/>
          <w:szCs w:val="24"/>
        </w:rPr>
        <w:t xml:space="preserve"> Policymakers should transition from an </w:t>
      </w:r>
      <w:proofErr w:type="gramStart"/>
      <w:r w:rsidRPr="008B6841">
        <w:rPr>
          <w:rFonts w:ascii="Times New Roman" w:eastAsia="Times New Roman" w:hAnsi="Times New Roman" w:cs="Times New Roman"/>
          <w:sz w:val="24"/>
          <w:szCs w:val="24"/>
        </w:rPr>
        <w:t>eligibility based</w:t>
      </w:r>
      <w:proofErr w:type="gramEnd"/>
      <w:r w:rsidRPr="008B6841">
        <w:rPr>
          <w:rFonts w:ascii="Times New Roman" w:eastAsia="Times New Roman" w:hAnsi="Times New Roman" w:cs="Times New Roman"/>
          <w:sz w:val="24"/>
          <w:szCs w:val="24"/>
        </w:rPr>
        <w:t xml:space="preserve"> framework to a presumptive model. All newly initiated patients without specific clinical contraindications should receive six </w:t>
      </w:r>
      <w:proofErr w:type="gramStart"/>
      <w:r w:rsidRPr="008B6841">
        <w:rPr>
          <w:rFonts w:ascii="Times New Roman" w:eastAsia="Times New Roman" w:hAnsi="Times New Roman" w:cs="Times New Roman"/>
          <w:sz w:val="24"/>
          <w:szCs w:val="24"/>
        </w:rPr>
        <w:t>month</w:t>
      </w:r>
      <w:proofErr w:type="gramEnd"/>
      <w:r w:rsidRPr="008B6841">
        <w:rPr>
          <w:rFonts w:ascii="Times New Roman" w:eastAsia="Times New Roman" w:hAnsi="Times New Roman" w:cs="Times New Roman"/>
          <w:sz w:val="24"/>
          <w:szCs w:val="24"/>
        </w:rPr>
        <w:t xml:space="preserve"> dispensing immediately to lock in the adherence benefits during the most fragile early phase of treatment.</w:t>
      </w:r>
    </w:p>
    <w:p w14:paraId="634077EB" w14:textId="77777777" w:rsidR="00E46208" w:rsidRPr="008B6841" w:rsidRDefault="00E46208" w:rsidP="00E46208">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8B6841">
        <w:rPr>
          <w:rFonts w:ascii="Times New Roman" w:eastAsia="Times New Roman" w:hAnsi="Times New Roman" w:cs="Times New Roman"/>
          <w:b/>
          <w:bCs/>
          <w:sz w:val="24"/>
          <w:szCs w:val="24"/>
        </w:rPr>
        <w:t>Transition to Outcome Based Facility Monitoring:</w:t>
      </w:r>
      <w:r w:rsidRPr="008B6841">
        <w:rPr>
          <w:rFonts w:ascii="Times New Roman" w:eastAsia="Times New Roman" w:hAnsi="Times New Roman" w:cs="Times New Roman"/>
          <w:sz w:val="24"/>
          <w:szCs w:val="24"/>
        </w:rPr>
        <w:t xml:space="preserve"> Because structural tier and ownership do not dictate success</w:t>
      </w:r>
      <w:r w:rsidR="006E08BF">
        <w:rPr>
          <w:rFonts w:ascii="Times New Roman" w:eastAsia="Times New Roman" w:hAnsi="Times New Roman" w:cs="Times New Roman"/>
          <w:sz w:val="24"/>
          <w:szCs w:val="24"/>
        </w:rPr>
        <w:t>. However, m</w:t>
      </w:r>
      <w:r w:rsidRPr="008B6841">
        <w:rPr>
          <w:rFonts w:ascii="Times New Roman" w:eastAsia="Times New Roman" w:hAnsi="Times New Roman" w:cs="Times New Roman"/>
          <w:sz w:val="24"/>
          <w:szCs w:val="24"/>
        </w:rPr>
        <w:t>onitoring should be strictly outcome based. Any facility recording a suppression rate below 90 percent should trigger immediate administrative intervention regardless of its status as a primary, secondary, or tertiary site.</w:t>
      </w:r>
    </w:p>
    <w:p w14:paraId="3B456E9A" w14:textId="77777777" w:rsidR="00E46208" w:rsidRPr="008B6841" w:rsidRDefault="00E46208" w:rsidP="001E2609">
      <w:pPr>
        <w:spacing w:before="100" w:beforeAutospacing="1" w:after="100" w:afterAutospacing="1" w:line="360" w:lineRule="auto"/>
        <w:jc w:val="both"/>
        <w:rPr>
          <w:rFonts w:ascii="Times New Roman" w:eastAsia="Times New Roman" w:hAnsi="Times New Roman" w:cs="Times New Roman"/>
          <w:sz w:val="24"/>
          <w:szCs w:val="24"/>
        </w:rPr>
      </w:pPr>
      <w:r w:rsidRPr="008B6841">
        <w:rPr>
          <w:rFonts w:ascii="Times New Roman" w:eastAsia="Times New Roman" w:hAnsi="Times New Roman" w:cs="Times New Roman"/>
          <w:b/>
          <w:bCs/>
          <w:sz w:val="24"/>
          <w:szCs w:val="24"/>
        </w:rPr>
        <w:t>6.2.3 Recommendations for Health Facility Administrators</w:t>
      </w:r>
    </w:p>
    <w:p w14:paraId="71B0E9ED" w14:textId="77777777" w:rsidR="00E46208" w:rsidRPr="008B6841" w:rsidRDefault="00E46208" w:rsidP="00E46208">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8B6841">
        <w:rPr>
          <w:rFonts w:ascii="Times New Roman" w:eastAsia="Times New Roman" w:hAnsi="Times New Roman" w:cs="Times New Roman"/>
          <w:b/>
          <w:bCs/>
          <w:sz w:val="24"/>
          <w:szCs w:val="24"/>
        </w:rPr>
        <w:t>Execute Prospective Vulnerability Profiling:</w:t>
      </w:r>
      <w:r w:rsidRPr="008B6841">
        <w:rPr>
          <w:rFonts w:ascii="Times New Roman" w:eastAsia="Times New Roman" w:hAnsi="Times New Roman" w:cs="Times New Roman"/>
          <w:sz w:val="24"/>
          <w:szCs w:val="24"/>
        </w:rPr>
        <w:t xml:space="preserve"> Administrators must ensure that intake teams profile every new patient based on the four predictors identified in this study. Patients presenting as uneducated, unmarried, and baseline unsuppressed must be </w:t>
      </w:r>
      <w:r w:rsidRPr="008B6841">
        <w:rPr>
          <w:rFonts w:ascii="Times New Roman" w:eastAsia="Times New Roman" w:hAnsi="Times New Roman" w:cs="Times New Roman"/>
          <w:sz w:val="24"/>
          <w:szCs w:val="24"/>
        </w:rPr>
        <w:lastRenderedPageBreak/>
        <w:t>immediately flagged in the electronic medical record as high risk and assigned to active follow up before they experience virologic failure.</w:t>
      </w:r>
    </w:p>
    <w:p w14:paraId="2B0B1D17" w14:textId="77777777" w:rsidR="00E46208" w:rsidRPr="008B6841" w:rsidRDefault="00E46208" w:rsidP="00E46208">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8B6841">
        <w:rPr>
          <w:rFonts w:ascii="Times New Roman" w:eastAsia="Times New Roman" w:hAnsi="Times New Roman" w:cs="Times New Roman"/>
          <w:b/>
          <w:bCs/>
          <w:sz w:val="24"/>
          <w:szCs w:val="24"/>
        </w:rPr>
        <w:t>Establish Real Time Suppression Dashboards:</w:t>
      </w:r>
      <w:r w:rsidRPr="008B6841">
        <w:rPr>
          <w:rFonts w:ascii="Times New Roman" w:eastAsia="Times New Roman" w:hAnsi="Times New Roman" w:cs="Times New Roman"/>
          <w:sz w:val="24"/>
          <w:szCs w:val="24"/>
        </w:rPr>
        <w:t xml:space="preserve"> Facility leadership must utilize their electronic medical records to maintain a monthly dashboard tracking overall suppression rates, six month dispensing coverage, and loss to follow up metrics to identify emerging clinical gaps proactively.</w:t>
      </w:r>
    </w:p>
    <w:p w14:paraId="6467B5B9" w14:textId="77777777" w:rsidR="00E46208" w:rsidRPr="008B6841" w:rsidRDefault="00E46208" w:rsidP="001E2609">
      <w:pPr>
        <w:spacing w:before="100" w:beforeAutospacing="1" w:after="100" w:afterAutospacing="1" w:line="360" w:lineRule="auto"/>
        <w:jc w:val="both"/>
        <w:rPr>
          <w:rFonts w:ascii="Times New Roman" w:eastAsia="Times New Roman" w:hAnsi="Times New Roman" w:cs="Times New Roman"/>
          <w:sz w:val="24"/>
          <w:szCs w:val="24"/>
        </w:rPr>
      </w:pPr>
      <w:r w:rsidRPr="008B6841">
        <w:rPr>
          <w:rFonts w:ascii="Times New Roman" w:eastAsia="Times New Roman" w:hAnsi="Times New Roman" w:cs="Times New Roman"/>
          <w:b/>
          <w:bCs/>
          <w:sz w:val="24"/>
          <w:szCs w:val="24"/>
        </w:rPr>
        <w:t>6.2.4 Recommendations for Future Research</w:t>
      </w:r>
    </w:p>
    <w:p w14:paraId="79B36726" w14:textId="77777777" w:rsidR="00E46208" w:rsidRPr="008B6841" w:rsidRDefault="00E46208" w:rsidP="00E46208">
      <w:pPr>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8B6841">
        <w:rPr>
          <w:rFonts w:ascii="Times New Roman" w:eastAsia="Times New Roman" w:hAnsi="Times New Roman" w:cs="Times New Roman"/>
          <w:b/>
          <w:bCs/>
          <w:sz w:val="24"/>
          <w:szCs w:val="24"/>
        </w:rPr>
        <w:t>Measure Process Quality Variables:</w:t>
      </w:r>
      <w:r w:rsidRPr="008B6841">
        <w:rPr>
          <w:rFonts w:ascii="Times New Roman" w:eastAsia="Times New Roman" w:hAnsi="Times New Roman" w:cs="Times New Roman"/>
          <w:sz w:val="24"/>
          <w:szCs w:val="24"/>
        </w:rPr>
        <w:t xml:space="preserve"> Future multilevel modeling in Nigeria must look beyond structural labels. Researchers should prospectively measure facility process variables including laboratory turnaround times, pharmacy stock out frequencies, and counseling ratios to explain the residual 3.16 percent variance identified in this study.</w:t>
      </w:r>
    </w:p>
    <w:p w14:paraId="7289210D" w14:textId="77777777" w:rsidR="00E46208" w:rsidRPr="008B6841" w:rsidRDefault="00E46208" w:rsidP="00E46208">
      <w:pPr>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8B6841">
        <w:rPr>
          <w:rFonts w:ascii="Times New Roman" w:eastAsia="Times New Roman" w:hAnsi="Times New Roman" w:cs="Times New Roman"/>
          <w:b/>
          <w:bCs/>
          <w:sz w:val="24"/>
          <w:szCs w:val="24"/>
        </w:rPr>
        <w:t>Evaluate Dispensing Scale Up Quasi Experimentally:</w:t>
      </w:r>
      <w:r w:rsidRPr="008B6841">
        <w:rPr>
          <w:rFonts w:ascii="Times New Roman" w:eastAsia="Times New Roman" w:hAnsi="Times New Roman" w:cs="Times New Roman"/>
          <w:sz w:val="24"/>
          <w:szCs w:val="24"/>
        </w:rPr>
        <w:t xml:space="preserve"> To eliminate the selection bias inherent in observational studies, future research should utilize difference in differences designs to evaluate the true causal impact of transitioning facilities to universal </w:t>
      </w:r>
      <w:proofErr w:type="gramStart"/>
      <w:r w:rsidRPr="008B6841">
        <w:rPr>
          <w:rFonts w:ascii="Times New Roman" w:eastAsia="Times New Roman" w:hAnsi="Times New Roman" w:cs="Times New Roman"/>
          <w:sz w:val="24"/>
          <w:szCs w:val="24"/>
        </w:rPr>
        <w:t>six month</w:t>
      </w:r>
      <w:proofErr w:type="gramEnd"/>
      <w:r w:rsidRPr="008B6841">
        <w:rPr>
          <w:rFonts w:ascii="Times New Roman" w:eastAsia="Times New Roman" w:hAnsi="Times New Roman" w:cs="Times New Roman"/>
          <w:sz w:val="24"/>
          <w:szCs w:val="24"/>
        </w:rPr>
        <w:t xml:space="preserve"> dispensing coverage.</w:t>
      </w:r>
    </w:p>
    <w:p w14:paraId="11C5E07E" w14:textId="77777777" w:rsidR="00CA2730" w:rsidRPr="00131E28" w:rsidRDefault="00E46208" w:rsidP="00E46208">
      <w:pPr>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8B6841">
        <w:rPr>
          <w:rFonts w:ascii="Times New Roman" w:eastAsia="Times New Roman" w:hAnsi="Times New Roman" w:cs="Times New Roman"/>
          <w:b/>
          <w:bCs/>
          <w:sz w:val="24"/>
          <w:szCs w:val="24"/>
        </w:rPr>
        <w:t>Conduct Qualitative Social Studies:</w:t>
      </w:r>
      <w:r w:rsidRPr="008B6841">
        <w:rPr>
          <w:rFonts w:ascii="Times New Roman" w:eastAsia="Times New Roman" w:hAnsi="Times New Roman" w:cs="Times New Roman"/>
          <w:sz w:val="24"/>
          <w:szCs w:val="24"/>
        </w:rPr>
        <w:t xml:space="preserve"> A qualitative evaluation of never married and low education patients is necessary to map the exact pathways through which social isolation and low literacy trigger virologic failure within the household environment.</w:t>
      </w:r>
      <w:r w:rsidRPr="00131E28">
        <w:rPr>
          <w:rFonts w:ascii="Times New Roman" w:eastAsia="Times New Roman" w:hAnsi="Times New Roman" w:cs="Times New Roman"/>
          <w:sz w:val="24"/>
          <w:szCs w:val="24"/>
        </w:rPr>
        <w:t xml:space="preserve"> </w:t>
      </w:r>
    </w:p>
    <w:p w14:paraId="6F42037C" w14:textId="77777777" w:rsidR="006E08BF" w:rsidRDefault="006E08BF" w:rsidP="00CA2730">
      <w:pPr>
        <w:spacing w:before="100" w:beforeAutospacing="1" w:after="100" w:afterAutospacing="1" w:line="240" w:lineRule="auto"/>
        <w:jc w:val="center"/>
        <w:rPr>
          <w:rFonts w:ascii="Times New Roman" w:eastAsia="Times New Roman" w:hAnsi="Times New Roman" w:cs="Times New Roman"/>
          <w:b/>
          <w:bCs/>
          <w:sz w:val="24"/>
          <w:szCs w:val="24"/>
        </w:rPr>
      </w:pPr>
    </w:p>
    <w:p w14:paraId="528C9159" w14:textId="77777777" w:rsidR="001E2609" w:rsidRDefault="001E2609" w:rsidP="00CA2730">
      <w:pPr>
        <w:spacing w:before="100" w:beforeAutospacing="1" w:after="100" w:afterAutospacing="1" w:line="240" w:lineRule="auto"/>
        <w:jc w:val="center"/>
        <w:rPr>
          <w:rFonts w:ascii="Times New Roman" w:eastAsia="Times New Roman" w:hAnsi="Times New Roman" w:cs="Times New Roman"/>
          <w:b/>
          <w:bCs/>
          <w:sz w:val="24"/>
          <w:szCs w:val="24"/>
        </w:rPr>
      </w:pPr>
    </w:p>
    <w:p w14:paraId="75B0F359" w14:textId="77777777" w:rsidR="001E2609" w:rsidRDefault="001E2609" w:rsidP="00CA2730">
      <w:pPr>
        <w:spacing w:before="100" w:beforeAutospacing="1" w:after="100" w:afterAutospacing="1" w:line="240" w:lineRule="auto"/>
        <w:jc w:val="center"/>
        <w:rPr>
          <w:rFonts w:ascii="Times New Roman" w:eastAsia="Times New Roman" w:hAnsi="Times New Roman" w:cs="Times New Roman"/>
          <w:b/>
          <w:bCs/>
          <w:sz w:val="24"/>
          <w:szCs w:val="24"/>
        </w:rPr>
      </w:pPr>
    </w:p>
    <w:p w14:paraId="20748C61" w14:textId="77777777" w:rsidR="001E2609" w:rsidRDefault="001E2609" w:rsidP="00CA2730">
      <w:pPr>
        <w:spacing w:before="100" w:beforeAutospacing="1" w:after="100" w:afterAutospacing="1" w:line="240" w:lineRule="auto"/>
        <w:jc w:val="center"/>
        <w:rPr>
          <w:rFonts w:ascii="Times New Roman" w:eastAsia="Times New Roman" w:hAnsi="Times New Roman" w:cs="Times New Roman"/>
          <w:b/>
          <w:bCs/>
          <w:sz w:val="24"/>
          <w:szCs w:val="24"/>
        </w:rPr>
      </w:pPr>
    </w:p>
    <w:p w14:paraId="323A2035" w14:textId="77777777" w:rsidR="00CA2730" w:rsidRPr="00CA2730" w:rsidRDefault="00CA2730" w:rsidP="00CA2730">
      <w:pPr>
        <w:spacing w:before="100" w:beforeAutospacing="1" w:after="100" w:afterAutospacing="1" w:line="240" w:lineRule="auto"/>
        <w:jc w:val="center"/>
        <w:rPr>
          <w:rFonts w:ascii="Times New Roman" w:eastAsia="Times New Roman" w:hAnsi="Times New Roman" w:cs="Times New Roman"/>
          <w:b/>
          <w:bCs/>
          <w:sz w:val="24"/>
          <w:szCs w:val="24"/>
        </w:rPr>
      </w:pPr>
      <w:r w:rsidRPr="00CA2730">
        <w:rPr>
          <w:rFonts w:ascii="Times New Roman" w:eastAsia="Times New Roman" w:hAnsi="Times New Roman" w:cs="Times New Roman"/>
          <w:b/>
          <w:bCs/>
          <w:sz w:val="24"/>
          <w:szCs w:val="24"/>
        </w:rPr>
        <w:lastRenderedPageBreak/>
        <w:t>REFERENCES</w:t>
      </w:r>
    </w:p>
    <w:p w14:paraId="7AF26937"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Abdullahi, I., Ibrahim, M., </w:t>
      </w:r>
      <w:proofErr w:type="spellStart"/>
      <w:r w:rsidRPr="00CA2730">
        <w:rPr>
          <w:rFonts w:ascii="Times New Roman" w:eastAsia="Times New Roman" w:hAnsi="Times New Roman" w:cs="Times New Roman"/>
          <w:sz w:val="24"/>
          <w:szCs w:val="24"/>
        </w:rPr>
        <w:t>Okeji</w:t>
      </w:r>
      <w:proofErr w:type="spellEnd"/>
      <w:r w:rsidRPr="00CA2730">
        <w:rPr>
          <w:rFonts w:ascii="Times New Roman" w:eastAsia="Times New Roman" w:hAnsi="Times New Roman" w:cs="Times New Roman"/>
          <w:sz w:val="24"/>
          <w:szCs w:val="24"/>
        </w:rPr>
        <w:t xml:space="preserve">, N. A., </w:t>
      </w:r>
      <w:proofErr w:type="spellStart"/>
      <w:r w:rsidRPr="00CA2730">
        <w:rPr>
          <w:rFonts w:ascii="Times New Roman" w:eastAsia="Times New Roman" w:hAnsi="Times New Roman" w:cs="Times New Roman"/>
          <w:sz w:val="24"/>
          <w:szCs w:val="24"/>
        </w:rPr>
        <w:t>Awosan</w:t>
      </w:r>
      <w:proofErr w:type="spellEnd"/>
      <w:r w:rsidRPr="00CA2730">
        <w:rPr>
          <w:rFonts w:ascii="Times New Roman" w:eastAsia="Times New Roman" w:hAnsi="Times New Roman" w:cs="Times New Roman"/>
          <w:sz w:val="24"/>
          <w:szCs w:val="24"/>
        </w:rPr>
        <w:t xml:space="preserve">, K. J., Oche, M. O., &amp; </w:t>
      </w:r>
      <w:proofErr w:type="spellStart"/>
      <w:r w:rsidRPr="00CA2730">
        <w:rPr>
          <w:rFonts w:ascii="Times New Roman" w:eastAsia="Times New Roman" w:hAnsi="Times New Roman" w:cs="Times New Roman"/>
          <w:sz w:val="24"/>
          <w:szCs w:val="24"/>
        </w:rPr>
        <w:t>Taofiq</w:t>
      </w:r>
      <w:proofErr w:type="spellEnd"/>
      <w:r w:rsidRPr="00CA2730">
        <w:rPr>
          <w:rFonts w:ascii="Times New Roman" w:eastAsia="Times New Roman" w:hAnsi="Times New Roman" w:cs="Times New Roman"/>
          <w:sz w:val="24"/>
          <w:szCs w:val="24"/>
        </w:rPr>
        <w:t xml:space="preserve">, S. (2021). Viral suppression among HIV-positive patients on antiretroviral therapy in northwestern Nigeria: An eleven-year review of tertiary care </w:t>
      </w:r>
      <w:proofErr w:type="spellStart"/>
      <w:r w:rsidRPr="00CA2730">
        <w:rPr>
          <w:rFonts w:ascii="Times New Roman" w:eastAsia="Times New Roman" w:hAnsi="Times New Roman" w:cs="Times New Roman"/>
          <w:sz w:val="24"/>
          <w:szCs w:val="24"/>
        </w:rPr>
        <w:t>centre</w:t>
      </w:r>
      <w:proofErr w:type="spellEnd"/>
      <w:r w:rsidRPr="00CA2730">
        <w:rPr>
          <w:rFonts w:ascii="Times New Roman" w:eastAsia="Times New Roman" w:hAnsi="Times New Roman" w:cs="Times New Roman"/>
          <w:sz w:val="24"/>
          <w:szCs w:val="24"/>
        </w:rPr>
        <w:t xml:space="preserve"> records, January 2009-December 2019. </w:t>
      </w:r>
      <w:r w:rsidRPr="00CA2730">
        <w:rPr>
          <w:rFonts w:ascii="Times New Roman" w:eastAsia="Times New Roman" w:hAnsi="Times New Roman" w:cs="Times New Roman"/>
          <w:i/>
          <w:iCs/>
          <w:sz w:val="24"/>
          <w:szCs w:val="24"/>
        </w:rPr>
        <w:t>BMC Infectious Diseases</w:t>
      </w:r>
      <w:r w:rsidRPr="00CA2730">
        <w:rPr>
          <w:rFonts w:ascii="Times New Roman" w:eastAsia="Times New Roman" w:hAnsi="Times New Roman" w:cs="Times New Roman"/>
          <w:sz w:val="24"/>
          <w:szCs w:val="24"/>
        </w:rPr>
        <w:t xml:space="preserve">, 21(1), 1031. </w:t>
      </w:r>
      <w:hyperlink w:tgtFrame="_blank" w:history="1">
        <w:r w:rsidRPr="00CA2730">
          <w:rPr>
            <w:rStyle w:val="Hyperlink"/>
            <w:rFonts w:ascii="Times New Roman" w:eastAsia="Times New Roman" w:hAnsi="Times New Roman" w:cs="Times New Roman"/>
            <w:sz w:val="24"/>
            <w:szCs w:val="24"/>
          </w:rPr>
          <w:t>https://doi.org/10.1186/s12879-021-06722-3</w:t>
        </w:r>
      </w:hyperlink>
    </w:p>
    <w:p w14:paraId="40BB6CA0"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proofErr w:type="spellStart"/>
      <w:r w:rsidRPr="00CA2730">
        <w:rPr>
          <w:rFonts w:ascii="Times New Roman" w:eastAsia="Times New Roman" w:hAnsi="Times New Roman" w:cs="Times New Roman"/>
          <w:sz w:val="24"/>
          <w:szCs w:val="24"/>
        </w:rPr>
        <w:t>Abudiore</w:t>
      </w:r>
      <w:proofErr w:type="spellEnd"/>
      <w:r w:rsidRPr="00CA2730">
        <w:rPr>
          <w:rFonts w:ascii="Times New Roman" w:eastAsia="Times New Roman" w:hAnsi="Times New Roman" w:cs="Times New Roman"/>
          <w:sz w:val="24"/>
          <w:szCs w:val="24"/>
        </w:rPr>
        <w:t xml:space="preserve">, O., </w:t>
      </w:r>
      <w:proofErr w:type="spellStart"/>
      <w:r w:rsidRPr="00CA2730">
        <w:rPr>
          <w:rFonts w:ascii="Times New Roman" w:eastAsia="Times New Roman" w:hAnsi="Times New Roman" w:cs="Times New Roman"/>
          <w:sz w:val="24"/>
          <w:szCs w:val="24"/>
        </w:rPr>
        <w:t>Amamilo</w:t>
      </w:r>
      <w:proofErr w:type="spellEnd"/>
      <w:r w:rsidRPr="00CA2730">
        <w:rPr>
          <w:rFonts w:ascii="Times New Roman" w:eastAsia="Times New Roman" w:hAnsi="Times New Roman" w:cs="Times New Roman"/>
          <w:sz w:val="24"/>
          <w:szCs w:val="24"/>
        </w:rPr>
        <w:t xml:space="preserve">, I., Campbell, J., </w:t>
      </w:r>
      <w:proofErr w:type="spellStart"/>
      <w:r w:rsidRPr="00CA2730">
        <w:rPr>
          <w:rFonts w:ascii="Times New Roman" w:eastAsia="Times New Roman" w:hAnsi="Times New Roman" w:cs="Times New Roman"/>
          <w:sz w:val="24"/>
          <w:szCs w:val="24"/>
        </w:rPr>
        <w:t>Eigege</w:t>
      </w:r>
      <w:proofErr w:type="spellEnd"/>
      <w:r w:rsidRPr="00CA2730">
        <w:rPr>
          <w:rFonts w:ascii="Times New Roman" w:eastAsia="Times New Roman" w:hAnsi="Times New Roman" w:cs="Times New Roman"/>
          <w:sz w:val="24"/>
          <w:szCs w:val="24"/>
        </w:rPr>
        <w:t xml:space="preserve">, W., Harwell, J., Conroy, J., </w:t>
      </w:r>
      <w:proofErr w:type="spellStart"/>
      <w:r w:rsidRPr="00CA2730">
        <w:rPr>
          <w:rFonts w:ascii="Times New Roman" w:eastAsia="Times New Roman" w:hAnsi="Times New Roman" w:cs="Times New Roman"/>
          <w:sz w:val="24"/>
          <w:szCs w:val="24"/>
        </w:rPr>
        <w:t>Jiboye</w:t>
      </w:r>
      <w:proofErr w:type="spellEnd"/>
      <w:r w:rsidRPr="00CA2730">
        <w:rPr>
          <w:rFonts w:ascii="Times New Roman" w:eastAsia="Times New Roman" w:hAnsi="Times New Roman" w:cs="Times New Roman"/>
          <w:sz w:val="24"/>
          <w:szCs w:val="24"/>
        </w:rPr>
        <w:t xml:space="preserve">, J., </w:t>
      </w:r>
      <w:proofErr w:type="spellStart"/>
      <w:r w:rsidRPr="00CA2730">
        <w:rPr>
          <w:rFonts w:ascii="Times New Roman" w:eastAsia="Times New Roman" w:hAnsi="Times New Roman" w:cs="Times New Roman"/>
          <w:sz w:val="24"/>
          <w:szCs w:val="24"/>
        </w:rPr>
        <w:t>Lufadeju</w:t>
      </w:r>
      <w:proofErr w:type="spellEnd"/>
      <w:r w:rsidRPr="00CA2730">
        <w:rPr>
          <w:rFonts w:ascii="Times New Roman" w:eastAsia="Times New Roman" w:hAnsi="Times New Roman" w:cs="Times New Roman"/>
          <w:sz w:val="24"/>
          <w:szCs w:val="24"/>
        </w:rPr>
        <w:t xml:space="preserve">, F., Amole, C., </w:t>
      </w:r>
      <w:proofErr w:type="spellStart"/>
      <w:r w:rsidRPr="00CA2730">
        <w:rPr>
          <w:rFonts w:ascii="Times New Roman" w:eastAsia="Times New Roman" w:hAnsi="Times New Roman" w:cs="Times New Roman"/>
          <w:sz w:val="24"/>
          <w:szCs w:val="24"/>
        </w:rPr>
        <w:t>Wiwa</w:t>
      </w:r>
      <w:proofErr w:type="spellEnd"/>
      <w:r w:rsidRPr="00CA2730">
        <w:rPr>
          <w:rFonts w:ascii="Times New Roman" w:eastAsia="Times New Roman" w:hAnsi="Times New Roman" w:cs="Times New Roman"/>
          <w:sz w:val="24"/>
          <w:szCs w:val="24"/>
        </w:rPr>
        <w:t xml:space="preserve">, O., Anweh, D., Agbaji, O. O., &amp; </w:t>
      </w:r>
      <w:proofErr w:type="spellStart"/>
      <w:r w:rsidRPr="00CA2730">
        <w:rPr>
          <w:rFonts w:ascii="Times New Roman" w:eastAsia="Times New Roman" w:hAnsi="Times New Roman" w:cs="Times New Roman"/>
          <w:sz w:val="24"/>
          <w:szCs w:val="24"/>
        </w:rPr>
        <w:t>Akanmu</w:t>
      </w:r>
      <w:proofErr w:type="spellEnd"/>
      <w:r w:rsidRPr="00CA2730">
        <w:rPr>
          <w:rFonts w:ascii="Times New Roman" w:eastAsia="Times New Roman" w:hAnsi="Times New Roman" w:cs="Times New Roman"/>
          <w:sz w:val="24"/>
          <w:szCs w:val="24"/>
        </w:rPr>
        <w:t xml:space="preserve">, A. S. (2023). High acceptability and viral suppression rate for first-Line patients on a dolutegravir-based regimen: An early adopter study in Nigeria. </w:t>
      </w:r>
      <w:r w:rsidRPr="00CA2730">
        <w:rPr>
          <w:rFonts w:ascii="Times New Roman" w:eastAsia="Times New Roman" w:hAnsi="Times New Roman" w:cs="Times New Roman"/>
          <w:i/>
          <w:iCs/>
          <w:sz w:val="24"/>
          <w:szCs w:val="24"/>
        </w:rPr>
        <w:t>PLOS One</w:t>
      </w:r>
      <w:r w:rsidRPr="00CA2730">
        <w:rPr>
          <w:rFonts w:ascii="Times New Roman" w:eastAsia="Times New Roman" w:hAnsi="Times New Roman" w:cs="Times New Roman"/>
          <w:sz w:val="24"/>
          <w:szCs w:val="24"/>
        </w:rPr>
        <w:t xml:space="preserve">, 18(5), e0284767. </w:t>
      </w:r>
      <w:hyperlink w:tgtFrame="_blank" w:history="1">
        <w:r w:rsidRPr="00CA2730">
          <w:rPr>
            <w:rStyle w:val="Hyperlink"/>
            <w:rFonts w:ascii="Times New Roman" w:eastAsia="Times New Roman" w:hAnsi="Times New Roman" w:cs="Times New Roman"/>
            <w:sz w:val="24"/>
            <w:szCs w:val="24"/>
          </w:rPr>
          <w:t>https://doi.org/10.1371/journal.pone.0284767</w:t>
        </w:r>
      </w:hyperlink>
    </w:p>
    <w:p w14:paraId="71430386"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Adedoyin, A., Fadahunsi, S. G., Osinubi, M. O., et al. (2021). Factors associated with viral non suppression among patients receiving antiretroviral therapy in a tertiary health facility in Nigeria. </w:t>
      </w:r>
      <w:r w:rsidRPr="00CA2730">
        <w:rPr>
          <w:rFonts w:ascii="Times New Roman" w:eastAsia="Times New Roman" w:hAnsi="Times New Roman" w:cs="Times New Roman"/>
          <w:i/>
          <w:iCs/>
          <w:sz w:val="24"/>
          <w:szCs w:val="24"/>
        </w:rPr>
        <w:t>Babcock University Medical Journal</w:t>
      </w:r>
      <w:r w:rsidRPr="00CA2730">
        <w:rPr>
          <w:rFonts w:ascii="Times New Roman" w:eastAsia="Times New Roman" w:hAnsi="Times New Roman" w:cs="Times New Roman"/>
          <w:sz w:val="24"/>
          <w:szCs w:val="24"/>
        </w:rPr>
        <w:t>, 4(1), 12-22.</w:t>
      </w:r>
    </w:p>
    <w:p w14:paraId="32EB1DDF"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Adedoyin, A., Okonkwo, P., Aliyu, M. H., &amp; Akanbi, M. O. (2021). Correlates of viral non-suppression among adults on antiretroviral therapy in selected Nigerian states. </w:t>
      </w:r>
      <w:r w:rsidRPr="00CA2730">
        <w:rPr>
          <w:rFonts w:ascii="Times New Roman" w:eastAsia="Times New Roman" w:hAnsi="Times New Roman" w:cs="Times New Roman"/>
          <w:i/>
          <w:iCs/>
          <w:sz w:val="24"/>
          <w:szCs w:val="24"/>
        </w:rPr>
        <w:t>Nigerian Journal of Medicine</w:t>
      </w:r>
      <w:r w:rsidRPr="00CA2730">
        <w:rPr>
          <w:rFonts w:ascii="Times New Roman" w:eastAsia="Times New Roman" w:hAnsi="Times New Roman" w:cs="Times New Roman"/>
          <w:sz w:val="24"/>
          <w:szCs w:val="24"/>
        </w:rPr>
        <w:t>, 30(3), 297-305.</w:t>
      </w:r>
    </w:p>
    <w:p w14:paraId="00E5C6F6"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Ajetunmobi, O. A., Ajetunmobi, W. A., </w:t>
      </w:r>
      <w:proofErr w:type="spellStart"/>
      <w:r w:rsidRPr="00CA2730">
        <w:rPr>
          <w:rFonts w:ascii="Times New Roman" w:eastAsia="Times New Roman" w:hAnsi="Times New Roman" w:cs="Times New Roman"/>
          <w:sz w:val="24"/>
          <w:szCs w:val="24"/>
        </w:rPr>
        <w:t>Adewara</w:t>
      </w:r>
      <w:proofErr w:type="spellEnd"/>
      <w:r w:rsidRPr="00CA2730">
        <w:rPr>
          <w:rFonts w:ascii="Times New Roman" w:eastAsia="Times New Roman" w:hAnsi="Times New Roman" w:cs="Times New Roman"/>
          <w:sz w:val="24"/>
          <w:szCs w:val="24"/>
        </w:rPr>
        <w:t>, O. E., Gabriel-</w:t>
      </w:r>
      <w:proofErr w:type="spellStart"/>
      <w:r w:rsidRPr="00CA2730">
        <w:rPr>
          <w:rFonts w:ascii="Times New Roman" w:eastAsia="Times New Roman" w:hAnsi="Times New Roman" w:cs="Times New Roman"/>
          <w:sz w:val="24"/>
          <w:szCs w:val="24"/>
        </w:rPr>
        <w:t>Alayode</w:t>
      </w:r>
      <w:proofErr w:type="spellEnd"/>
      <w:r w:rsidRPr="00CA2730">
        <w:rPr>
          <w:rFonts w:ascii="Times New Roman" w:eastAsia="Times New Roman" w:hAnsi="Times New Roman" w:cs="Times New Roman"/>
          <w:sz w:val="24"/>
          <w:szCs w:val="24"/>
        </w:rPr>
        <w:t xml:space="preserve">, O. E., </w:t>
      </w:r>
      <w:proofErr w:type="spellStart"/>
      <w:r w:rsidRPr="00CA2730">
        <w:rPr>
          <w:rFonts w:ascii="Times New Roman" w:eastAsia="Times New Roman" w:hAnsi="Times New Roman" w:cs="Times New Roman"/>
          <w:sz w:val="24"/>
          <w:szCs w:val="24"/>
        </w:rPr>
        <w:t>Adegbamigbe</w:t>
      </w:r>
      <w:proofErr w:type="spellEnd"/>
      <w:r w:rsidRPr="00CA2730">
        <w:rPr>
          <w:rFonts w:ascii="Times New Roman" w:eastAsia="Times New Roman" w:hAnsi="Times New Roman" w:cs="Times New Roman"/>
          <w:sz w:val="24"/>
          <w:szCs w:val="24"/>
        </w:rPr>
        <w:t xml:space="preserve">, O. J., </w:t>
      </w:r>
      <w:proofErr w:type="spellStart"/>
      <w:r w:rsidRPr="00CA2730">
        <w:rPr>
          <w:rFonts w:ascii="Times New Roman" w:eastAsia="Times New Roman" w:hAnsi="Times New Roman" w:cs="Times New Roman"/>
          <w:sz w:val="24"/>
          <w:szCs w:val="24"/>
        </w:rPr>
        <w:t>Omosanya</w:t>
      </w:r>
      <w:proofErr w:type="spellEnd"/>
      <w:r w:rsidRPr="00CA2730">
        <w:rPr>
          <w:rFonts w:ascii="Times New Roman" w:eastAsia="Times New Roman" w:hAnsi="Times New Roman" w:cs="Times New Roman"/>
          <w:sz w:val="24"/>
          <w:szCs w:val="24"/>
        </w:rPr>
        <w:t xml:space="preserve">, O. E., &amp; Ilori, H. T. (2025). Dolutegravir combined anti-retroviral agents as second-line drugs and virologic suppression of adults with HIV in Federal Teaching Hospital, Ido Ekiti: Case series. </w:t>
      </w:r>
      <w:r w:rsidRPr="00CA2730">
        <w:rPr>
          <w:rFonts w:ascii="Times New Roman" w:eastAsia="Times New Roman" w:hAnsi="Times New Roman" w:cs="Times New Roman"/>
          <w:i/>
          <w:iCs/>
          <w:sz w:val="24"/>
          <w:szCs w:val="24"/>
        </w:rPr>
        <w:t>The Pan African Medical Journal</w:t>
      </w:r>
      <w:r w:rsidRPr="00CA2730">
        <w:rPr>
          <w:rFonts w:ascii="Times New Roman" w:eastAsia="Times New Roman" w:hAnsi="Times New Roman" w:cs="Times New Roman"/>
          <w:sz w:val="24"/>
          <w:szCs w:val="24"/>
        </w:rPr>
        <w:t xml:space="preserve">, 50, 99. </w:t>
      </w:r>
      <w:hyperlink w:tgtFrame="_blank" w:history="1">
        <w:r w:rsidRPr="00CA2730">
          <w:rPr>
            <w:rStyle w:val="Hyperlink"/>
            <w:rFonts w:ascii="Times New Roman" w:eastAsia="Times New Roman" w:hAnsi="Times New Roman" w:cs="Times New Roman"/>
            <w:sz w:val="24"/>
            <w:szCs w:val="24"/>
          </w:rPr>
          <w:t>https://doi.org/10.11604/pamj.2025.50.99.40350</w:t>
        </w:r>
      </w:hyperlink>
    </w:p>
    <w:p w14:paraId="0A0E81C5"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Akello, Z., </w:t>
      </w:r>
      <w:proofErr w:type="spellStart"/>
      <w:r w:rsidRPr="00CA2730">
        <w:rPr>
          <w:rFonts w:ascii="Times New Roman" w:eastAsia="Times New Roman" w:hAnsi="Times New Roman" w:cs="Times New Roman"/>
          <w:sz w:val="24"/>
          <w:szCs w:val="24"/>
        </w:rPr>
        <w:t>Kyamwanga</w:t>
      </w:r>
      <w:proofErr w:type="spellEnd"/>
      <w:r w:rsidRPr="00CA2730">
        <w:rPr>
          <w:rFonts w:ascii="Times New Roman" w:eastAsia="Times New Roman" w:hAnsi="Times New Roman" w:cs="Times New Roman"/>
          <w:sz w:val="24"/>
          <w:szCs w:val="24"/>
        </w:rPr>
        <w:t xml:space="preserve">, I., </w:t>
      </w:r>
      <w:proofErr w:type="spellStart"/>
      <w:r w:rsidRPr="00CA2730">
        <w:rPr>
          <w:rFonts w:ascii="Times New Roman" w:eastAsia="Times New Roman" w:hAnsi="Times New Roman" w:cs="Times New Roman"/>
          <w:sz w:val="24"/>
          <w:szCs w:val="24"/>
        </w:rPr>
        <w:t>Turyasiima</w:t>
      </w:r>
      <w:proofErr w:type="spellEnd"/>
      <w:r w:rsidRPr="00CA2730">
        <w:rPr>
          <w:rFonts w:ascii="Times New Roman" w:eastAsia="Times New Roman" w:hAnsi="Times New Roman" w:cs="Times New Roman"/>
          <w:sz w:val="24"/>
          <w:szCs w:val="24"/>
        </w:rPr>
        <w:t xml:space="preserve">, M., &amp; </w:t>
      </w:r>
      <w:proofErr w:type="spellStart"/>
      <w:r w:rsidRPr="00CA2730">
        <w:rPr>
          <w:rFonts w:ascii="Times New Roman" w:eastAsia="Times New Roman" w:hAnsi="Times New Roman" w:cs="Times New Roman"/>
          <w:sz w:val="24"/>
          <w:szCs w:val="24"/>
        </w:rPr>
        <w:t>Bajunirwe</w:t>
      </w:r>
      <w:proofErr w:type="spellEnd"/>
      <w:r w:rsidRPr="00CA2730">
        <w:rPr>
          <w:rFonts w:ascii="Times New Roman" w:eastAsia="Times New Roman" w:hAnsi="Times New Roman" w:cs="Times New Roman"/>
          <w:sz w:val="24"/>
          <w:szCs w:val="24"/>
        </w:rPr>
        <w:t xml:space="preserve">, F. (2022). Effect of multi-month dispensing of antiretroviral drugs on viral load suppression and retention in care among HIV-positive patients: A systematic review and meta-analysis. </w:t>
      </w:r>
      <w:r w:rsidRPr="00CA2730">
        <w:rPr>
          <w:rFonts w:ascii="Times New Roman" w:eastAsia="Times New Roman" w:hAnsi="Times New Roman" w:cs="Times New Roman"/>
          <w:i/>
          <w:iCs/>
          <w:sz w:val="24"/>
          <w:szCs w:val="24"/>
        </w:rPr>
        <w:t>PLOS ONE</w:t>
      </w:r>
      <w:r w:rsidRPr="00CA2730">
        <w:rPr>
          <w:rFonts w:ascii="Times New Roman" w:eastAsia="Times New Roman" w:hAnsi="Times New Roman" w:cs="Times New Roman"/>
          <w:sz w:val="24"/>
          <w:szCs w:val="24"/>
        </w:rPr>
        <w:t xml:space="preserve">, 17(4), e0267152. </w:t>
      </w:r>
      <w:hyperlink w:tgtFrame="_blank" w:history="1">
        <w:r w:rsidRPr="00CA2730">
          <w:rPr>
            <w:rStyle w:val="Hyperlink"/>
            <w:rFonts w:ascii="Times New Roman" w:eastAsia="Times New Roman" w:hAnsi="Times New Roman" w:cs="Times New Roman"/>
            <w:sz w:val="24"/>
            <w:szCs w:val="24"/>
          </w:rPr>
          <w:t>https://doi.org/10.1371/journal.pone.0267152</w:t>
        </w:r>
      </w:hyperlink>
    </w:p>
    <w:p w14:paraId="69951119"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Akpan, U. U., Nwanja, E. N., Badru, T., Toyo, O. E., Idemudia, A. M., Sanwo, O., Okeke, P. N., Gana, B., Idem, S., </w:t>
      </w:r>
      <w:proofErr w:type="spellStart"/>
      <w:r w:rsidRPr="00CA2730">
        <w:rPr>
          <w:rFonts w:ascii="Times New Roman" w:eastAsia="Times New Roman" w:hAnsi="Times New Roman" w:cs="Times New Roman"/>
          <w:sz w:val="24"/>
          <w:szCs w:val="24"/>
        </w:rPr>
        <w:t>Idiong</w:t>
      </w:r>
      <w:proofErr w:type="spellEnd"/>
      <w:r w:rsidRPr="00CA2730">
        <w:rPr>
          <w:rFonts w:ascii="Times New Roman" w:eastAsia="Times New Roman" w:hAnsi="Times New Roman" w:cs="Times New Roman"/>
          <w:sz w:val="24"/>
          <w:szCs w:val="24"/>
        </w:rPr>
        <w:t xml:space="preserve">, H. M., </w:t>
      </w:r>
      <w:proofErr w:type="spellStart"/>
      <w:r w:rsidRPr="00CA2730">
        <w:rPr>
          <w:rFonts w:ascii="Times New Roman" w:eastAsia="Times New Roman" w:hAnsi="Times New Roman" w:cs="Times New Roman"/>
          <w:sz w:val="24"/>
          <w:szCs w:val="24"/>
        </w:rPr>
        <w:t>Khamofu</w:t>
      </w:r>
      <w:proofErr w:type="spellEnd"/>
      <w:r w:rsidRPr="00CA2730">
        <w:rPr>
          <w:rFonts w:ascii="Times New Roman" w:eastAsia="Times New Roman" w:hAnsi="Times New Roman" w:cs="Times New Roman"/>
          <w:sz w:val="24"/>
          <w:szCs w:val="24"/>
        </w:rPr>
        <w:t xml:space="preserve">, H. G., &amp; </w:t>
      </w:r>
      <w:proofErr w:type="spellStart"/>
      <w:r w:rsidRPr="00CA2730">
        <w:rPr>
          <w:rFonts w:ascii="Times New Roman" w:eastAsia="Times New Roman" w:hAnsi="Times New Roman" w:cs="Times New Roman"/>
          <w:sz w:val="24"/>
          <w:szCs w:val="24"/>
        </w:rPr>
        <w:t>Bateganya</w:t>
      </w:r>
      <w:proofErr w:type="spellEnd"/>
      <w:r w:rsidRPr="00CA2730">
        <w:rPr>
          <w:rFonts w:ascii="Times New Roman" w:eastAsia="Times New Roman" w:hAnsi="Times New Roman" w:cs="Times New Roman"/>
          <w:sz w:val="24"/>
          <w:szCs w:val="24"/>
        </w:rPr>
        <w:t xml:space="preserve">, M. H. (2023). Predictors of detectable viremia, outcomes, and implications for management of people living with HIV who are receiving antiretroviral therapy in Southern Nigeria. </w:t>
      </w:r>
      <w:r w:rsidRPr="00CA2730">
        <w:rPr>
          <w:rFonts w:ascii="Times New Roman" w:eastAsia="Times New Roman" w:hAnsi="Times New Roman" w:cs="Times New Roman"/>
          <w:i/>
          <w:iCs/>
          <w:sz w:val="24"/>
          <w:szCs w:val="24"/>
        </w:rPr>
        <w:t>Open Forum Infectious Diseases</w:t>
      </w:r>
      <w:r w:rsidRPr="00CA2730">
        <w:rPr>
          <w:rFonts w:ascii="Times New Roman" w:eastAsia="Times New Roman" w:hAnsi="Times New Roman" w:cs="Times New Roman"/>
          <w:sz w:val="24"/>
          <w:szCs w:val="24"/>
        </w:rPr>
        <w:t xml:space="preserve">, 10(12), ofad562. </w:t>
      </w:r>
      <w:hyperlink w:tgtFrame="_blank" w:history="1">
        <w:r w:rsidRPr="00CA2730">
          <w:rPr>
            <w:rStyle w:val="Hyperlink"/>
            <w:rFonts w:ascii="Times New Roman" w:eastAsia="Times New Roman" w:hAnsi="Times New Roman" w:cs="Times New Roman"/>
            <w:sz w:val="24"/>
            <w:szCs w:val="24"/>
          </w:rPr>
          <w:t>https://doi.org/10.1093/ofid/ofad562</w:t>
        </w:r>
      </w:hyperlink>
    </w:p>
    <w:p w14:paraId="16BDC9B5"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proofErr w:type="spellStart"/>
      <w:r w:rsidRPr="00CA2730">
        <w:rPr>
          <w:rFonts w:ascii="Times New Roman" w:eastAsia="Times New Roman" w:hAnsi="Times New Roman" w:cs="Times New Roman"/>
          <w:sz w:val="24"/>
          <w:szCs w:val="24"/>
        </w:rPr>
        <w:t>Ambikile</w:t>
      </w:r>
      <w:proofErr w:type="spellEnd"/>
      <w:r w:rsidRPr="00CA2730">
        <w:rPr>
          <w:rFonts w:ascii="Times New Roman" w:eastAsia="Times New Roman" w:hAnsi="Times New Roman" w:cs="Times New Roman"/>
          <w:sz w:val="24"/>
          <w:szCs w:val="24"/>
        </w:rPr>
        <w:t xml:space="preserve">, J. S., &amp; </w:t>
      </w:r>
      <w:proofErr w:type="spellStart"/>
      <w:r w:rsidRPr="00CA2730">
        <w:rPr>
          <w:rFonts w:ascii="Times New Roman" w:eastAsia="Times New Roman" w:hAnsi="Times New Roman" w:cs="Times New Roman"/>
          <w:sz w:val="24"/>
          <w:szCs w:val="24"/>
        </w:rPr>
        <w:t>Iseselo</w:t>
      </w:r>
      <w:proofErr w:type="spellEnd"/>
      <w:r w:rsidRPr="00CA2730">
        <w:rPr>
          <w:rFonts w:ascii="Times New Roman" w:eastAsia="Times New Roman" w:hAnsi="Times New Roman" w:cs="Times New Roman"/>
          <w:sz w:val="24"/>
          <w:szCs w:val="24"/>
        </w:rPr>
        <w:t xml:space="preserve">, A. K. (2021). Clients' satisfaction with HIV care and treatment </w:t>
      </w:r>
      <w:proofErr w:type="spellStart"/>
      <w:r w:rsidRPr="00CA2730">
        <w:rPr>
          <w:rFonts w:ascii="Times New Roman" w:eastAsia="Times New Roman" w:hAnsi="Times New Roman" w:cs="Times New Roman"/>
          <w:sz w:val="24"/>
          <w:szCs w:val="24"/>
        </w:rPr>
        <w:t>centres</w:t>
      </w:r>
      <w:proofErr w:type="spellEnd"/>
      <w:r w:rsidRPr="00CA2730">
        <w:rPr>
          <w:rFonts w:ascii="Times New Roman" w:eastAsia="Times New Roman" w:hAnsi="Times New Roman" w:cs="Times New Roman"/>
          <w:sz w:val="24"/>
          <w:szCs w:val="24"/>
        </w:rPr>
        <w:t xml:space="preserve"> in Dar es Salaam, Tanzania: A cross sectional study. </w:t>
      </w:r>
      <w:r w:rsidRPr="00CA2730">
        <w:rPr>
          <w:rFonts w:ascii="Times New Roman" w:eastAsia="Times New Roman" w:hAnsi="Times New Roman" w:cs="Times New Roman"/>
          <w:i/>
          <w:iCs/>
          <w:sz w:val="24"/>
          <w:szCs w:val="24"/>
        </w:rPr>
        <w:t>PLOS One</w:t>
      </w:r>
      <w:r w:rsidRPr="00CA2730">
        <w:rPr>
          <w:rFonts w:ascii="Times New Roman" w:eastAsia="Times New Roman" w:hAnsi="Times New Roman" w:cs="Times New Roman"/>
          <w:sz w:val="24"/>
          <w:szCs w:val="24"/>
        </w:rPr>
        <w:t xml:space="preserve">, 16(2), e0247421. </w:t>
      </w:r>
      <w:hyperlink w:tgtFrame="_blank" w:history="1">
        <w:r w:rsidRPr="00CA2730">
          <w:rPr>
            <w:rStyle w:val="Hyperlink"/>
            <w:rFonts w:ascii="Times New Roman" w:eastAsia="Times New Roman" w:hAnsi="Times New Roman" w:cs="Times New Roman"/>
            <w:sz w:val="24"/>
            <w:szCs w:val="24"/>
          </w:rPr>
          <w:t>https://doi.org/10.1371/journal.pone.0247421</w:t>
        </w:r>
      </w:hyperlink>
    </w:p>
    <w:p w14:paraId="09EFE9D7"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proofErr w:type="spellStart"/>
      <w:r w:rsidRPr="00CA2730">
        <w:rPr>
          <w:rFonts w:ascii="Times New Roman" w:eastAsia="Times New Roman" w:hAnsi="Times New Roman" w:cs="Times New Roman"/>
          <w:sz w:val="24"/>
          <w:szCs w:val="24"/>
        </w:rPr>
        <w:t>Awungafac</w:t>
      </w:r>
      <w:proofErr w:type="spellEnd"/>
      <w:r w:rsidRPr="00CA2730">
        <w:rPr>
          <w:rFonts w:ascii="Times New Roman" w:eastAsia="Times New Roman" w:hAnsi="Times New Roman" w:cs="Times New Roman"/>
          <w:sz w:val="24"/>
          <w:szCs w:val="24"/>
        </w:rPr>
        <w:t xml:space="preserve">, G., Amin, E. T., </w:t>
      </w:r>
      <w:proofErr w:type="spellStart"/>
      <w:r w:rsidRPr="00CA2730">
        <w:rPr>
          <w:rFonts w:ascii="Times New Roman" w:eastAsia="Times New Roman" w:hAnsi="Times New Roman" w:cs="Times New Roman"/>
          <w:sz w:val="24"/>
          <w:szCs w:val="24"/>
        </w:rPr>
        <w:t>Fualefac</w:t>
      </w:r>
      <w:proofErr w:type="spellEnd"/>
      <w:r w:rsidRPr="00CA2730">
        <w:rPr>
          <w:rFonts w:ascii="Times New Roman" w:eastAsia="Times New Roman" w:hAnsi="Times New Roman" w:cs="Times New Roman"/>
          <w:sz w:val="24"/>
          <w:szCs w:val="24"/>
        </w:rPr>
        <w:t xml:space="preserve">, A., </w:t>
      </w:r>
      <w:proofErr w:type="spellStart"/>
      <w:r w:rsidRPr="00CA2730">
        <w:rPr>
          <w:rFonts w:ascii="Times New Roman" w:eastAsia="Times New Roman" w:hAnsi="Times New Roman" w:cs="Times New Roman"/>
          <w:sz w:val="24"/>
          <w:szCs w:val="24"/>
        </w:rPr>
        <w:t>Takah</w:t>
      </w:r>
      <w:proofErr w:type="spellEnd"/>
      <w:r w:rsidRPr="00CA2730">
        <w:rPr>
          <w:rFonts w:ascii="Times New Roman" w:eastAsia="Times New Roman" w:hAnsi="Times New Roman" w:cs="Times New Roman"/>
          <w:sz w:val="24"/>
          <w:szCs w:val="24"/>
        </w:rPr>
        <w:t xml:space="preserve">, N. F., </w:t>
      </w:r>
      <w:proofErr w:type="spellStart"/>
      <w:r w:rsidRPr="00CA2730">
        <w:rPr>
          <w:rFonts w:ascii="Times New Roman" w:eastAsia="Times New Roman" w:hAnsi="Times New Roman" w:cs="Times New Roman"/>
          <w:sz w:val="24"/>
          <w:szCs w:val="24"/>
        </w:rPr>
        <w:t>Agyingi</w:t>
      </w:r>
      <w:proofErr w:type="spellEnd"/>
      <w:r w:rsidRPr="00CA2730">
        <w:rPr>
          <w:rFonts w:ascii="Times New Roman" w:eastAsia="Times New Roman" w:hAnsi="Times New Roman" w:cs="Times New Roman"/>
          <w:sz w:val="24"/>
          <w:szCs w:val="24"/>
        </w:rPr>
        <w:t xml:space="preserve">, L. A., </w:t>
      </w:r>
      <w:proofErr w:type="spellStart"/>
      <w:r w:rsidRPr="00CA2730">
        <w:rPr>
          <w:rFonts w:ascii="Times New Roman" w:eastAsia="Times New Roman" w:hAnsi="Times New Roman" w:cs="Times New Roman"/>
          <w:sz w:val="24"/>
          <w:szCs w:val="24"/>
        </w:rPr>
        <w:t>Nwobegahay</w:t>
      </w:r>
      <w:proofErr w:type="spellEnd"/>
      <w:r w:rsidRPr="00CA2730">
        <w:rPr>
          <w:rFonts w:ascii="Times New Roman" w:eastAsia="Times New Roman" w:hAnsi="Times New Roman" w:cs="Times New Roman"/>
          <w:sz w:val="24"/>
          <w:szCs w:val="24"/>
        </w:rPr>
        <w:t xml:space="preserve">, J., Ondoa, P., &amp; </w:t>
      </w:r>
      <w:proofErr w:type="spellStart"/>
      <w:r w:rsidRPr="00CA2730">
        <w:rPr>
          <w:rFonts w:ascii="Times New Roman" w:eastAsia="Times New Roman" w:hAnsi="Times New Roman" w:cs="Times New Roman"/>
          <w:sz w:val="24"/>
          <w:szCs w:val="24"/>
        </w:rPr>
        <w:t>Njukeng</w:t>
      </w:r>
      <w:proofErr w:type="spellEnd"/>
      <w:r w:rsidRPr="00CA2730">
        <w:rPr>
          <w:rFonts w:ascii="Times New Roman" w:eastAsia="Times New Roman" w:hAnsi="Times New Roman" w:cs="Times New Roman"/>
          <w:sz w:val="24"/>
          <w:szCs w:val="24"/>
        </w:rPr>
        <w:t xml:space="preserve">, P. A. (2018). Viral load testing and the use of test results for clinical decision making for HIV treatment in Cameroon: An insight into the clinic laboratory interface. </w:t>
      </w:r>
      <w:r w:rsidRPr="00CA2730">
        <w:rPr>
          <w:rFonts w:ascii="Times New Roman" w:eastAsia="Times New Roman" w:hAnsi="Times New Roman" w:cs="Times New Roman"/>
          <w:i/>
          <w:iCs/>
          <w:sz w:val="24"/>
          <w:szCs w:val="24"/>
        </w:rPr>
        <w:t>PLOS One</w:t>
      </w:r>
      <w:r w:rsidRPr="00CA2730">
        <w:rPr>
          <w:rFonts w:ascii="Times New Roman" w:eastAsia="Times New Roman" w:hAnsi="Times New Roman" w:cs="Times New Roman"/>
          <w:sz w:val="24"/>
          <w:szCs w:val="24"/>
        </w:rPr>
        <w:t xml:space="preserve">, 13(6), e0198686. </w:t>
      </w:r>
      <w:hyperlink w:tgtFrame="_blank" w:history="1">
        <w:r w:rsidRPr="00CA2730">
          <w:rPr>
            <w:rStyle w:val="Hyperlink"/>
            <w:rFonts w:ascii="Times New Roman" w:eastAsia="Times New Roman" w:hAnsi="Times New Roman" w:cs="Times New Roman"/>
            <w:sz w:val="24"/>
            <w:szCs w:val="24"/>
          </w:rPr>
          <w:t>https://doi.org/10.1371/journal.pone.0198686</w:t>
        </w:r>
      </w:hyperlink>
    </w:p>
    <w:p w14:paraId="53EAA2B7"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lastRenderedPageBreak/>
        <w:t xml:space="preserve">Badejo, O., </w:t>
      </w:r>
      <w:proofErr w:type="spellStart"/>
      <w:r w:rsidRPr="00CA2730">
        <w:rPr>
          <w:rFonts w:ascii="Times New Roman" w:eastAsia="Times New Roman" w:hAnsi="Times New Roman" w:cs="Times New Roman"/>
          <w:sz w:val="24"/>
          <w:szCs w:val="24"/>
        </w:rPr>
        <w:t>Nöstlinger</w:t>
      </w:r>
      <w:proofErr w:type="spellEnd"/>
      <w:r w:rsidRPr="00CA2730">
        <w:rPr>
          <w:rFonts w:ascii="Times New Roman" w:eastAsia="Times New Roman" w:hAnsi="Times New Roman" w:cs="Times New Roman"/>
          <w:sz w:val="24"/>
          <w:szCs w:val="24"/>
        </w:rPr>
        <w:t xml:space="preserve">, C., Wouters, E., Okonkwo, P., Jwanle, P., Van Belle, S., &amp; Laga, M. (2020). Multilevel modelling and multiple group analysis of disparities in continuity of care and viral suppression among adolescents and youths living with HIV in Nigeria. </w:t>
      </w:r>
      <w:r w:rsidRPr="00CA2730">
        <w:rPr>
          <w:rFonts w:ascii="Times New Roman" w:eastAsia="Times New Roman" w:hAnsi="Times New Roman" w:cs="Times New Roman"/>
          <w:i/>
          <w:iCs/>
          <w:sz w:val="24"/>
          <w:szCs w:val="24"/>
        </w:rPr>
        <w:t>BMJ Global Health</w:t>
      </w:r>
      <w:r w:rsidRPr="00CA2730">
        <w:rPr>
          <w:rFonts w:ascii="Times New Roman" w:eastAsia="Times New Roman" w:hAnsi="Times New Roman" w:cs="Times New Roman"/>
          <w:sz w:val="24"/>
          <w:szCs w:val="24"/>
        </w:rPr>
        <w:t xml:space="preserve">, 5(11), e003269. </w:t>
      </w:r>
      <w:hyperlink w:tgtFrame="_blank" w:history="1">
        <w:r w:rsidRPr="00CA2730">
          <w:rPr>
            <w:rStyle w:val="Hyperlink"/>
            <w:rFonts w:ascii="Times New Roman" w:eastAsia="Times New Roman" w:hAnsi="Times New Roman" w:cs="Times New Roman"/>
            <w:sz w:val="24"/>
            <w:szCs w:val="24"/>
          </w:rPr>
          <w:t>https://doi.org/10.1136/bmjgh-2020-003269</w:t>
        </w:r>
      </w:hyperlink>
    </w:p>
    <w:p w14:paraId="6B711680"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Badejo, O., </w:t>
      </w:r>
      <w:proofErr w:type="spellStart"/>
      <w:r w:rsidRPr="00CA2730">
        <w:rPr>
          <w:rFonts w:ascii="Times New Roman" w:eastAsia="Times New Roman" w:hAnsi="Times New Roman" w:cs="Times New Roman"/>
          <w:sz w:val="24"/>
          <w:szCs w:val="24"/>
        </w:rPr>
        <w:t>Nöstlinger</w:t>
      </w:r>
      <w:proofErr w:type="spellEnd"/>
      <w:r w:rsidRPr="00CA2730">
        <w:rPr>
          <w:rFonts w:ascii="Times New Roman" w:eastAsia="Times New Roman" w:hAnsi="Times New Roman" w:cs="Times New Roman"/>
          <w:sz w:val="24"/>
          <w:szCs w:val="24"/>
        </w:rPr>
        <w:t xml:space="preserve">, C., Wouters, E., Okonkwo, P., Jwanle, P., Van Belle, S., &amp; Laga, M. (2023). Understanding why and how youth-friendly health services improve viral load suppression among adolescents and young people living with HIV in Nigeria: Realist evaluation with qualitative comparative analysis. </w:t>
      </w:r>
      <w:r w:rsidRPr="00CA2730">
        <w:rPr>
          <w:rFonts w:ascii="Times New Roman" w:eastAsia="Times New Roman" w:hAnsi="Times New Roman" w:cs="Times New Roman"/>
          <w:i/>
          <w:iCs/>
          <w:sz w:val="24"/>
          <w:szCs w:val="24"/>
        </w:rPr>
        <w:t>BMJ Global Health</w:t>
      </w:r>
      <w:r w:rsidRPr="00CA2730">
        <w:rPr>
          <w:rFonts w:ascii="Times New Roman" w:eastAsia="Times New Roman" w:hAnsi="Times New Roman" w:cs="Times New Roman"/>
          <w:sz w:val="24"/>
          <w:szCs w:val="24"/>
        </w:rPr>
        <w:t xml:space="preserve">, 8(9), e012600. </w:t>
      </w:r>
      <w:hyperlink w:tgtFrame="_blank" w:history="1">
        <w:r w:rsidRPr="00CA2730">
          <w:rPr>
            <w:rStyle w:val="Hyperlink"/>
            <w:rFonts w:ascii="Times New Roman" w:eastAsia="Times New Roman" w:hAnsi="Times New Roman" w:cs="Times New Roman"/>
            <w:sz w:val="24"/>
            <w:szCs w:val="24"/>
          </w:rPr>
          <w:t>https://doi.org/10.1136/bmjgh-2023-012600</w:t>
        </w:r>
      </w:hyperlink>
    </w:p>
    <w:p w14:paraId="6C792C66"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Blandford, A., et al. (2022). Health system fragmentation and viral suppression outcomes in sub-Saharan Africa: A multi-country analysis. </w:t>
      </w:r>
      <w:r w:rsidRPr="00CA2730">
        <w:rPr>
          <w:rFonts w:ascii="Times New Roman" w:eastAsia="Times New Roman" w:hAnsi="Times New Roman" w:cs="Times New Roman"/>
          <w:i/>
          <w:iCs/>
          <w:sz w:val="24"/>
          <w:szCs w:val="24"/>
        </w:rPr>
        <w:t>The Lancet Global Health</w:t>
      </w:r>
      <w:r w:rsidRPr="00CA2730">
        <w:rPr>
          <w:rFonts w:ascii="Times New Roman" w:eastAsia="Times New Roman" w:hAnsi="Times New Roman" w:cs="Times New Roman"/>
          <w:sz w:val="24"/>
          <w:szCs w:val="24"/>
        </w:rPr>
        <w:t>, 10(5), e685-e694.</w:t>
      </w:r>
    </w:p>
    <w:p w14:paraId="7FA947A7"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Bronfenbrenner, U. (1979). </w:t>
      </w:r>
      <w:r w:rsidRPr="00CA2730">
        <w:rPr>
          <w:rFonts w:ascii="Times New Roman" w:eastAsia="Times New Roman" w:hAnsi="Times New Roman" w:cs="Times New Roman"/>
          <w:i/>
          <w:iCs/>
          <w:sz w:val="24"/>
          <w:szCs w:val="24"/>
        </w:rPr>
        <w:t>The ecology of human development: Experiments by nature and design</w:t>
      </w:r>
      <w:r w:rsidRPr="00CA2730">
        <w:rPr>
          <w:rFonts w:ascii="Times New Roman" w:eastAsia="Times New Roman" w:hAnsi="Times New Roman" w:cs="Times New Roman"/>
          <w:sz w:val="24"/>
          <w:szCs w:val="24"/>
        </w:rPr>
        <w:t>. Harvard University Press.</w:t>
      </w:r>
    </w:p>
    <w:p w14:paraId="1C2EC296"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proofErr w:type="spellStart"/>
      <w:r w:rsidRPr="00CA2730">
        <w:rPr>
          <w:rFonts w:ascii="Times New Roman" w:eastAsia="Times New Roman" w:hAnsi="Times New Roman" w:cs="Times New Roman"/>
          <w:sz w:val="24"/>
          <w:szCs w:val="24"/>
        </w:rPr>
        <w:t>Bulage</w:t>
      </w:r>
      <w:proofErr w:type="spellEnd"/>
      <w:r w:rsidRPr="00CA2730">
        <w:rPr>
          <w:rFonts w:ascii="Times New Roman" w:eastAsia="Times New Roman" w:hAnsi="Times New Roman" w:cs="Times New Roman"/>
          <w:sz w:val="24"/>
          <w:szCs w:val="24"/>
        </w:rPr>
        <w:t xml:space="preserve">, L., </w:t>
      </w:r>
      <w:proofErr w:type="spellStart"/>
      <w:r w:rsidRPr="00CA2730">
        <w:rPr>
          <w:rFonts w:ascii="Times New Roman" w:eastAsia="Times New Roman" w:hAnsi="Times New Roman" w:cs="Times New Roman"/>
          <w:sz w:val="24"/>
          <w:szCs w:val="24"/>
        </w:rPr>
        <w:t>Ssewanyana</w:t>
      </w:r>
      <w:proofErr w:type="spellEnd"/>
      <w:r w:rsidRPr="00CA2730">
        <w:rPr>
          <w:rFonts w:ascii="Times New Roman" w:eastAsia="Times New Roman" w:hAnsi="Times New Roman" w:cs="Times New Roman"/>
          <w:sz w:val="24"/>
          <w:szCs w:val="24"/>
        </w:rPr>
        <w:t xml:space="preserve">, I., Nankabirwa, V., Nsubuga, F., </w:t>
      </w:r>
      <w:proofErr w:type="spellStart"/>
      <w:r w:rsidRPr="00CA2730">
        <w:rPr>
          <w:rFonts w:ascii="Times New Roman" w:eastAsia="Times New Roman" w:hAnsi="Times New Roman" w:cs="Times New Roman"/>
          <w:sz w:val="24"/>
          <w:szCs w:val="24"/>
        </w:rPr>
        <w:t>Kihembo</w:t>
      </w:r>
      <w:proofErr w:type="spellEnd"/>
      <w:r w:rsidRPr="00CA2730">
        <w:rPr>
          <w:rFonts w:ascii="Times New Roman" w:eastAsia="Times New Roman" w:hAnsi="Times New Roman" w:cs="Times New Roman"/>
          <w:sz w:val="24"/>
          <w:szCs w:val="24"/>
        </w:rPr>
        <w:t xml:space="preserve">, C., Pande, G., &amp; Ario, A. R. (2021). Factors associated with virological non-suppression among HIV-positive patients on antiretroviral therapy in Uganda. </w:t>
      </w:r>
      <w:r w:rsidRPr="00CA2730">
        <w:rPr>
          <w:rFonts w:ascii="Times New Roman" w:eastAsia="Times New Roman" w:hAnsi="Times New Roman" w:cs="Times New Roman"/>
          <w:i/>
          <w:iCs/>
          <w:sz w:val="24"/>
          <w:szCs w:val="24"/>
        </w:rPr>
        <w:t>BMC Infectious Diseases</w:t>
      </w:r>
      <w:r w:rsidRPr="00CA2730">
        <w:rPr>
          <w:rFonts w:ascii="Times New Roman" w:eastAsia="Times New Roman" w:hAnsi="Times New Roman" w:cs="Times New Roman"/>
          <w:sz w:val="24"/>
          <w:szCs w:val="24"/>
        </w:rPr>
        <w:t xml:space="preserve">, 17(1), 326. </w:t>
      </w:r>
      <w:hyperlink w:tgtFrame="_blank" w:history="1">
        <w:r w:rsidRPr="00CA2730">
          <w:rPr>
            <w:rStyle w:val="Hyperlink"/>
            <w:rFonts w:ascii="Times New Roman" w:eastAsia="Times New Roman" w:hAnsi="Times New Roman" w:cs="Times New Roman"/>
            <w:sz w:val="24"/>
            <w:szCs w:val="24"/>
          </w:rPr>
          <w:t>https://doi.org/10.1186/s12879-017-2428-3</w:t>
        </w:r>
      </w:hyperlink>
    </w:p>
    <w:p w14:paraId="48EBC424"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Calmy, A., Tovar-</w:t>
      </w:r>
      <w:proofErr w:type="spellStart"/>
      <w:r w:rsidRPr="00CA2730">
        <w:rPr>
          <w:rFonts w:ascii="Times New Roman" w:eastAsia="Times New Roman" w:hAnsi="Times New Roman" w:cs="Times New Roman"/>
          <w:sz w:val="24"/>
          <w:szCs w:val="24"/>
        </w:rPr>
        <w:t>Hazbun</w:t>
      </w:r>
      <w:proofErr w:type="spellEnd"/>
      <w:r w:rsidRPr="00CA2730">
        <w:rPr>
          <w:rFonts w:ascii="Times New Roman" w:eastAsia="Times New Roman" w:hAnsi="Times New Roman" w:cs="Times New Roman"/>
          <w:sz w:val="24"/>
          <w:szCs w:val="24"/>
        </w:rPr>
        <w:t xml:space="preserve">, C. P., &amp; Adler, D. (2020). Dolutegravir-based regimens in antiretroviral-naive adults (NAMSAL): 96-week results. </w:t>
      </w:r>
      <w:r w:rsidRPr="00CA2730">
        <w:rPr>
          <w:rFonts w:ascii="Times New Roman" w:eastAsia="Times New Roman" w:hAnsi="Times New Roman" w:cs="Times New Roman"/>
          <w:i/>
          <w:iCs/>
          <w:sz w:val="24"/>
          <w:szCs w:val="24"/>
        </w:rPr>
        <w:t>The Lancet HIV</w:t>
      </w:r>
      <w:r w:rsidRPr="00CA2730">
        <w:rPr>
          <w:rFonts w:ascii="Times New Roman" w:eastAsia="Times New Roman" w:hAnsi="Times New Roman" w:cs="Times New Roman"/>
          <w:sz w:val="24"/>
          <w:szCs w:val="24"/>
        </w:rPr>
        <w:t xml:space="preserve">, 7(10), e677-e687. </w:t>
      </w:r>
      <w:hyperlink w:tgtFrame="_blank" w:history="1">
        <w:r w:rsidRPr="00CA2730">
          <w:rPr>
            <w:rStyle w:val="Hyperlink"/>
            <w:rFonts w:ascii="Times New Roman" w:eastAsia="Times New Roman" w:hAnsi="Times New Roman" w:cs="Times New Roman"/>
            <w:sz w:val="24"/>
            <w:szCs w:val="24"/>
          </w:rPr>
          <w:t>https://doi.org/10.1016/S2352-3018(20)30230-7</w:t>
        </w:r>
      </w:hyperlink>
    </w:p>
    <w:p w14:paraId="17D07624"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Casalini, C., </w:t>
      </w:r>
      <w:proofErr w:type="spellStart"/>
      <w:r w:rsidRPr="00CA2730">
        <w:rPr>
          <w:rFonts w:ascii="Times New Roman" w:eastAsia="Times New Roman" w:hAnsi="Times New Roman" w:cs="Times New Roman"/>
          <w:sz w:val="24"/>
          <w:szCs w:val="24"/>
        </w:rPr>
        <w:t>Bateganya</w:t>
      </w:r>
      <w:proofErr w:type="spellEnd"/>
      <w:r w:rsidRPr="00CA2730">
        <w:rPr>
          <w:rFonts w:ascii="Times New Roman" w:eastAsia="Times New Roman" w:hAnsi="Times New Roman" w:cs="Times New Roman"/>
          <w:sz w:val="24"/>
          <w:szCs w:val="24"/>
        </w:rPr>
        <w:t xml:space="preserve">, M., Akolo, C., Sanwo, O., Idemudia, A., </w:t>
      </w:r>
      <w:proofErr w:type="spellStart"/>
      <w:r w:rsidRPr="00CA2730">
        <w:rPr>
          <w:rFonts w:ascii="Times New Roman" w:eastAsia="Times New Roman" w:hAnsi="Times New Roman" w:cs="Times New Roman"/>
          <w:sz w:val="24"/>
          <w:szCs w:val="24"/>
        </w:rPr>
        <w:t>Nwaokoro</w:t>
      </w:r>
      <w:proofErr w:type="spellEnd"/>
      <w:r w:rsidRPr="00CA2730">
        <w:rPr>
          <w:rFonts w:ascii="Times New Roman" w:eastAsia="Times New Roman" w:hAnsi="Times New Roman" w:cs="Times New Roman"/>
          <w:sz w:val="24"/>
          <w:szCs w:val="24"/>
        </w:rPr>
        <w:t>, P., Eyam, F., Ogbechie, M. D., Obiora-</w:t>
      </w:r>
      <w:proofErr w:type="spellStart"/>
      <w:r w:rsidRPr="00CA2730">
        <w:rPr>
          <w:rFonts w:ascii="Times New Roman" w:eastAsia="Times New Roman" w:hAnsi="Times New Roman" w:cs="Times New Roman"/>
          <w:sz w:val="24"/>
          <w:szCs w:val="24"/>
        </w:rPr>
        <w:t>Okafo</w:t>
      </w:r>
      <w:proofErr w:type="spellEnd"/>
      <w:r w:rsidRPr="00CA2730">
        <w:rPr>
          <w:rFonts w:ascii="Times New Roman" w:eastAsia="Times New Roman" w:hAnsi="Times New Roman" w:cs="Times New Roman"/>
          <w:sz w:val="24"/>
          <w:szCs w:val="24"/>
        </w:rPr>
        <w:t xml:space="preserve">, C., Oduola, A., Wilcher, R., Mack, N., </w:t>
      </w:r>
      <w:proofErr w:type="spellStart"/>
      <w:r w:rsidRPr="00CA2730">
        <w:rPr>
          <w:rFonts w:ascii="Times New Roman" w:eastAsia="Times New Roman" w:hAnsi="Times New Roman" w:cs="Times New Roman"/>
          <w:sz w:val="24"/>
          <w:szCs w:val="24"/>
        </w:rPr>
        <w:t>Khamofu</w:t>
      </w:r>
      <w:proofErr w:type="spellEnd"/>
      <w:r w:rsidRPr="00CA2730">
        <w:rPr>
          <w:rFonts w:ascii="Times New Roman" w:eastAsia="Times New Roman" w:hAnsi="Times New Roman" w:cs="Times New Roman"/>
          <w:sz w:val="24"/>
          <w:szCs w:val="24"/>
        </w:rPr>
        <w:t xml:space="preserve">, H., &amp; Pandey, S. R. (2023). Increasing </w:t>
      </w:r>
      <w:proofErr w:type="spellStart"/>
      <w:r w:rsidRPr="00CA2730">
        <w:rPr>
          <w:rFonts w:ascii="Times New Roman" w:eastAsia="Times New Roman" w:hAnsi="Times New Roman" w:cs="Times New Roman"/>
          <w:sz w:val="24"/>
          <w:szCs w:val="24"/>
        </w:rPr>
        <w:t>multimonth</w:t>
      </w:r>
      <w:proofErr w:type="spellEnd"/>
      <w:r w:rsidRPr="00CA2730">
        <w:rPr>
          <w:rFonts w:ascii="Times New Roman" w:eastAsia="Times New Roman" w:hAnsi="Times New Roman" w:cs="Times New Roman"/>
          <w:sz w:val="24"/>
          <w:szCs w:val="24"/>
        </w:rPr>
        <w:t xml:space="preserve"> dispensing of antiretrovirals and assessing the effect on viral load suppression among children and adolescents receiving HIV services in Nigeria. </w:t>
      </w:r>
      <w:r w:rsidRPr="00CA2730">
        <w:rPr>
          <w:rFonts w:ascii="Times New Roman" w:eastAsia="Times New Roman" w:hAnsi="Times New Roman" w:cs="Times New Roman"/>
          <w:i/>
          <w:iCs/>
          <w:sz w:val="24"/>
          <w:szCs w:val="24"/>
        </w:rPr>
        <w:t>PLOS One</w:t>
      </w:r>
      <w:r w:rsidRPr="00CA2730">
        <w:rPr>
          <w:rFonts w:ascii="Times New Roman" w:eastAsia="Times New Roman" w:hAnsi="Times New Roman" w:cs="Times New Roman"/>
          <w:sz w:val="24"/>
          <w:szCs w:val="24"/>
        </w:rPr>
        <w:t xml:space="preserve">, 18(6), e0286303. </w:t>
      </w:r>
      <w:hyperlink w:tgtFrame="_blank" w:history="1">
        <w:r w:rsidRPr="00CA2730">
          <w:rPr>
            <w:rStyle w:val="Hyperlink"/>
            <w:rFonts w:ascii="Times New Roman" w:eastAsia="Times New Roman" w:hAnsi="Times New Roman" w:cs="Times New Roman"/>
            <w:sz w:val="24"/>
            <w:szCs w:val="24"/>
          </w:rPr>
          <w:t>https://doi.org/10.1371/journal.pone.0286303</w:t>
        </w:r>
      </w:hyperlink>
    </w:p>
    <w:p w14:paraId="33510D7C"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Chun, H. M., et al. (2023). National viral suppression trends following dolutegravir scale-up in sub-Saharan Africa. </w:t>
      </w:r>
      <w:r w:rsidRPr="00CA2730">
        <w:rPr>
          <w:rFonts w:ascii="Times New Roman" w:eastAsia="Times New Roman" w:hAnsi="Times New Roman" w:cs="Times New Roman"/>
          <w:i/>
          <w:iCs/>
          <w:sz w:val="24"/>
          <w:szCs w:val="24"/>
        </w:rPr>
        <w:t>Journal of the International AIDS Society</w:t>
      </w:r>
      <w:r w:rsidRPr="00CA2730">
        <w:rPr>
          <w:rFonts w:ascii="Times New Roman" w:eastAsia="Times New Roman" w:hAnsi="Times New Roman" w:cs="Times New Roman"/>
          <w:sz w:val="24"/>
          <w:szCs w:val="24"/>
        </w:rPr>
        <w:t>, 26(4), e26015.</w:t>
      </w:r>
    </w:p>
    <w:p w14:paraId="477F0FAF"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proofErr w:type="spellStart"/>
      <w:r w:rsidRPr="00CA2730">
        <w:rPr>
          <w:rFonts w:ascii="Times New Roman" w:eastAsia="Times New Roman" w:hAnsi="Times New Roman" w:cs="Times New Roman"/>
          <w:sz w:val="24"/>
          <w:szCs w:val="24"/>
        </w:rPr>
        <w:t>Enane</w:t>
      </w:r>
      <w:proofErr w:type="spellEnd"/>
      <w:r w:rsidRPr="00CA2730">
        <w:rPr>
          <w:rFonts w:ascii="Times New Roman" w:eastAsia="Times New Roman" w:hAnsi="Times New Roman" w:cs="Times New Roman"/>
          <w:sz w:val="24"/>
          <w:szCs w:val="24"/>
        </w:rPr>
        <w:t xml:space="preserve">, L. A., Davies, M. A., Leroy, V., Edmonds, A., </w:t>
      </w:r>
      <w:proofErr w:type="spellStart"/>
      <w:r w:rsidRPr="00CA2730">
        <w:rPr>
          <w:rFonts w:ascii="Times New Roman" w:eastAsia="Times New Roman" w:hAnsi="Times New Roman" w:cs="Times New Roman"/>
          <w:sz w:val="24"/>
          <w:szCs w:val="24"/>
        </w:rPr>
        <w:t>Abuogi</w:t>
      </w:r>
      <w:proofErr w:type="spellEnd"/>
      <w:r w:rsidRPr="00CA2730">
        <w:rPr>
          <w:rFonts w:ascii="Times New Roman" w:eastAsia="Times New Roman" w:hAnsi="Times New Roman" w:cs="Times New Roman"/>
          <w:sz w:val="24"/>
          <w:szCs w:val="24"/>
        </w:rPr>
        <w:t xml:space="preserve">, L., Diallo, M. B., &amp; Wools-Kaloustian, K. (2021). Traversing the cascade: Urgent research priorities for the implementation and scale-up of pediatric and adolescent HIV treatment in sub-Saharan Africa. </w:t>
      </w:r>
      <w:r w:rsidRPr="00CA2730">
        <w:rPr>
          <w:rFonts w:ascii="Times New Roman" w:eastAsia="Times New Roman" w:hAnsi="Times New Roman" w:cs="Times New Roman"/>
          <w:i/>
          <w:iCs/>
          <w:sz w:val="24"/>
          <w:szCs w:val="24"/>
        </w:rPr>
        <w:t>Journal of the International AIDS Society</w:t>
      </w:r>
      <w:r w:rsidRPr="00CA2730">
        <w:rPr>
          <w:rFonts w:ascii="Times New Roman" w:eastAsia="Times New Roman" w:hAnsi="Times New Roman" w:cs="Times New Roman"/>
          <w:sz w:val="24"/>
          <w:szCs w:val="24"/>
        </w:rPr>
        <w:t xml:space="preserve">, 21(Suppl 1), e25107. </w:t>
      </w:r>
      <w:hyperlink w:tgtFrame="_blank" w:history="1">
        <w:r w:rsidRPr="00CA2730">
          <w:rPr>
            <w:rStyle w:val="Hyperlink"/>
            <w:rFonts w:ascii="Times New Roman" w:eastAsia="Times New Roman" w:hAnsi="Times New Roman" w:cs="Times New Roman"/>
            <w:sz w:val="24"/>
            <w:szCs w:val="24"/>
          </w:rPr>
          <w:t>https://doi.org/10.1002/jia2.25107</w:t>
        </w:r>
      </w:hyperlink>
    </w:p>
    <w:p w14:paraId="70898AE8"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Ford, N., Orrell, C., Shubber, Z., Apollo, T., &amp; Vojnov, L. (2020). HIV viral suppression in people initiating antiretroviral therapy compared with established users in sub-Saharan Africa. </w:t>
      </w:r>
      <w:r w:rsidRPr="00CA2730">
        <w:rPr>
          <w:rFonts w:ascii="Times New Roman" w:eastAsia="Times New Roman" w:hAnsi="Times New Roman" w:cs="Times New Roman"/>
          <w:i/>
          <w:iCs/>
          <w:sz w:val="24"/>
          <w:szCs w:val="24"/>
        </w:rPr>
        <w:t>Journal of the International AIDS Society</w:t>
      </w:r>
      <w:r w:rsidRPr="00CA2730">
        <w:rPr>
          <w:rFonts w:ascii="Times New Roman" w:eastAsia="Times New Roman" w:hAnsi="Times New Roman" w:cs="Times New Roman"/>
          <w:sz w:val="24"/>
          <w:szCs w:val="24"/>
        </w:rPr>
        <w:t xml:space="preserve">, 23(11), e25647. </w:t>
      </w:r>
      <w:hyperlink w:tgtFrame="_blank" w:history="1">
        <w:r w:rsidRPr="00CA2730">
          <w:rPr>
            <w:rStyle w:val="Hyperlink"/>
            <w:rFonts w:ascii="Times New Roman" w:eastAsia="Times New Roman" w:hAnsi="Times New Roman" w:cs="Times New Roman"/>
            <w:sz w:val="24"/>
            <w:szCs w:val="24"/>
          </w:rPr>
          <w:t>https://doi.org/10.1002/jia2.25647</w:t>
        </w:r>
      </w:hyperlink>
    </w:p>
    <w:p w14:paraId="67A2DA6B"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lastRenderedPageBreak/>
        <w:t xml:space="preserve">Girón Callejas, A., Lorenzana, R., Pickles, M., </w:t>
      </w:r>
      <w:proofErr w:type="spellStart"/>
      <w:r w:rsidRPr="00CA2730">
        <w:rPr>
          <w:rFonts w:ascii="Times New Roman" w:eastAsia="Times New Roman" w:hAnsi="Times New Roman" w:cs="Times New Roman"/>
          <w:sz w:val="24"/>
          <w:szCs w:val="24"/>
        </w:rPr>
        <w:t>Inzaule</w:t>
      </w:r>
      <w:proofErr w:type="spellEnd"/>
      <w:r w:rsidRPr="00CA2730">
        <w:rPr>
          <w:rFonts w:ascii="Times New Roman" w:eastAsia="Times New Roman" w:hAnsi="Times New Roman" w:cs="Times New Roman"/>
          <w:sz w:val="24"/>
          <w:szCs w:val="24"/>
        </w:rPr>
        <w:t xml:space="preserve">, S., Jordan, M. R., Diaz, S., &amp; Boily, M. C. (2025). High HIV viral suppression among adults receiving WHO-recommended first-line dolutegravir-based antiretroviral therapy in low- and middle-income countries: A systematic review and meta-analysis of programmatic evidence. </w:t>
      </w:r>
      <w:r w:rsidRPr="00CA2730">
        <w:rPr>
          <w:rFonts w:ascii="Times New Roman" w:eastAsia="Times New Roman" w:hAnsi="Times New Roman" w:cs="Times New Roman"/>
          <w:i/>
          <w:iCs/>
          <w:sz w:val="24"/>
          <w:szCs w:val="24"/>
        </w:rPr>
        <w:t>AIDS Research and Therapy</w:t>
      </w:r>
      <w:r w:rsidRPr="00CA2730">
        <w:rPr>
          <w:rFonts w:ascii="Times New Roman" w:eastAsia="Times New Roman" w:hAnsi="Times New Roman" w:cs="Times New Roman"/>
          <w:sz w:val="24"/>
          <w:szCs w:val="24"/>
        </w:rPr>
        <w:t xml:space="preserve">, 22(1), 91. </w:t>
      </w:r>
      <w:hyperlink w:tgtFrame="_blank" w:history="1">
        <w:r w:rsidRPr="00CA2730">
          <w:rPr>
            <w:rStyle w:val="Hyperlink"/>
            <w:rFonts w:ascii="Times New Roman" w:eastAsia="Times New Roman" w:hAnsi="Times New Roman" w:cs="Times New Roman"/>
            <w:sz w:val="24"/>
            <w:szCs w:val="24"/>
          </w:rPr>
          <w:t>https://doi.org/10.1186/s12981-025-00788-8</w:t>
        </w:r>
      </w:hyperlink>
    </w:p>
    <w:p w14:paraId="6DA229B0"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Girón Callejas, A., </w:t>
      </w:r>
      <w:proofErr w:type="spellStart"/>
      <w:r w:rsidRPr="00CA2730">
        <w:rPr>
          <w:rFonts w:ascii="Times New Roman" w:eastAsia="Times New Roman" w:hAnsi="Times New Roman" w:cs="Times New Roman"/>
          <w:sz w:val="24"/>
          <w:szCs w:val="24"/>
        </w:rPr>
        <w:t>Nsanzimana</w:t>
      </w:r>
      <w:proofErr w:type="spellEnd"/>
      <w:r w:rsidRPr="00CA2730">
        <w:rPr>
          <w:rFonts w:ascii="Times New Roman" w:eastAsia="Times New Roman" w:hAnsi="Times New Roman" w:cs="Times New Roman"/>
          <w:sz w:val="24"/>
          <w:szCs w:val="24"/>
        </w:rPr>
        <w:t xml:space="preserve">, S., Aliyu, G., &amp; Hill, A. (2025). Viral suppression on dolutegravir-based first-line therapy in low- and middle-income countries: Systematic review and meta-analysis. </w:t>
      </w:r>
      <w:r w:rsidRPr="00CA2730">
        <w:rPr>
          <w:rFonts w:ascii="Times New Roman" w:eastAsia="Times New Roman" w:hAnsi="Times New Roman" w:cs="Times New Roman"/>
          <w:i/>
          <w:iCs/>
          <w:sz w:val="24"/>
          <w:szCs w:val="24"/>
        </w:rPr>
        <w:t>Journal of the International AIDS Society</w:t>
      </w:r>
      <w:r w:rsidRPr="00CA2730">
        <w:rPr>
          <w:rFonts w:ascii="Times New Roman" w:eastAsia="Times New Roman" w:hAnsi="Times New Roman" w:cs="Times New Roman"/>
          <w:sz w:val="24"/>
          <w:szCs w:val="24"/>
        </w:rPr>
        <w:t>, 28(2), e26123.</w:t>
      </w:r>
    </w:p>
    <w:p w14:paraId="01263795"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Golden, S. D., &amp; Earp, J. A. L. (2012). Social ecological approaches to individuals and their contexts: Twenty years of health education and behavior health promotion interventions. </w:t>
      </w:r>
      <w:r w:rsidRPr="00CA2730">
        <w:rPr>
          <w:rFonts w:ascii="Times New Roman" w:eastAsia="Times New Roman" w:hAnsi="Times New Roman" w:cs="Times New Roman"/>
          <w:i/>
          <w:iCs/>
          <w:sz w:val="24"/>
          <w:szCs w:val="24"/>
        </w:rPr>
        <w:t>Health Education and Behavior</w:t>
      </w:r>
      <w:r w:rsidRPr="00CA2730">
        <w:rPr>
          <w:rFonts w:ascii="Times New Roman" w:eastAsia="Times New Roman" w:hAnsi="Times New Roman" w:cs="Times New Roman"/>
          <w:sz w:val="24"/>
          <w:szCs w:val="24"/>
        </w:rPr>
        <w:t xml:space="preserve">, 39(3), 364-372. </w:t>
      </w:r>
      <w:hyperlink w:tgtFrame="_blank" w:history="1">
        <w:r w:rsidRPr="00CA2730">
          <w:rPr>
            <w:rStyle w:val="Hyperlink"/>
            <w:rFonts w:ascii="Times New Roman" w:eastAsia="Times New Roman" w:hAnsi="Times New Roman" w:cs="Times New Roman"/>
            <w:sz w:val="24"/>
            <w:szCs w:val="24"/>
          </w:rPr>
          <w:t>https://doi.org/10.1177/1090198111418102</w:t>
        </w:r>
      </w:hyperlink>
    </w:p>
    <w:p w14:paraId="322EFF4F"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Grimsrud, A., Sharp, J., Kalombo, C., Bekker, L. G., &amp; Myer, L. (2020). Implementation of community-based adherence clubs for stable antiretroviral therapy patients in Cape Town, South Africa. </w:t>
      </w:r>
      <w:r w:rsidRPr="00CA2730">
        <w:rPr>
          <w:rFonts w:ascii="Times New Roman" w:eastAsia="Times New Roman" w:hAnsi="Times New Roman" w:cs="Times New Roman"/>
          <w:i/>
          <w:iCs/>
          <w:sz w:val="24"/>
          <w:szCs w:val="24"/>
        </w:rPr>
        <w:t>Journal of the International AIDS Society</w:t>
      </w:r>
      <w:r w:rsidRPr="00CA2730">
        <w:rPr>
          <w:rFonts w:ascii="Times New Roman" w:eastAsia="Times New Roman" w:hAnsi="Times New Roman" w:cs="Times New Roman"/>
          <w:sz w:val="24"/>
          <w:szCs w:val="24"/>
        </w:rPr>
        <w:t xml:space="preserve">, 18(1), 19984. </w:t>
      </w:r>
      <w:hyperlink w:tgtFrame="_blank" w:history="1">
        <w:r w:rsidRPr="00CA2730">
          <w:rPr>
            <w:rStyle w:val="Hyperlink"/>
            <w:rFonts w:ascii="Times New Roman" w:eastAsia="Times New Roman" w:hAnsi="Times New Roman" w:cs="Times New Roman"/>
            <w:sz w:val="24"/>
            <w:szCs w:val="24"/>
          </w:rPr>
          <w:t>https://doi.org/10.7448/IAS.18.1.19984</w:t>
        </w:r>
      </w:hyperlink>
    </w:p>
    <w:p w14:paraId="50054BAC"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Gunaratne, K., Adetunji, A., Mthembu, N., Pillay, D., &amp; Siedner, M. J. (2025). Impact of PEPFAR funding disruptions on viral load suppression in South African HIV cohorts. </w:t>
      </w:r>
      <w:r w:rsidRPr="00CA2730">
        <w:rPr>
          <w:rFonts w:ascii="Times New Roman" w:eastAsia="Times New Roman" w:hAnsi="Times New Roman" w:cs="Times New Roman"/>
          <w:i/>
          <w:iCs/>
          <w:sz w:val="24"/>
          <w:szCs w:val="24"/>
        </w:rPr>
        <w:t>The Lancet HIV</w:t>
      </w:r>
      <w:r w:rsidRPr="00CA2730">
        <w:rPr>
          <w:rFonts w:ascii="Times New Roman" w:eastAsia="Times New Roman" w:hAnsi="Times New Roman" w:cs="Times New Roman"/>
          <w:sz w:val="24"/>
          <w:szCs w:val="24"/>
        </w:rPr>
        <w:t>, 12(3), e148-e157.</w:t>
      </w:r>
    </w:p>
    <w:p w14:paraId="7634DFE2"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Gunaratne, S. H., Tieu, H. V., Wilkin, T. J., &amp; Taylor, B. S. (2025). CROI 2025: The challenges of sustaining viral suppression, addressing advanced HIV disease, and ending the HIV epidemic targets. </w:t>
      </w:r>
      <w:r w:rsidRPr="00CA2730">
        <w:rPr>
          <w:rFonts w:ascii="Times New Roman" w:eastAsia="Times New Roman" w:hAnsi="Times New Roman" w:cs="Times New Roman"/>
          <w:i/>
          <w:iCs/>
          <w:sz w:val="24"/>
          <w:szCs w:val="24"/>
        </w:rPr>
        <w:t>Topics in Antiviral Medicine</w:t>
      </w:r>
      <w:r w:rsidRPr="00CA2730">
        <w:rPr>
          <w:rFonts w:ascii="Times New Roman" w:eastAsia="Times New Roman" w:hAnsi="Times New Roman" w:cs="Times New Roman"/>
          <w:sz w:val="24"/>
          <w:szCs w:val="24"/>
        </w:rPr>
        <w:t>, 33(3), 569-595.</w:t>
      </w:r>
    </w:p>
    <w:p w14:paraId="657DD3E4"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Haas, A. D., Zaniewski, E., Anderegg, N., Ford, N., Fox, M. P., Hobbins, M., &amp; Egger, M. (2022). Retention and mortality on antiretroviral therapy in sub-Saharan Africa. </w:t>
      </w:r>
      <w:r w:rsidRPr="00CA2730">
        <w:rPr>
          <w:rFonts w:ascii="Times New Roman" w:eastAsia="Times New Roman" w:hAnsi="Times New Roman" w:cs="Times New Roman"/>
          <w:i/>
          <w:iCs/>
          <w:sz w:val="24"/>
          <w:szCs w:val="24"/>
        </w:rPr>
        <w:t>Tropical Medicine and International Health</w:t>
      </w:r>
      <w:r w:rsidRPr="00CA2730">
        <w:rPr>
          <w:rFonts w:ascii="Times New Roman" w:eastAsia="Times New Roman" w:hAnsi="Times New Roman" w:cs="Times New Roman"/>
          <w:sz w:val="24"/>
          <w:szCs w:val="24"/>
        </w:rPr>
        <w:t xml:space="preserve">, 21(7), 875-885. </w:t>
      </w:r>
      <w:hyperlink w:tgtFrame="_blank" w:history="1">
        <w:r w:rsidRPr="00CA2730">
          <w:rPr>
            <w:rStyle w:val="Hyperlink"/>
            <w:rFonts w:ascii="Times New Roman" w:eastAsia="Times New Roman" w:hAnsi="Times New Roman" w:cs="Times New Roman"/>
            <w:sz w:val="24"/>
            <w:szCs w:val="24"/>
          </w:rPr>
          <w:t>https://doi.org/10.1111/tmi.12614</w:t>
        </w:r>
      </w:hyperlink>
    </w:p>
    <w:p w14:paraId="2736B629"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Haeri Mazanderani, A., et al. (2023). Stability of viral suppression among adults receiving antiretroviral therapy in South Africa's national program. </w:t>
      </w:r>
      <w:r w:rsidRPr="00CA2730">
        <w:rPr>
          <w:rFonts w:ascii="Times New Roman" w:eastAsia="Times New Roman" w:hAnsi="Times New Roman" w:cs="Times New Roman"/>
          <w:i/>
          <w:iCs/>
          <w:sz w:val="24"/>
          <w:szCs w:val="24"/>
        </w:rPr>
        <w:t>The Lancet HIV</w:t>
      </w:r>
      <w:r w:rsidRPr="00CA2730">
        <w:rPr>
          <w:rFonts w:ascii="Times New Roman" w:eastAsia="Times New Roman" w:hAnsi="Times New Roman" w:cs="Times New Roman"/>
          <w:sz w:val="24"/>
          <w:szCs w:val="24"/>
        </w:rPr>
        <w:t>, 10(8), e515-e524.</w:t>
      </w:r>
    </w:p>
    <w:p w14:paraId="78F6FEAF"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Hox, J. J., </w:t>
      </w:r>
      <w:proofErr w:type="spellStart"/>
      <w:r w:rsidRPr="00CA2730">
        <w:rPr>
          <w:rFonts w:ascii="Times New Roman" w:eastAsia="Times New Roman" w:hAnsi="Times New Roman" w:cs="Times New Roman"/>
          <w:sz w:val="24"/>
          <w:szCs w:val="24"/>
        </w:rPr>
        <w:t>Moerbeek</w:t>
      </w:r>
      <w:proofErr w:type="spellEnd"/>
      <w:r w:rsidRPr="00CA2730">
        <w:rPr>
          <w:rFonts w:ascii="Times New Roman" w:eastAsia="Times New Roman" w:hAnsi="Times New Roman" w:cs="Times New Roman"/>
          <w:sz w:val="24"/>
          <w:szCs w:val="24"/>
        </w:rPr>
        <w:t xml:space="preserve">, M., &amp; Van de Schoot, R. (2018). </w:t>
      </w:r>
      <w:r w:rsidRPr="00CA2730">
        <w:rPr>
          <w:rFonts w:ascii="Times New Roman" w:eastAsia="Times New Roman" w:hAnsi="Times New Roman" w:cs="Times New Roman"/>
          <w:i/>
          <w:iCs/>
          <w:sz w:val="24"/>
          <w:szCs w:val="24"/>
        </w:rPr>
        <w:t>Multilevel analysis: Techniques and applications</w:t>
      </w:r>
      <w:r w:rsidRPr="00CA2730">
        <w:rPr>
          <w:rFonts w:ascii="Times New Roman" w:eastAsia="Times New Roman" w:hAnsi="Times New Roman" w:cs="Times New Roman"/>
          <w:sz w:val="24"/>
          <w:szCs w:val="24"/>
        </w:rPr>
        <w:t xml:space="preserve"> (3rd ed.). Routledge.</w:t>
      </w:r>
    </w:p>
    <w:p w14:paraId="36957DD4"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proofErr w:type="spellStart"/>
      <w:r w:rsidRPr="00CA2730">
        <w:rPr>
          <w:rFonts w:ascii="Times New Roman" w:eastAsia="Times New Roman" w:hAnsi="Times New Roman" w:cs="Times New Roman"/>
          <w:sz w:val="24"/>
          <w:szCs w:val="24"/>
        </w:rPr>
        <w:t>Huerga</w:t>
      </w:r>
      <w:proofErr w:type="spellEnd"/>
      <w:r w:rsidRPr="00CA2730">
        <w:rPr>
          <w:rFonts w:ascii="Times New Roman" w:eastAsia="Times New Roman" w:hAnsi="Times New Roman" w:cs="Times New Roman"/>
          <w:sz w:val="24"/>
          <w:szCs w:val="24"/>
        </w:rPr>
        <w:t xml:space="preserve">, H., Van Cutsem, G., Ben Farhat, J., Puren, A., </w:t>
      </w:r>
      <w:proofErr w:type="spellStart"/>
      <w:r w:rsidRPr="00CA2730">
        <w:rPr>
          <w:rFonts w:ascii="Times New Roman" w:eastAsia="Times New Roman" w:hAnsi="Times New Roman" w:cs="Times New Roman"/>
          <w:sz w:val="24"/>
          <w:szCs w:val="24"/>
        </w:rPr>
        <w:t>Bouhenia</w:t>
      </w:r>
      <w:proofErr w:type="spellEnd"/>
      <w:r w:rsidRPr="00CA2730">
        <w:rPr>
          <w:rFonts w:ascii="Times New Roman" w:eastAsia="Times New Roman" w:hAnsi="Times New Roman" w:cs="Times New Roman"/>
          <w:sz w:val="24"/>
          <w:szCs w:val="24"/>
        </w:rPr>
        <w:t xml:space="preserve">, M., Wiesner, L., &amp; Ellman, T. (2021). Progress toward the UNAIDS 90-90-90 goals by gender, age and residence in Lesotho. </w:t>
      </w:r>
      <w:r w:rsidRPr="00CA2730">
        <w:rPr>
          <w:rFonts w:ascii="Times New Roman" w:eastAsia="Times New Roman" w:hAnsi="Times New Roman" w:cs="Times New Roman"/>
          <w:i/>
          <w:iCs/>
          <w:sz w:val="24"/>
          <w:szCs w:val="24"/>
        </w:rPr>
        <w:t>BMC Public Health</w:t>
      </w:r>
      <w:r w:rsidRPr="00CA2730">
        <w:rPr>
          <w:rFonts w:ascii="Times New Roman" w:eastAsia="Times New Roman" w:hAnsi="Times New Roman" w:cs="Times New Roman"/>
          <w:sz w:val="24"/>
          <w:szCs w:val="24"/>
        </w:rPr>
        <w:t xml:space="preserve">, 19(1), 689. </w:t>
      </w:r>
      <w:hyperlink w:tgtFrame="_blank" w:history="1">
        <w:r w:rsidRPr="00CA2730">
          <w:rPr>
            <w:rStyle w:val="Hyperlink"/>
            <w:rFonts w:ascii="Times New Roman" w:eastAsia="Times New Roman" w:hAnsi="Times New Roman" w:cs="Times New Roman"/>
            <w:sz w:val="24"/>
            <w:szCs w:val="24"/>
          </w:rPr>
          <w:t>https://doi.org/10.1186/s12889-019-7060-1</w:t>
        </w:r>
      </w:hyperlink>
    </w:p>
    <w:p w14:paraId="20090A68" w14:textId="77777777" w:rsidR="001E2609" w:rsidRDefault="001E2609"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p>
    <w:p w14:paraId="15E0E9D6"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lastRenderedPageBreak/>
        <w:t xml:space="preserve">Ibiloye, O., Decroo, T., Eyona, N., Eze, P., &amp; Agada, P. (2018). Characteristics and early clinical outcomes of key populations attending comprehensive community-based HIV care: Experiences from Nasarawa State, Nigeria. </w:t>
      </w:r>
      <w:r w:rsidRPr="00CA2730">
        <w:rPr>
          <w:rFonts w:ascii="Times New Roman" w:eastAsia="Times New Roman" w:hAnsi="Times New Roman" w:cs="Times New Roman"/>
          <w:i/>
          <w:iCs/>
          <w:sz w:val="24"/>
          <w:szCs w:val="24"/>
        </w:rPr>
        <w:t>PLOS One</w:t>
      </w:r>
      <w:r w:rsidRPr="00CA2730">
        <w:rPr>
          <w:rFonts w:ascii="Times New Roman" w:eastAsia="Times New Roman" w:hAnsi="Times New Roman" w:cs="Times New Roman"/>
          <w:sz w:val="24"/>
          <w:szCs w:val="24"/>
        </w:rPr>
        <w:t xml:space="preserve">, 13(12), e0209477. </w:t>
      </w:r>
      <w:hyperlink w:tgtFrame="_blank" w:history="1">
        <w:r w:rsidRPr="00CA2730">
          <w:rPr>
            <w:rStyle w:val="Hyperlink"/>
            <w:rFonts w:ascii="Times New Roman" w:eastAsia="Times New Roman" w:hAnsi="Times New Roman" w:cs="Times New Roman"/>
            <w:sz w:val="24"/>
            <w:szCs w:val="24"/>
          </w:rPr>
          <w:t>https://doi.org/10.1371/journal.pone.0209477</w:t>
        </w:r>
      </w:hyperlink>
    </w:p>
    <w:p w14:paraId="7077771A"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Ikpe, S. I., Ade, B., Gambo, A., Nowak, R., Sorkin, J. D., </w:t>
      </w:r>
      <w:proofErr w:type="spellStart"/>
      <w:r w:rsidRPr="00CA2730">
        <w:rPr>
          <w:rFonts w:ascii="Times New Roman" w:eastAsia="Times New Roman" w:hAnsi="Times New Roman" w:cs="Times New Roman"/>
          <w:sz w:val="24"/>
          <w:szCs w:val="24"/>
        </w:rPr>
        <w:t>Charurat</w:t>
      </w:r>
      <w:proofErr w:type="spellEnd"/>
      <w:r w:rsidRPr="00CA2730">
        <w:rPr>
          <w:rFonts w:ascii="Times New Roman" w:eastAsia="Times New Roman" w:hAnsi="Times New Roman" w:cs="Times New Roman"/>
          <w:sz w:val="24"/>
          <w:szCs w:val="24"/>
        </w:rPr>
        <w:t xml:space="preserve">, M., &amp; </w:t>
      </w:r>
      <w:proofErr w:type="spellStart"/>
      <w:r w:rsidRPr="00CA2730">
        <w:rPr>
          <w:rFonts w:ascii="Times New Roman" w:eastAsia="Times New Roman" w:hAnsi="Times New Roman" w:cs="Times New Roman"/>
          <w:sz w:val="24"/>
          <w:szCs w:val="24"/>
        </w:rPr>
        <w:t>Ndembi</w:t>
      </w:r>
      <w:proofErr w:type="spellEnd"/>
      <w:r w:rsidRPr="00CA2730">
        <w:rPr>
          <w:rFonts w:ascii="Times New Roman" w:eastAsia="Times New Roman" w:hAnsi="Times New Roman" w:cs="Times New Roman"/>
          <w:sz w:val="24"/>
          <w:szCs w:val="24"/>
        </w:rPr>
        <w:t xml:space="preserve">, N. (2025). Predictors of interruptions in antiretroviral therapy among people living with HIV in Nigeria: A retrospective cohort study using the Nigeria national data repository. </w:t>
      </w:r>
      <w:r w:rsidRPr="00CA2730">
        <w:rPr>
          <w:rFonts w:ascii="Times New Roman" w:eastAsia="Times New Roman" w:hAnsi="Times New Roman" w:cs="Times New Roman"/>
          <w:i/>
          <w:iCs/>
          <w:sz w:val="24"/>
          <w:szCs w:val="24"/>
        </w:rPr>
        <w:t>PLOS One</w:t>
      </w:r>
      <w:r w:rsidRPr="00CA2730">
        <w:rPr>
          <w:rFonts w:ascii="Times New Roman" w:eastAsia="Times New Roman" w:hAnsi="Times New Roman" w:cs="Times New Roman"/>
          <w:sz w:val="24"/>
          <w:szCs w:val="24"/>
        </w:rPr>
        <w:t xml:space="preserve">, 20(3), e0300937. </w:t>
      </w:r>
      <w:hyperlink w:tgtFrame="_blank" w:history="1">
        <w:r w:rsidRPr="00CA2730">
          <w:rPr>
            <w:rStyle w:val="Hyperlink"/>
            <w:rFonts w:ascii="Times New Roman" w:eastAsia="Times New Roman" w:hAnsi="Times New Roman" w:cs="Times New Roman"/>
            <w:sz w:val="24"/>
            <w:szCs w:val="24"/>
          </w:rPr>
          <w:t>https://doi.org/10.1371/journal.pone.0300937</w:t>
        </w:r>
      </w:hyperlink>
    </w:p>
    <w:p w14:paraId="322121C6"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Imhonopi, G. B., Salawu, M. M., Olasunkanmi, Y. A., </w:t>
      </w:r>
      <w:proofErr w:type="spellStart"/>
      <w:r w:rsidRPr="00CA2730">
        <w:rPr>
          <w:rFonts w:ascii="Times New Roman" w:eastAsia="Times New Roman" w:hAnsi="Times New Roman" w:cs="Times New Roman"/>
          <w:sz w:val="24"/>
          <w:szCs w:val="24"/>
        </w:rPr>
        <w:t>Okedare</w:t>
      </w:r>
      <w:proofErr w:type="spellEnd"/>
      <w:r w:rsidRPr="00CA2730">
        <w:rPr>
          <w:rFonts w:ascii="Times New Roman" w:eastAsia="Times New Roman" w:hAnsi="Times New Roman" w:cs="Times New Roman"/>
          <w:sz w:val="24"/>
          <w:szCs w:val="24"/>
        </w:rPr>
        <w:t xml:space="preserve">, O. O., &amp; Ahmed, A. (2024). Clinical predictors and correlates of viral suppression among adults accessing care at the HIV clinic in federal medical center, Abeokuta, Ogun state, Nigeria: A retrospective cohort study. </w:t>
      </w:r>
      <w:r w:rsidRPr="00CA2730">
        <w:rPr>
          <w:rFonts w:ascii="Times New Roman" w:eastAsia="Times New Roman" w:hAnsi="Times New Roman" w:cs="Times New Roman"/>
          <w:i/>
          <w:iCs/>
          <w:sz w:val="24"/>
          <w:szCs w:val="24"/>
        </w:rPr>
        <w:t>BMC Infectious Diseases</w:t>
      </w:r>
      <w:r w:rsidRPr="00CA2730">
        <w:rPr>
          <w:rFonts w:ascii="Times New Roman" w:eastAsia="Times New Roman" w:hAnsi="Times New Roman" w:cs="Times New Roman"/>
          <w:sz w:val="24"/>
          <w:szCs w:val="24"/>
        </w:rPr>
        <w:t xml:space="preserve">, 24, 10237. </w:t>
      </w:r>
      <w:hyperlink w:tgtFrame="_blank" w:history="1">
        <w:r w:rsidRPr="00CA2730">
          <w:rPr>
            <w:rStyle w:val="Hyperlink"/>
            <w:rFonts w:ascii="Times New Roman" w:eastAsia="Times New Roman" w:hAnsi="Times New Roman" w:cs="Times New Roman"/>
            <w:sz w:val="24"/>
            <w:szCs w:val="24"/>
          </w:rPr>
          <w:t>https://doi.org/10.1186/s12879-024-10237-y</w:t>
        </w:r>
      </w:hyperlink>
    </w:p>
    <w:p w14:paraId="3C197030"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proofErr w:type="spellStart"/>
      <w:r w:rsidRPr="00CA2730">
        <w:rPr>
          <w:rFonts w:ascii="Times New Roman" w:eastAsia="Times New Roman" w:hAnsi="Times New Roman" w:cs="Times New Roman"/>
          <w:sz w:val="24"/>
          <w:szCs w:val="24"/>
        </w:rPr>
        <w:t>Inzaule</w:t>
      </w:r>
      <w:proofErr w:type="spellEnd"/>
      <w:r w:rsidRPr="00CA2730">
        <w:rPr>
          <w:rFonts w:ascii="Times New Roman" w:eastAsia="Times New Roman" w:hAnsi="Times New Roman" w:cs="Times New Roman"/>
          <w:sz w:val="24"/>
          <w:szCs w:val="24"/>
        </w:rPr>
        <w:t xml:space="preserve">, S. C., Hamers, R. L., Noguera-Julian, M., </w:t>
      </w:r>
      <w:proofErr w:type="spellStart"/>
      <w:r w:rsidRPr="00CA2730">
        <w:rPr>
          <w:rFonts w:ascii="Times New Roman" w:eastAsia="Times New Roman" w:hAnsi="Times New Roman" w:cs="Times New Roman"/>
          <w:sz w:val="24"/>
          <w:szCs w:val="24"/>
        </w:rPr>
        <w:t>Casadellà</w:t>
      </w:r>
      <w:proofErr w:type="spellEnd"/>
      <w:r w:rsidRPr="00CA2730">
        <w:rPr>
          <w:rFonts w:ascii="Times New Roman" w:eastAsia="Times New Roman" w:hAnsi="Times New Roman" w:cs="Times New Roman"/>
          <w:sz w:val="24"/>
          <w:szCs w:val="24"/>
        </w:rPr>
        <w:t xml:space="preserve">, M., Paredes, R., &amp; Rinke de Wit, T. F. (2021). Etiologic diagnosis of </w:t>
      </w:r>
      <w:proofErr w:type="spellStart"/>
      <w:r w:rsidRPr="00CA2730">
        <w:rPr>
          <w:rFonts w:ascii="Times New Roman" w:eastAsia="Times New Roman" w:hAnsi="Times New Roman" w:cs="Times New Roman"/>
          <w:sz w:val="24"/>
          <w:szCs w:val="24"/>
        </w:rPr>
        <w:t>nonsevere</w:t>
      </w:r>
      <w:proofErr w:type="spellEnd"/>
      <w:r w:rsidRPr="00CA2730">
        <w:rPr>
          <w:rFonts w:ascii="Times New Roman" w:eastAsia="Times New Roman" w:hAnsi="Times New Roman" w:cs="Times New Roman"/>
          <w:sz w:val="24"/>
          <w:szCs w:val="24"/>
        </w:rPr>
        <w:t xml:space="preserve"> pneumonia in HIV-infected adults in Africa. </w:t>
      </w:r>
      <w:r w:rsidRPr="00CA2730">
        <w:rPr>
          <w:rFonts w:ascii="Times New Roman" w:eastAsia="Times New Roman" w:hAnsi="Times New Roman" w:cs="Times New Roman"/>
          <w:i/>
          <w:iCs/>
          <w:sz w:val="24"/>
          <w:szCs w:val="24"/>
        </w:rPr>
        <w:t>PLOS Medicine</w:t>
      </w:r>
      <w:r w:rsidRPr="00CA2730">
        <w:rPr>
          <w:rFonts w:ascii="Times New Roman" w:eastAsia="Times New Roman" w:hAnsi="Times New Roman" w:cs="Times New Roman"/>
          <w:sz w:val="24"/>
          <w:szCs w:val="24"/>
        </w:rPr>
        <w:t>, 18(1), e1003509.</w:t>
      </w:r>
    </w:p>
    <w:p w14:paraId="36F1B150"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proofErr w:type="spellStart"/>
      <w:r w:rsidRPr="00CA2730">
        <w:rPr>
          <w:rFonts w:ascii="Times New Roman" w:eastAsia="Times New Roman" w:hAnsi="Times New Roman" w:cs="Times New Roman"/>
          <w:sz w:val="24"/>
          <w:szCs w:val="24"/>
        </w:rPr>
        <w:t>Inzaule</w:t>
      </w:r>
      <w:proofErr w:type="spellEnd"/>
      <w:r w:rsidRPr="00CA2730">
        <w:rPr>
          <w:rFonts w:ascii="Times New Roman" w:eastAsia="Times New Roman" w:hAnsi="Times New Roman" w:cs="Times New Roman"/>
          <w:sz w:val="24"/>
          <w:szCs w:val="24"/>
        </w:rPr>
        <w:t xml:space="preserve">, S. C., Ondoa, P., Peter, T., et al. (2021). A review of the viral load testing landscape and the 3rd 95 target in Sub-Saharan Africa. </w:t>
      </w:r>
      <w:r w:rsidRPr="00CA2730">
        <w:rPr>
          <w:rFonts w:ascii="Times New Roman" w:eastAsia="Times New Roman" w:hAnsi="Times New Roman" w:cs="Times New Roman"/>
          <w:i/>
          <w:iCs/>
          <w:sz w:val="24"/>
          <w:szCs w:val="24"/>
        </w:rPr>
        <w:t>The Lancet HIV</w:t>
      </w:r>
      <w:r w:rsidRPr="00CA2730">
        <w:rPr>
          <w:rFonts w:ascii="Times New Roman" w:eastAsia="Times New Roman" w:hAnsi="Times New Roman" w:cs="Times New Roman"/>
          <w:sz w:val="24"/>
          <w:szCs w:val="24"/>
        </w:rPr>
        <w:t xml:space="preserve">, 8(3), e168-e178. </w:t>
      </w:r>
      <w:hyperlink w:tgtFrame="_blank" w:history="1">
        <w:r w:rsidRPr="00CA2730">
          <w:rPr>
            <w:rStyle w:val="Hyperlink"/>
            <w:rFonts w:ascii="Times New Roman" w:eastAsia="Times New Roman" w:hAnsi="Times New Roman" w:cs="Times New Roman"/>
            <w:sz w:val="24"/>
            <w:szCs w:val="24"/>
          </w:rPr>
          <w:t>https://doi.org/10.1016/S2352-3018(20)30301-5</w:t>
        </w:r>
      </w:hyperlink>
    </w:p>
    <w:p w14:paraId="712C15AA"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Isika, A. I., Shehu, A., Dahiru, T., Obi, I. F., Oku, A. O., Balogun, M. S., &amp; </w:t>
      </w:r>
      <w:proofErr w:type="spellStart"/>
      <w:r w:rsidRPr="00CA2730">
        <w:rPr>
          <w:rFonts w:ascii="Times New Roman" w:eastAsia="Times New Roman" w:hAnsi="Times New Roman" w:cs="Times New Roman"/>
          <w:sz w:val="24"/>
          <w:szCs w:val="24"/>
        </w:rPr>
        <w:t>Etokidem</w:t>
      </w:r>
      <w:proofErr w:type="spellEnd"/>
      <w:r w:rsidRPr="00CA2730">
        <w:rPr>
          <w:rFonts w:ascii="Times New Roman" w:eastAsia="Times New Roman" w:hAnsi="Times New Roman" w:cs="Times New Roman"/>
          <w:sz w:val="24"/>
          <w:szCs w:val="24"/>
        </w:rPr>
        <w:t xml:space="preserve">, A. (2022). Factors influencing adherence to antiretroviral therapy among HIV-infected adults in Cross River State, Nigeria: A cross-sectional study. </w:t>
      </w:r>
      <w:r w:rsidRPr="00CA2730">
        <w:rPr>
          <w:rFonts w:ascii="Times New Roman" w:eastAsia="Times New Roman" w:hAnsi="Times New Roman" w:cs="Times New Roman"/>
          <w:i/>
          <w:iCs/>
          <w:sz w:val="24"/>
          <w:szCs w:val="24"/>
        </w:rPr>
        <w:t>The Pan African Medical Journal</w:t>
      </w:r>
      <w:r w:rsidRPr="00CA2730">
        <w:rPr>
          <w:rFonts w:ascii="Times New Roman" w:eastAsia="Times New Roman" w:hAnsi="Times New Roman" w:cs="Times New Roman"/>
          <w:sz w:val="24"/>
          <w:szCs w:val="24"/>
        </w:rPr>
        <w:t xml:space="preserve">, 43, 187. </w:t>
      </w:r>
      <w:hyperlink w:tgtFrame="_blank" w:history="1">
        <w:r w:rsidRPr="00CA2730">
          <w:rPr>
            <w:rStyle w:val="Hyperlink"/>
            <w:rFonts w:ascii="Times New Roman" w:eastAsia="Times New Roman" w:hAnsi="Times New Roman" w:cs="Times New Roman"/>
            <w:sz w:val="24"/>
            <w:szCs w:val="24"/>
          </w:rPr>
          <w:t>https://doi.org/10.11604/pamj.2022.43.187.37172</w:t>
        </w:r>
      </w:hyperlink>
    </w:p>
    <w:p w14:paraId="4347FF29"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proofErr w:type="spellStart"/>
      <w:r w:rsidRPr="00CA2730">
        <w:rPr>
          <w:rFonts w:ascii="Times New Roman" w:eastAsia="Times New Roman" w:hAnsi="Times New Roman" w:cs="Times New Roman"/>
          <w:sz w:val="24"/>
          <w:szCs w:val="24"/>
        </w:rPr>
        <w:t>Kanters</w:t>
      </w:r>
      <w:proofErr w:type="spellEnd"/>
      <w:r w:rsidRPr="00CA2730">
        <w:rPr>
          <w:rFonts w:ascii="Times New Roman" w:eastAsia="Times New Roman" w:hAnsi="Times New Roman" w:cs="Times New Roman"/>
          <w:sz w:val="24"/>
          <w:szCs w:val="24"/>
        </w:rPr>
        <w:t xml:space="preserve">, S., Vitoria, M., &amp; Doherty, M. (2020). Comparative efficacy and safety of first-line antiretroviral therapy: A systematic review and network meta-analysis. </w:t>
      </w:r>
      <w:r w:rsidRPr="00CA2730">
        <w:rPr>
          <w:rFonts w:ascii="Times New Roman" w:eastAsia="Times New Roman" w:hAnsi="Times New Roman" w:cs="Times New Roman"/>
          <w:i/>
          <w:iCs/>
          <w:sz w:val="24"/>
          <w:szCs w:val="24"/>
        </w:rPr>
        <w:t>The Lancet HIV</w:t>
      </w:r>
      <w:r w:rsidRPr="00CA2730">
        <w:rPr>
          <w:rFonts w:ascii="Times New Roman" w:eastAsia="Times New Roman" w:hAnsi="Times New Roman" w:cs="Times New Roman"/>
          <w:sz w:val="24"/>
          <w:szCs w:val="24"/>
        </w:rPr>
        <w:t>, 7(3), e176-e184.</w:t>
      </w:r>
    </w:p>
    <w:p w14:paraId="3C14B105"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proofErr w:type="spellStart"/>
      <w:r w:rsidRPr="00CA2730">
        <w:rPr>
          <w:rFonts w:ascii="Times New Roman" w:eastAsia="Times New Roman" w:hAnsi="Times New Roman" w:cs="Times New Roman"/>
          <w:sz w:val="24"/>
          <w:szCs w:val="24"/>
        </w:rPr>
        <w:t>Katbi</w:t>
      </w:r>
      <w:proofErr w:type="spellEnd"/>
      <w:r w:rsidRPr="00CA2730">
        <w:rPr>
          <w:rFonts w:ascii="Times New Roman" w:eastAsia="Times New Roman" w:hAnsi="Times New Roman" w:cs="Times New Roman"/>
          <w:sz w:val="24"/>
          <w:szCs w:val="24"/>
        </w:rPr>
        <w:t xml:space="preserve">, M., Adeola, J., </w:t>
      </w:r>
      <w:proofErr w:type="spellStart"/>
      <w:r w:rsidRPr="00CA2730">
        <w:rPr>
          <w:rFonts w:ascii="Times New Roman" w:eastAsia="Times New Roman" w:hAnsi="Times New Roman" w:cs="Times New Roman"/>
          <w:sz w:val="24"/>
          <w:szCs w:val="24"/>
        </w:rPr>
        <w:t>Onyechesa</w:t>
      </w:r>
      <w:proofErr w:type="spellEnd"/>
      <w:r w:rsidRPr="00CA2730">
        <w:rPr>
          <w:rFonts w:ascii="Times New Roman" w:eastAsia="Times New Roman" w:hAnsi="Times New Roman" w:cs="Times New Roman"/>
          <w:sz w:val="24"/>
          <w:szCs w:val="24"/>
        </w:rPr>
        <w:t xml:space="preserve">, M., </w:t>
      </w:r>
      <w:proofErr w:type="spellStart"/>
      <w:r w:rsidRPr="00CA2730">
        <w:rPr>
          <w:rFonts w:ascii="Times New Roman" w:eastAsia="Times New Roman" w:hAnsi="Times New Roman" w:cs="Times New Roman"/>
          <w:sz w:val="24"/>
          <w:szCs w:val="24"/>
        </w:rPr>
        <w:t>Ozigbu</w:t>
      </w:r>
      <w:proofErr w:type="spellEnd"/>
      <w:r w:rsidRPr="00CA2730">
        <w:rPr>
          <w:rFonts w:ascii="Times New Roman" w:eastAsia="Times New Roman" w:hAnsi="Times New Roman" w:cs="Times New Roman"/>
          <w:sz w:val="24"/>
          <w:szCs w:val="24"/>
        </w:rPr>
        <w:t xml:space="preserve">, C., Ene, U., </w:t>
      </w:r>
      <w:proofErr w:type="spellStart"/>
      <w:r w:rsidRPr="00CA2730">
        <w:rPr>
          <w:rFonts w:ascii="Times New Roman" w:eastAsia="Times New Roman" w:hAnsi="Times New Roman" w:cs="Times New Roman"/>
          <w:sz w:val="24"/>
          <w:szCs w:val="24"/>
        </w:rPr>
        <w:t>Nwajide</w:t>
      </w:r>
      <w:proofErr w:type="spellEnd"/>
      <w:r w:rsidRPr="00CA2730">
        <w:rPr>
          <w:rFonts w:ascii="Times New Roman" w:eastAsia="Times New Roman" w:hAnsi="Times New Roman" w:cs="Times New Roman"/>
          <w:sz w:val="24"/>
          <w:szCs w:val="24"/>
        </w:rPr>
        <w:t xml:space="preserve">, O., Enejoh, V., &amp; Okoye, M. (2020). Virologic response among key populations living with HIV following a switch to dolutegravir-based regimen in Southern Nigeria. </w:t>
      </w:r>
      <w:r w:rsidRPr="00CA2730">
        <w:rPr>
          <w:rFonts w:ascii="Times New Roman" w:eastAsia="Times New Roman" w:hAnsi="Times New Roman" w:cs="Times New Roman"/>
          <w:i/>
          <w:iCs/>
          <w:sz w:val="24"/>
          <w:szCs w:val="24"/>
        </w:rPr>
        <w:t>International Journal of Virology and AIDS</w:t>
      </w:r>
      <w:r w:rsidRPr="00CA2730">
        <w:rPr>
          <w:rFonts w:ascii="Times New Roman" w:eastAsia="Times New Roman" w:hAnsi="Times New Roman" w:cs="Times New Roman"/>
          <w:sz w:val="24"/>
          <w:szCs w:val="24"/>
        </w:rPr>
        <w:t xml:space="preserve">, 7(1), 069. </w:t>
      </w:r>
      <w:hyperlink w:tgtFrame="_blank" w:history="1">
        <w:r w:rsidRPr="00CA2730">
          <w:rPr>
            <w:rStyle w:val="Hyperlink"/>
            <w:rFonts w:ascii="Times New Roman" w:eastAsia="Times New Roman" w:hAnsi="Times New Roman" w:cs="Times New Roman"/>
            <w:sz w:val="24"/>
            <w:szCs w:val="24"/>
          </w:rPr>
          <w:t>https://doi.org/10.23937/2469-567X/1510069</w:t>
        </w:r>
      </w:hyperlink>
    </w:p>
    <w:p w14:paraId="00D7E097"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proofErr w:type="spellStart"/>
      <w:r w:rsidRPr="00CA2730">
        <w:rPr>
          <w:rFonts w:ascii="Times New Roman" w:eastAsia="Times New Roman" w:hAnsi="Times New Roman" w:cs="Times New Roman"/>
          <w:sz w:val="24"/>
          <w:szCs w:val="24"/>
        </w:rPr>
        <w:t>Kwarisiima</w:t>
      </w:r>
      <w:proofErr w:type="spellEnd"/>
      <w:r w:rsidRPr="00CA2730">
        <w:rPr>
          <w:rFonts w:ascii="Times New Roman" w:eastAsia="Times New Roman" w:hAnsi="Times New Roman" w:cs="Times New Roman"/>
          <w:sz w:val="24"/>
          <w:szCs w:val="24"/>
        </w:rPr>
        <w:t xml:space="preserve">, D., Kamya, M. R., </w:t>
      </w:r>
      <w:proofErr w:type="spellStart"/>
      <w:r w:rsidRPr="00CA2730">
        <w:rPr>
          <w:rFonts w:ascii="Times New Roman" w:eastAsia="Times New Roman" w:hAnsi="Times New Roman" w:cs="Times New Roman"/>
          <w:sz w:val="24"/>
          <w:szCs w:val="24"/>
        </w:rPr>
        <w:t>Owaraganise</w:t>
      </w:r>
      <w:proofErr w:type="spellEnd"/>
      <w:r w:rsidRPr="00CA2730">
        <w:rPr>
          <w:rFonts w:ascii="Times New Roman" w:eastAsia="Times New Roman" w:hAnsi="Times New Roman" w:cs="Times New Roman"/>
          <w:sz w:val="24"/>
          <w:szCs w:val="24"/>
        </w:rPr>
        <w:t xml:space="preserve">, A., et al. (2021). Population-level viral suppression following universal test and treat: Results from the SEARCH trial in Kenya and Uganda. </w:t>
      </w:r>
      <w:r w:rsidRPr="00CA2730">
        <w:rPr>
          <w:rFonts w:ascii="Times New Roman" w:eastAsia="Times New Roman" w:hAnsi="Times New Roman" w:cs="Times New Roman"/>
          <w:i/>
          <w:iCs/>
          <w:sz w:val="24"/>
          <w:szCs w:val="24"/>
        </w:rPr>
        <w:t>Clinical Infectious Diseases</w:t>
      </w:r>
      <w:r w:rsidRPr="00CA2730">
        <w:rPr>
          <w:rFonts w:ascii="Times New Roman" w:eastAsia="Times New Roman" w:hAnsi="Times New Roman" w:cs="Times New Roman"/>
          <w:sz w:val="24"/>
          <w:szCs w:val="24"/>
        </w:rPr>
        <w:t>, 73(3), 446-454.</w:t>
      </w:r>
    </w:p>
    <w:p w14:paraId="74CFB72D"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Lin, Y., Walker, A., Batta, M., Ottilie-Kovelman, S., Duchenko, A., Brugger, C., Keiser, O., Wallis, R. S., Reither, K., &amp; Tediosi, F. (2024). Factors associated with viral load testing and viral suppression among HIV-positive female sex workers in Nigeria. </w:t>
      </w:r>
      <w:r w:rsidRPr="00CA2730">
        <w:rPr>
          <w:rFonts w:ascii="Times New Roman" w:eastAsia="Times New Roman" w:hAnsi="Times New Roman" w:cs="Times New Roman"/>
          <w:i/>
          <w:iCs/>
          <w:sz w:val="24"/>
          <w:szCs w:val="24"/>
        </w:rPr>
        <w:t>PLOS One</w:t>
      </w:r>
      <w:r w:rsidRPr="00CA2730">
        <w:rPr>
          <w:rFonts w:ascii="Times New Roman" w:eastAsia="Times New Roman" w:hAnsi="Times New Roman" w:cs="Times New Roman"/>
          <w:sz w:val="24"/>
          <w:szCs w:val="24"/>
        </w:rPr>
        <w:t xml:space="preserve">, 19(5), e0304487. </w:t>
      </w:r>
      <w:hyperlink w:tgtFrame="_blank" w:history="1">
        <w:r w:rsidRPr="00CA2730">
          <w:rPr>
            <w:rStyle w:val="Hyperlink"/>
            <w:rFonts w:ascii="Times New Roman" w:eastAsia="Times New Roman" w:hAnsi="Times New Roman" w:cs="Times New Roman"/>
            <w:sz w:val="24"/>
            <w:szCs w:val="24"/>
          </w:rPr>
          <w:t>https://doi.org/10.1371/journal.pone.0304487</w:t>
        </w:r>
      </w:hyperlink>
    </w:p>
    <w:p w14:paraId="5FB32DA3"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lastRenderedPageBreak/>
        <w:t xml:space="preserve">Mabizela, S., &amp; Van Wyk, B. (2022). Viral suppression among adolescents on HIV treatment in the Sedibeng District, Gauteng province. </w:t>
      </w:r>
      <w:proofErr w:type="spellStart"/>
      <w:r w:rsidRPr="00CA2730">
        <w:rPr>
          <w:rFonts w:ascii="Times New Roman" w:eastAsia="Times New Roman" w:hAnsi="Times New Roman" w:cs="Times New Roman"/>
          <w:i/>
          <w:iCs/>
          <w:sz w:val="24"/>
          <w:szCs w:val="24"/>
        </w:rPr>
        <w:t>Curationis</w:t>
      </w:r>
      <w:proofErr w:type="spellEnd"/>
      <w:r w:rsidRPr="00CA2730">
        <w:rPr>
          <w:rFonts w:ascii="Times New Roman" w:eastAsia="Times New Roman" w:hAnsi="Times New Roman" w:cs="Times New Roman"/>
          <w:sz w:val="24"/>
          <w:szCs w:val="24"/>
        </w:rPr>
        <w:t xml:space="preserve">, 45(1), e1-e8. </w:t>
      </w:r>
      <w:hyperlink w:tgtFrame="_blank" w:history="1">
        <w:r w:rsidRPr="00CA2730">
          <w:rPr>
            <w:rStyle w:val="Hyperlink"/>
            <w:rFonts w:ascii="Times New Roman" w:eastAsia="Times New Roman" w:hAnsi="Times New Roman" w:cs="Times New Roman"/>
            <w:sz w:val="24"/>
            <w:szCs w:val="24"/>
          </w:rPr>
          <w:t>https://doi.org/10.4102/curationis.v45i1.2312</w:t>
        </w:r>
      </w:hyperlink>
    </w:p>
    <w:p w14:paraId="77EAA7FE"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proofErr w:type="spellStart"/>
      <w:r w:rsidRPr="00CA2730">
        <w:rPr>
          <w:rFonts w:ascii="Times New Roman" w:eastAsia="Times New Roman" w:hAnsi="Times New Roman" w:cs="Times New Roman"/>
          <w:sz w:val="24"/>
          <w:szCs w:val="24"/>
        </w:rPr>
        <w:t>Mafolo</w:t>
      </w:r>
      <w:proofErr w:type="spellEnd"/>
      <w:r w:rsidRPr="00CA2730">
        <w:rPr>
          <w:rFonts w:ascii="Times New Roman" w:eastAsia="Times New Roman" w:hAnsi="Times New Roman" w:cs="Times New Roman"/>
          <w:sz w:val="24"/>
          <w:szCs w:val="24"/>
        </w:rPr>
        <w:t xml:space="preserve">, K. G., Cele, L., &amp; Mathibe, M. (2025). Viral load suppression among HIV positive adult patients on the first line antiretroviral treatment regimen in health facilities in the City of Ekurhuleni, Gauteng province, South Africa. </w:t>
      </w:r>
      <w:r w:rsidRPr="00CA2730">
        <w:rPr>
          <w:rFonts w:ascii="Times New Roman" w:eastAsia="Times New Roman" w:hAnsi="Times New Roman" w:cs="Times New Roman"/>
          <w:i/>
          <w:iCs/>
          <w:sz w:val="24"/>
          <w:szCs w:val="24"/>
        </w:rPr>
        <w:t>The Pan African Medical Journal</w:t>
      </w:r>
      <w:r w:rsidRPr="00CA2730">
        <w:rPr>
          <w:rFonts w:ascii="Times New Roman" w:eastAsia="Times New Roman" w:hAnsi="Times New Roman" w:cs="Times New Roman"/>
          <w:sz w:val="24"/>
          <w:szCs w:val="24"/>
        </w:rPr>
        <w:t xml:space="preserve">, 50, 48. </w:t>
      </w:r>
      <w:hyperlink w:tgtFrame="_blank" w:history="1">
        <w:r w:rsidRPr="00CA2730">
          <w:rPr>
            <w:rStyle w:val="Hyperlink"/>
            <w:rFonts w:ascii="Times New Roman" w:eastAsia="Times New Roman" w:hAnsi="Times New Roman" w:cs="Times New Roman"/>
            <w:sz w:val="24"/>
            <w:szCs w:val="24"/>
          </w:rPr>
          <w:t>https://doi.org/10.11604/pamj.2025.50.48.44102</w:t>
        </w:r>
      </w:hyperlink>
    </w:p>
    <w:p w14:paraId="003BBD0E"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McLeroy, K. R., Bibeau, D., Steckler, A., &amp; Glanz, K. (1988). An ecological perspective on health promotion programs. </w:t>
      </w:r>
      <w:r w:rsidRPr="00CA2730">
        <w:rPr>
          <w:rFonts w:ascii="Times New Roman" w:eastAsia="Times New Roman" w:hAnsi="Times New Roman" w:cs="Times New Roman"/>
          <w:i/>
          <w:iCs/>
          <w:sz w:val="24"/>
          <w:szCs w:val="24"/>
        </w:rPr>
        <w:t>Health Education Quarterly</w:t>
      </w:r>
      <w:r w:rsidRPr="00CA2730">
        <w:rPr>
          <w:rFonts w:ascii="Times New Roman" w:eastAsia="Times New Roman" w:hAnsi="Times New Roman" w:cs="Times New Roman"/>
          <w:sz w:val="24"/>
          <w:szCs w:val="24"/>
        </w:rPr>
        <w:t xml:space="preserve">, 15(4), 351-377. </w:t>
      </w:r>
      <w:hyperlink w:tgtFrame="_blank" w:history="1">
        <w:r w:rsidRPr="00CA2730">
          <w:rPr>
            <w:rStyle w:val="Hyperlink"/>
            <w:rFonts w:ascii="Times New Roman" w:eastAsia="Times New Roman" w:hAnsi="Times New Roman" w:cs="Times New Roman"/>
            <w:sz w:val="24"/>
            <w:szCs w:val="24"/>
          </w:rPr>
          <w:t>https://doi.org/10.1177/109019818801500401</w:t>
        </w:r>
      </w:hyperlink>
    </w:p>
    <w:p w14:paraId="0ED06648"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National Agency for the Control of AIDS. (2019). </w:t>
      </w:r>
      <w:r w:rsidRPr="00CA2730">
        <w:rPr>
          <w:rFonts w:ascii="Times New Roman" w:eastAsia="Times New Roman" w:hAnsi="Times New Roman" w:cs="Times New Roman"/>
          <w:i/>
          <w:iCs/>
          <w:sz w:val="24"/>
          <w:szCs w:val="24"/>
        </w:rPr>
        <w:t>Nigeria HIV/AIDS indicator and impact survey (NAIIS) national factsheet</w:t>
      </w:r>
      <w:r w:rsidRPr="00CA2730">
        <w:rPr>
          <w:rFonts w:ascii="Times New Roman" w:eastAsia="Times New Roman" w:hAnsi="Times New Roman" w:cs="Times New Roman"/>
          <w:sz w:val="24"/>
          <w:szCs w:val="24"/>
        </w:rPr>
        <w:t>. National Agency for the Control of AIDS.</w:t>
      </w:r>
    </w:p>
    <w:p w14:paraId="6BF0815E"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National Agency for the Control of AIDS. (2022). </w:t>
      </w:r>
      <w:r w:rsidRPr="00CA2730">
        <w:rPr>
          <w:rFonts w:ascii="Times New Roman" w:eastAsia="Times New Roman" w:hAnsi="Times New Roman" w:cs="Times New Roman"/>
          <w:i/>
          <w:iCs/>
          <w:sz w:val="24"/>
          <w:szCs w:val="24"/>
        </w:rPr>
        <w:t>Nigeria HIV/AIDS indicator and impact survey (NAIIS) 2018: Technical report</w:t>
      </w:r>
      <w:r w:rsidRPr="00CA2730">
        <w:rPr>
          <w:rFonts w:ascii="Times New Roman" w:eastAsia="Times New Roman" w:hAnsi="Times New Roman" w:cs="Times New Roman"/>
          <w:sz w:val="24"/>
          <w:szCs w:val="24"/>
        </w:rPr>
        <w:t>. National Agency for the Control of AIDS.</w:t>
      </w:r>
    </w:p>
    <w:p w14:paraId="049FD79D"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National Agency for the Control of AIDS. (2025). </w:t>
      </w:r>
      <w:r w:rsidRPr="00CA2730">
        <w:rPr>
          <w:rFonts w:ascii="Times New Roman" w:eastAsia="Times New Roman" w:hAnsi="Times New Roman" w:cs="Times New Roman"/>
          <w:i/>
          <w:iCs/>
          <w:sz w:val="24"/>
          <w:szCs w:val="24"/>
        </w:rPr>
        <w:t>Nigeria HIV program progress report 2025: 95, 95, 95 cascade update</w:t>
      </w:r>
      <w:r w:rsidRPr="00CA2730">
        <w:rPr>
          <w:rFonts w:ascii="Times New Roman" w:eastAsia="Times New Roman" w:hAnsi="Times New Roman" w:cs="Times New Roman"/>
          <w:sz w:val="24"/>
          <w:szCs w:val="24"/>
        </w:rPr>
        <w:t>. National Agency for the Control of AIDS.</w:t>
      </w:r>
    </w:p>
    <w:p w14:paraId="031F4D46"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Nigeria Health Watch. (2025). </w:t>
      </w:r>
      <w:r w:rsidRPr="00CA2730">
        <w:rPr>
          <w:rFonts w:ascii="Times New Roman" w:eastAsia="Times New Roman" w:hAnsi="Times New Roman" w:cs="Times New Roman"/>
          <w:i/>
          <w:iCs/>
          <w:sz w:val="24"/>
          <w:szCs w:val="24"/>
        </w:rPr>
        <w:t>The transition of HIV financing: Navigating the shift to domestic sustainability in Nigeria</w:t>
      </w:r>
      <w:r w:rsidRPr="00CA2730">
        <w:rPr>
          <w:rFonts w:ascii="Times New Roman" w:eastAsia="Times New Roman" w:hAnsi="Times New Roman" w:cs="Times New Roman"/>
          <w:sz w:val="24"/>
          <w:szCs w:val="24"/>
        </w:rPr>
        <w:t>. Health Watch Reports.</w:t>
      </w:r>
    </w:p>
    <w:p w14:paraId="62E4227C"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proofErr w:type="spellStart"/>
      <w:r w:rsidRPr="00CA2730">
        <w:rPr>
          <w:rFonts w:ascii="Times New Roman" w:eastAsia="Times New Roman" w:hAnsi="Times New Roman" w:cs="Times New Roman"/>
          <w:sz w:val="24"/>
          <w:szCs w:val="24"/>
        </w:rPr>
        <w:t>Nna</w:t>
      </w:r>
      <w:proofErr w:type="spellEnd"/>
      <w:r w:rsidRPr="00CA2730">
        <w:rPr>
          <w:rFonts w:ascii="Times New Roman" w:eastAsia="Times New Roman" w:hAnsi="Times New Roman" w:cs="Times New Roman"/>
          <w:sz w:val="24"/>
          <w:szCs w:val="24"/>
        </w:rPr>
        <w:t xml:space="preserve">, E. O., </w:t>
      </w:r>
      <w:proofErr w:type="spellStart"/>
      <w:r w:rsidRPr="00CA2730">
        <w:rPr>
          <w:rFonts w:ascii="Times New Roman" w:eastAsia="Times New Roman" w:hAnsi="Times New Roman" w:cs="Times New Roman"/>
          <w:sz w:val="24"/>
          <w:szCs w:val="24"/>
        </w:rPr>
        <w:t>Owhonda</w:t>
      </w:r>
      <w:proofErr w:type="spellEnd"/>
      <w:r w:rsidRPr="00CA2730">
        <w:rPr>
          <w:rFonts w:ascii="Times New Roman" w:eastAsia="Times New Roman" w:hAnsi="Times New Roman" w:cs="Times New Roman"/>
          <w:sz w:val="24"/>
          <w:szCs w:val="24"/>
        </w:rPr>
        <w:t xml:space="preserve">, G., &amp; Maduka, O. (2022). Gender differences in experiences of adherence to HIV/AIDS management among HIV-positive adults attending a tertiary hospital in Rivers State, Nigeria. </w:t>
      </w:r>
      <w:r w:rsidRPr="00CA2730">
        <w:rPr>
          <w:rFonts w:ascii="Times New Roman" w:eastAsia="Times New Roman" w:hAnsi="Times New Roman" w:cs="Times New Roman"/>
          <w:i/>
          <w:iCs/>
          <w:sz w:val="24"/>
          <w:szCs w:val="24"/>
        </w:rPr>
        <w:t>Journal of Community Medicine and Primary Health Care</w:t>
      </w:r>
      <w:r w:rsidRPr="00CA2730">
        <w:rPr>
          <w:rFonts w:ascii="Times New Roman" w:eastAsia="Times New Roman" w:hAnsi="Times New Roman" w:cs="Times New Roman"/>
          <w:sz w:val="24"/>
          <w:szCs w:val="24"/>
        </w:rPr>
        <w:t xml:space="preserve">, 34(3), 96-112. </w:t>
      </w:r>
      <w:hyperlink w:tgtFrame="_blank" w:history="1">
        <w:r w:rsidRPr="00CA2730">
          <w:rPr>
            <w:rStyle w:val="Hyperlink"/>
            <w:rFonts w:ascii="Times New Roman" w:eastAsia="Times New Roman" w:hAnsi="Times New Roman" w:cs="Times New Roman"/>
            <w:sz w:val="24"/>
            <w:szCs w:val="24"/>
          </w:rPr>
          <w:t>https://doi.org/10.4314/jcmphc.v34i3.7</w:t>
        </w:r>
      </w:hyperlink>
    </w:p>
    <w:p w14:paraId="650BE7C2"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Nwachukwu, C. C., Njelita, I. A., Eyisi, G. I., </w:t>
      </w:r>
      <w:proofErr w:type="spellStart"/>
      <w:r w:rsidRPr="00CA2730">
        <w:rPr>
          <w:rFonts w:ascii="Times New Roman" w:eastAsia="Times New Roman" w:hAnsi="Times New Roman" w:cs="Times New Roman"/>
          <w:sz w:val="24"/>
          <w:szCs w:val="24"/>
        </w:rPr>
        <w:t>Ezenyeaku</w:t>
      </w:r>
      <w:proofErr w:type="spellEnd"/>
      <w:r w:rsidRPr="00CA2730">
        <w:rPr>
          <w:rFonts w:ascii="Times New Roman" w:eastAsia="Times New Roman" w:hAnsi="Times New Roman" w:cs="Times New Roman"/>
          <w:sz w:val="24"/>
          <w:szCs w:val="24"/>
        </w:rPr>
        <w:t xml:space="preserve">, C. A., Nwachukwu, A. C., </w:t>
      </w:r>
      <w:proofErr w:type="spellStart"/>
      <w:r w:rsidRPr="00CA2730">
        <w:rPr>
          <w:rFonts w:ascii="Times New Roman" w:eastAsia="Times New Roman" w:hAnsi="Times New Roman" w:cs="Times New Roman"/>
          <w:sz w:val="24"/>
          <w:szCs w:val="24"/>
        </w:rPr>
        <w:t>Okechi</w:t>
      </w:r>
      <w:proofErr w:type="spellEnd"/>
      <w:r w:rsidRPr="00CA2730">
        <w:rPr>
          <w:rFonts w:ascii="Times New Roman" w:eastAsia="Times New Roman" w:hAnsi="Times New Roman" w:cs="Times New Roman"/>
          <w:sz w:val="24"/>
          <w:szCs w:val="24"/>
        </w:rPr>
        <w:t xml:space="preserve">, O., &amp; </w:t>
      </w:r>
      <w:proofErr w:type="spellStart"/>
      <w:r w:rsidRPr="00CA2730">
        <w:rPr>
          <w:rFonts w:ascii="Times New Roman" w:eastAsia="Times New Roman" w:hAnsi="Times New Roman" w:cs="Times New Roman"/>
          <w:sz w:val="24"/>
          <w:szCs w:val="24"/>
        </w:rPr>
        <w:t>Agbata</w:t>
      </w:r>
      <w:proofErr w:type="spellEnd"/>
      <w:r w:rsidRPr="00CA2730">
        <w:rPr>
          <w:rFonts w:ascii="Times New Roman" w:eastAsia="Times New Roman" w:hAnsi="Times New Roman" w:cs="Times New Roman"/>
          <w:sz w:val="24"/>
          <w:szCs w:val="24"/>
        </w:rPr>
        <w:t xml:space="preserve">, A. (2023). Treatment outcomes for HIV patients on three HAART regimens in South East Nigeria: A comparative study. </w:t>
      </w:r>
      <w:r w:rsidRPr="00CA2730">
        <w:rPr>
          <w:rFonts w:ascii="Times New Roman" w:eastAsia="Times New Roman" w:hAnsi="Times New Roman" w:cs="Times New Roman"/>
          <w:i/>
          <w:iCs/>
          <w:sz w:val="24"/>
          <w:szCs w:val="24"/>
        </w:rPr>
        <w:t>American Journal of Public Health Research</w:t>
      </w:r>
      <w:r w:rsidRPr="00CA2730">
        <w:rPr>
          <w:rFonts w:ascii="Times New Roman" w:eastAsia="Times New Roman" w:hAnsi="Times New Roman" w:cs="Times New Roman"/>
          <w:sz w:val="24"/>
          <w:szCs w:val="24"/>
        </w:rPr>
        <w:t xml:space="preserve">, 11(2), 75-83. </w:t>
      </w:r>
      <w:hyperlink w:tgtFrame="_blank" w:history="1">
        <w:r w:rsidRPr="00CA2730">
          <w:rPr>
            <w:rStyle w:val="Hyperlink"/>
            <w:rFonts w:ascii="Times New Roman" w:eastAsia="Times New Roman" w:hAnsi="Times New Roman" w:cs="Times New Roman"/>
            <w:sz w:val="24"/>
            <w:szCs w:val="24"/>
          </w:rPr>
          <w:t>https://doi.org/10.12691/ajphr-11-2-6</w:t>
        </w:r>
      </w:hyperlink>
    </w:p>
    <w:p w14:paraId="14C6DFDC"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Obasa, G. B., </w:t>
      </w:r>
      <w:proofErr w:type="spellStart"/>
      <w:r w:rsidRPr="00CA2730">
        <w:rPr>
          <w:rFonts w:ascii="Times New Roman" w:eastAsia="Times New Roman" w:hAnsi="Times New Roman" w:cs="Times New Roman"/>
          <w:sz w:val="24"/>
          <w:szCs w:val="24"/>
        </w:rPr>
        <w:t>Ijaiya</w:t>
      </w:r>
      <w:proofErr w:type="spellEnd"/>
      <w:r w:rsidRPr="00CA2730">
        <w:rPr>
          <w:rFonts w:ascii="Times New Roman" w:eastAsia="Times New Roman" w:hAnsi="Times New Roman" w:cs="Times New Roman"/>
          <w:sz w:val="24"/>
          <w:szCs w:val="24"/>
        </w:rPr>
        <w:t xml:space="preserve">, M., </w:t>
      </w:r>
      <w:proofErr w:type="spellStart"/>
      <w:r w:rsidRPr="00CA2730">
        <w:rPr>
          <w:rFonts w:ascii="Times New Roman" w:eastAsia="Times New Roman" w:hAnsi="Times New Roman" w:cs="Times New Roman"/>
          <w:sz w:val="24"/>
          <w:szCs w:val="24"/>
        </w:rPr>
        <w:t>Okwor</w:t>
      </w:r>
      <w:proofErr w:type="spellEnd"/>
      <w:r w:rsidRPr="00CA2730">
        <w:rPr>
          <w:rFonts w:ascii="Times New Roman" w:eastAsia="Times New Roman" w:hAnsi="Times New Roman" w:cs="Times New Roman"/>
          <w:sz w:val="24"/>
          <w:szCs w:val="24"/>
        </w:rPr>
        <w:t xml:space="preserve">, E., Dare, B., </w:t>
      </w:r>
      <w:proofErr w:type="spellStart"/>
      <w:r w:rsidRPr="00CA2730">
        <w:rPr>
          <w:rFonts w:ascii="Times New Roman" w:eastAsia="Times New Roman" w:hAnsi="Times New Roman" w:cs="Times New Roman"/>
          <w:sz w:val="24"/>
          <w:szCs w:val="24"/>
        </w:rPr>
        <w:t>Emerenini</w:t>
      </w:r>
      <w:proofErr w:type="spellEnd"/>
      <w:r w:rsidRPr="00CA2730">
        <w:rPr>
          <w:rFonts w:ascii="Times New Roman" w:eastAsia="Times New Roman" w:hAnsi="Times New Roman" w:cs="Times New Roman"/>
          <w:sz w:val="24"/>
          <w:szCs w:val="24"/>
        </w:rPr>
        <w:t xml:space="preserve">, F., </w:t>
      </w:r>
      <w:proofErr w:type="spellStart"/>
      <w:r w:rsidRPr="00CA2730">
        <w:rPr>
          <w:rFonts w:ascii="Times New Roman" w:eastAsia="Times New Roman" w:hAnsi="Times New Roman" w:cs="Times New Roman"/>
          <w:sz w:val="24"/>
          <w:szCs w:val="24"/>
        </w:rPr>
        <w:t>Oladigbolu</w:t>
      </w:r>
      <w:proofErr w:type="spellEnd"/>
      <w:r w:rsidRPr="00CA2730">
        <w:rPr>
          <w:rFonts w:ascii="Times New Roman" w:eastAsia="Times New Roman" w:hAnsi="Times New Roman" w:cs="Times New Roman"/>
          <w:sz w:val="24"/>
          <w:szCs w:val="24"/>
        </w:rPr>
        <w:t xml:space="preserve">, R., et al. (2024). Factors associated with viral load re-suppression after enhanced adherence counseling among people living with HIV with an initial high viral load result in selected Nigerian states. </w:t>
      </w:r>
      <w:r w:rsidRPr="00CA2730">
        <w:rPr>
          <w:rFonts w:ascii="Times New Roman" w:eastAsia="Times New Roman" w:hAnsi="Times New Roman" w:cs="Times New Roman"/>
          <w:i/>
          <w:iCs/>
          <w:sz w:val="24"/>
          <w:szCs w:val="24"/>
        </w:rPr>
        <w:t>PLOS Global Public Health</w:t>
      </w:r>
      <w:r w:rsidRPr="00CA2730">
        <w:rPr>
          <w:rFonts w:ascii="Times New Roman" w:eastAsia="Times New Roman" w:hAnsi="Times New Roman" w:cs="Times New Roman"/>
          <w:sz w:val="24"/>
          <w:szCs w:val="24"/>
        </w:rPr>
        <w:t xml:space="preserve">, 4(11), e0002876. </w:t>
      </w:r>
      <w:hyperlink w:tgtFrame="_blank" w:history="1">
        <w:r w:rsidRPr="00CA2730">
          <w:rPr>
            <w:rStyle w:val="Hyperlink"/>
            <w:rFonts w:ascii="Times New Roman" w:eastAsia="Times New Roman" w:hAnsi="Times New Roman" w:cs="Times New Roman"/>
            <w:sz w:val="24"/>
            <w:szCs w:val="24"/>
          </w:rPr>
          <w:t>https://doi.org/10.1371/journal.pgph.0002876</w:t>
        </w:r>
      </w:hyperlink>
    </w:p>
    <w:p w14:paraId="2C86C15B"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Ochie, K. M., &amp; Eze, F. N. (2023). Towards 95-95-95: A review of the last decade of HIV viral suppression in Nigeria. </w:t>
      </w:r>
      <w:r w:rsidRPr="00CA2730">
        <w:rPr>
          <w:rFonts w:ascii="Times New Roman" w:eastAsia="Times New Roman" w:hAnsi="Times New Roman" w:cs="Times New Roman"/>
          <w:i/>
          <w:iCs/>
          <w:sz w:val="24"/>
          <w:szCs w:val="24"/>
        </w:rPr>
        <w:t>African Journal of Pharmaceutical Research and Development</w:t>
      </w:r>
      <w:r w:rsidRPr="00CA2730">
        <w:rPr>
          <w:rFonts w:ascii="Times New Roman" w:eastAsia="Times New Roman" w:hAnsi="Times New Roman" w:cs="Times New Roman"/>
          <w:sz w:val="24"/>
          <w:szCs w:val="24"/>
        </w:rPr>
        <w:t>, 15(3), 23-34.</w:t>
      </w:r>
    </w:p>
    <w:p w14:paraId="48B49002"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lastRenderedPageBreak/>
        <w:t xml:space="preserve">Ochieng, A. B., Ouma, J., </w:t>
      </w:r>
      <w:proofErr w:type="spellStart"/>
      <w:r w:rsidRPr="00CA2730">
        <w:rPr>
          <w:rFonts w:ascii="Times New Roman" w:eastAsia="Times New Roman" w:hAnsi="Times New Roman" w:cs="Times New Roman"/>
          <w:sz w:val="24"/>
          <w:szCs w:val="24"/>
        </w:rPr>
        <w:t>Mudhune</w:t>
      </w:r>
      <w:proofErr w:type="spellEnd"/>
      <w:r w:rsidRPr="00CA2730">
        <w:rPr>
          <w:rFonts w:ascii="Times New Roman" w:eastAsia="Times New Roman" w:hAnsi="Times New Roman" w:cs="Times New Roman"/>
          <w:sz w:val="24"/>
          <w:szCs w:val="24"/>
        </w:rPr>
        <w:t xml:space="preserve">, V., Mwai, E., &amp; et al. (2021). Data quality assessment of routine electronic medical records in high burden HIV settings. </w:t>
      </w:r>
      <w:r w:rsidRPr="00CA2730">
        <w:rPr>
          <w:rFonts w:ascii="Times New Roman" w:eastAsia="Times New Roman" w:hAnsi="Times New Roman" w:cs="Times New Roman"/>
          <w:i/>
          <w:iCs/>
          <w:sz w:val="24"/>
          <w:szCs w:val="24"/>
        </w:rPr>
        <w:t>BMC Medical Informatics and Decision Making</w:t>
      </w:r>
      <w:r w:rsidRPr="00CA2730">
        <w:rPr>
          <w:rFonts w:ascii="Times New Roman" w:eastAsia="Times New Roman" w:hAnsi="Times New Roman" w:cs="Times New Roman"/>
          <w:sz w:val="24"/>
          <w:szCs w:val="24"/>
        </w:rPr>
        <w:t xml:space="preserve">, 21(1), 112. </w:t>
      </w:r>
      <w:hyperlink w:tgtFrame="_blank" w:history="1">
        <w:r w:rsidRPr="00CA2730">
          <w:rPr>
            <w:rStyle w:val="Hyperlink"/>
            <w:rFonts w:ascii="Times New Roman" w:eastAsia="Times New Roman" w:hAnsi="Times New Roman" w:cs="Times New Roman"/>
            <w:sz w:val="24"/>
            <w:szCs w:val="24"/>
          </w:rPr>
          <w:t>https://doi.org/10.1186/s1291102101478x</w:t>
        </w:r>
      </w:hyperlink>
    </w:p>
    <w:p w14:paraId="52056F4C"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proofErr w:type="spellStart"/>
      <w:r w:rsidRPr="00CA2730">
        <w:rPr>
          <w:rFonts w:ascii="Times New Roman" w:eastAsia="Times New Roman" w:hAnsi="Times New Roman" w:cs="Times New Roman"/>
          <w:sz w:val="24"/>
          <w:szCs w:val="24"/>
        </w:rPr>
        <w:t>Ogunyinka</w:t>
      </w:r>
      <w:proofErr w:type="spellEnd"/>
      <w:r w:rsidRPr="00CA2730">
        <w:rPr>
          <w:rFonts w:ascii="Times New Roman" w:eastAsia="Times New Roman" w:hAnsi="Times New Roman" w:cs="Times New Roman"/>
          <w:sz w:val="24"/>
          <w:szCs w:val="24"/>
        </w:rPr>
        <w:t xml:space="preserve">, I. A., Shaibu, R. O., Abubakar, K., Yahaya, M., Chukwudi, U. E., Usman, M. L., &amp; Abdulazeez, L. A. (2026). Predictors of viral suppression among adults living with HIV/AIDS in Nigeria: A retrospective chart review. </w:t>
      </w:r>
      <w:r w:rsidRPr="00CA2730">
        <w:rPr>
          <w:rFonts w:ascii="Times New Roman" w:eastAsia="Times New Roman" w:hAnsi="Times New Roman" w:cs="Times New Roman"/>
          <w:i/>
          <w:iCs/>
          <w:sz w:val="24"/>
          <w:szCs w:val="24"/>
        </w:rPr>
        <w:t>Journal of Public Health in Africa</w:t>
      </w:r>
      <w:r w:rsidRPr="00CA2730">
        <w:rPr>
          <w:rFonts w:ascii="Times New Roman" w:eastAsia="Times New Roman" w:hAnsi="Times New Roman" w:cs="Times New Roman"/>
          <w:sz w:val="24"/>
          <w:szCs w:val="24"/>
        </w:rPr>
        <w:t>, 15(1).</w:t>
      </w:r>
    </w:p>
    <w:p w14:paraId="358B96E5"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proofErr w:type="spellStart"/>
      <w:r w:rsidRPr="00CA2730">
        <w:rPr>
          <w:rFonts w:ascii="Times New Roman" w:eastAsia="Times New Roman" w:hAnsi="Times New Roman" w:cs="Times New Roman"/>
          <w:sz w:val="24"/>
          <w:szCs w:val="24"/>
        </w:rPr>
        <w:t>Ojeh</w:t>
      </w:r>
      <w:proofErr w:type="spellEnd"/>
      <w:r w:rsidRPr="00CA2730">
        <w:rPr>
          <w:rFonts w:ascii="Times New Roman" w:eastAsia="Times New Roman" w:hAnsi="Times New Roman" w:cs="Times New Roman"/>
          <w:sz w:val="24"/>
          <w:szCs w:val="24"/>
        </w:rPr>
        <w:t xml:space="preserve">, V. B., </w:t>
      </w:r>
      <w:proofErr w:type="spellStart"/>
      <w:r w:rsidRPr="00CA2730">
        <w:rPr>
          <w:rFonts w:ascii="Times New Roman" w:eastAsia="Times New Roman" w:hAnsi="Times New Roman" w:cs="Times New Roman"/>
          <w:sz w:val="24"/>
          <w:szCs w:val="24"/>
        </w:rPr>
        <w:t>Odetola</w:t>
      </w:r>
      <w:proofErr w:type="spellEnd"/>
      <w:r w:rsidRPr="00CA2730">
        <w:rPr>
          <w:rFonts w:ascii="Times New Roman" w:eastAsia="Times New Roman" w:hAnsi="Times New Roman" w:cs="Times New Roman"/>
          <w:sz w:val="24"/>
          <w:szCs w:val="24"/>
        </w:rPr>
        <w:t xml:space="preserve">, T. D., &amp; Oluwatosin, O. A. (2022). Determinants of viral load suppression among people living with HIV on antiretroviral therapy in Nigeria. </w:t>
      </w:r>
      <w:r w:rsidRPr="00CA2730">
        <w:rPr>
          <w:rFonts w:ascii="Times New Roman" w:eastAsia="Times New Roman" w:hAnsi="Times New Roman" w:cs="Times New Roman"/>
          <w:i/>
          <w:iCs/>
          <w:sz w:val="24"/>
          <w:szCs w:val="24"/>
        </w:rPr>
        <w:t>Journal of Public Health in Africa</w:t>
      </w:r>
      <w:r w:rsidRPr="00CA2730">
        <w:rPr>
          <w:rFonts w:ascii="Times New Roman" w:eastAsia="Times New Roman" w:hAnsi="Times New Roman" w:cs="Times New Roman"/>
          <w:sz w:val="24"/>
          <w:szCs w:val="24"/>
        </w:rPr>
        <w:t xml:space="preserve">, 13(1), 1856. </w:t>
      </w:r>
      <w:hyperlink w:tgtFrame="_blank" w:history="1">
        <w:r w:rsidRPr="00CA2730">
          <w:rPr>
            <w:rStyle w:val="Hyperlink"/>
            <w:rFonts w:ascii="Times New Roman" w:eastAsia="Times New Roman" w:hAnsi="Times New Roman" w:cs="Times New Roman"/>
            <w:sz w:val="24"/>
            <w:szCs w:val="24"/>
          </w:rPr>
          <w:t>https://doi.org/10.4081/jphia.2022.1856</w:t>
        </w:r>
      </w:hyperlink>
    </w:p>
    <w:p w14:paraId="47289254"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Okonkwo, P., Sagay, A. S., Agaba, P. A., Yohanna, S., Agbaji, O. O., Imade, G. E., </w:t>
      </w:r>
      <w:proofErr w:type="spellStart"/>
      <w:r w:rsidRPr="00CA2730">
        <w:rPr>
          <w:rFonts w:ascii="Times New Roman" w:eastAsia="Times New Roman" w:hAnsi="Times New Roman" w:cs="Times New Roman"/>
          <w:sz w:val="24"/>
          <w:szCs w:val="24"/>
        </w:rPr>
        <w:t>Banigbe</w:t>
      </w:r>
      <w:proofErr w:type="spellEnd"/>
      <w:r w:rsidRPr="00CA2730">
        <w:rPr>
          <w:rFonts w:ascii="Times New Roman" w:eastAsia="Times New Roman" w:hAnsi="Times New Roman" w:cs="Times New Roman"/>
          <w:sz w:val="24"/>
          <w:szCs w:val="24"/>
        </w:rPr>
        <w:t xml:space="preserve">, B., &amp; Murphy, R. L. (2014). Treatment outcomes in a decentralized antiretroviral therapy program: A comparison of two levels of care in North Central Nigeria. </w:t>
      </w:r>
      <w:r w:rsidRPr="00CA2730">
        <w:rPr>
          <w:rFonts w:ascii="Times New Roman" w:eastAsia="Times New Roman" w:hAnsi="Times New Roman" w:cs="Times New Roman"/>
          <w:i/>
          <w:iCs/>
          <w:sz w:val="24"/>
          <w:szCs w:val="24"/>
        </w:rPr>
        <w:t>AIDS Research and Treatment</w:t>
      </w:r>
      <w:r w:rsidRPr="00CA2730">
        <w:rPr>
          <w:rFonts w:ascii="Times New Roman" w:eastAsia="Times New Roman" w:hAnsi="Times New Roman" w:cs="Times New Roman"/>
          <w:sz w:val="24"/>
          <w:szCs w:val="24"/>
        </w:rPr>
        <w:t xml:space="preserve">, 2014, 560623. </w:t>
      </w:r>
      <w:hyperlink w:tgtFrame="_blank" w:history="1">
        <w:r w:rsidRPr="00CA2730">
          <w:rPr>
            <w:rStyle w:val="Hyperlink"/>
            <w:rFonts w:ascii="Times New Roman" w:eastAsia="Times New Roman" w:hAnsi="Times New Roman" w:cs="Times New Roman"/>
            <w:sz w:val="24"/>
            <w:szCs w:val="24"/>
          </w:rPr>
          <w:t>https://doi.org/10.1155/2014/560623</w:t>
        </w:r>
      </w:hyperlink>
    </w:p>
    <w:p w14:paraId="7A8270C3"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Oluwatosin, O. A., Adeyemo, A. O., Babalola, O. P., &amp; Adeola, O. (2024). Predictors of viral load suppression among adult patients on antiretroviral therapy in urban Lagos State, Nigeria. </w:t>
      </w:r>
      <w:r w:rsidRPr="00CA2730">
        <w:rPr>
          <w:rFonts w:ascii="Times New Roman" w:eastAsia="Times New Roman" w:hAnsi="Times New Roman" w:cs="Times New Roman"/>
          <w:i/>
          <w:iCs/>
          <w:sz w:val="24"/>
          <w:szCs w:val="24"/>
        </w:rPr>
        <w:t>African Journal of Infectious Diseases</w:t>
      </w:r>
      <w:r w:rsidRPr="00CA2730">
        <w:rPr>
          <w:rFonts w:ascii="Times New Roman" w:eastAsia="Times New Roman" w:hAnsi="Times New Roman" w:cs="Times New Roman"/>
          <w:sz w:val="24"/>
          <w:szCs w:val="24"/>
        </w:rPr>
        <w:t>, 18(1), 44-53.</w:t>
      </w:r>
    </w:p>
    <w:p w14:paraId="792CD748"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Osayi, E. O., Blake, S. C., </w:t>
      </w:r>
      <w:proofErr w:type="spellStart"/>
      <w:r w:rsidRPr="00CA2730">
        <w:rPr>
          <w:rFonts w:ascii="Times New Roman" w:eastAsia="Times New Roman" w:hAnsi="Times New Roman" w:cs="Times New Roman"/>
          <w:sz w:val="24"/>
          <w:szCs w:val="24"/>
        </w:rPr>
        <w:t>Afolaranmi</w:t>
      </w:r>
      <w:proofErr w:type="spellEnd"/>
      <w:r w:rsidRPr="00CA2730">
        <w:rPr>
          <w:rFonts w:ascii="Times New Roman" w:eastAsia="Times New Roman" w:hAnsi="Times New Roman" w:cs="Times New Roman"/>
          <w:sz w:val="24"/>
          <w:szCs w:val="24"/>
        </w:rPr>
        <w:t xml:space="preserve">, T., Ajayi, O., </w:t>
      </w:r>
      <w:proofErr w:type="spellStart"/>
      <w:r w:rsidRPr="00CA2730">
        <w:rPr>
          <w:rFonts w:ascii="Times New Roman" w:eastAsia="Times New Roman" w:hAnsi="Times New Roman" w:cs="Times New Roman"/>
          <w:sz w:val="24"/>
          <w:szCs w:val="24"/>
        </w:rPr>
        <w:t>Onyeji</w:t>
      </w:r>
      <w:proofErr w:type="spellEnd"/>
      <w:r w:rsidRPr="00CA2730">
        <w:rPr>
          <w:rFonts w:ascii="Times New Roman" w:eastAsia="Times New Roman" w:hAnsi="Times New Roman" w:cs="Times New Roman"/>
          <w:sz w:val="24"/>
          <w:szCs w:val="24"/>
        </w:rPr>
        <w:t xml:space="preserve">, J., Sagay, A. S., Anderson, A., &amp; </w:t>
      </w:r>
      <w:proofErr w:type="spellStart"/>
      <w:r w:rsidRPr="00CA2730">
        <w:rPr>
          <w:rFonts w:ascii="Times New Roman" w:eastAsia="Times New Roman" w:hAnsi="Times New Roman" w:cs="Times New Roman"/>
          <w:sz w:val="24"/>
          <w:szCs w:val="24"/>
        </w:rPr>
        <w:t>Obindo</w:t>
      </w:r>
      <w:proofErr w:type="spellEnd"/>
      <w:r w:rsidRPr="00CA2730">
        <w:rPr>
          <w:rFonts w:ascii="Times New Roman" w:eastAsia="Times New Roman" w:hAnsi="Times New Roman" w:cs="Times New Roman"/>
          <w:sz w:val="24"/>
          <w:szCs w:val="24"/>
        </w:rPr>
        <w:t xml:space="preserve">, T. J. (2024). Investigating the barriers and facilitators to using antiretroviral therapy among women living with HIV in Plateau State, Nigeria. </w:t>
      </w:r>
      <w:r w:rsidRPr="00CA2730">
        <w:rPr>
          <w:rFonts w:ascii="Times New Roman" w:eastAsia="Times New Roman" w:hAnsi="Times New Roman" w:cs="Times New Roman"/>
          <w:i/>
          <w:iCs/>
          <w:sz w:val="24"/>
          <w:szCs w:val="24"/>
        </w:rPr>
        <w:t>International Journal of Environmental Research and Public Health</w:t>
      </w:r>
      <w:r w:rsidRPr="00CA2730">
        <w:rPr>
          <w:rFonts w:ascii="Times New Roman" w:eastAsia="Times New Roman" w:hAnsi="Times New Roman" w:cs="Times New Roman"/>
          <w:sz w:val="24"/>
          <w:szCs w:val="24"/>
        </w:rPr>
        <w:t xml:space="preserve">, 21(5), 546. </w:t>
      </w:r>
      <w:hyperlink w:tgtFrame="_blank" w:history="1">
        <w:r w:rsidRPr="00CA2730">
          <w:rPr>
            <w:rStyle w:val="Hyperlink"/>
            <w:rFonts w:ascii="Times New Roman" w:eastAsia="Times New Roman" w:hAnsi="Times New Roman" w:cs="Times New Roman"/>
            <w:sz w:val="24"/>
            <w:szCs w:val="24"/>
          </w:rPr>
          <w:t>https://doi.org/10.3390/ijerph21050546</w:t>
        </w:r>
      </w:hyperlink>
    </w:p>
    <w:p w14:paraId="484BDB78"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Patel, P., Rose, C. E., Brooks, J. T., &amp; Bharat Babu, V. (2021). Socioeconomic factors and antiretroviral therapy adherence in sub-Saharan Africa: A systematic review. </w:t>
      </w:r>
      <w:r w:rsidRPr="00CA2730">
        <w:rPr>
          <w:rFonts w:ascii="Times New Roman" w:eastAsia="Times New Roman" w:hAnsi="Times New Roman" w:cs="Times New Roman"/>
          <w:i/>
          <w:iCs/>
          <w:sz w:val="24"/>
          <w:szCs w:val="24"/>
        </w:rPr>
        <w:t>AIDS Care</w:t>
      </w:r>
      <w:r w:rsidRPr="00CA2730">
        <w:rPr>
          <w:rFonts w:ascii="Times New Roman" w:eastAsia="Times New Roman" w:hAnsi="Times New Roman" w:cs="Times New Roman"/>
          <w:sz w:val="24"/>
          <w:szCs w:val="24"/>
        </w:rPr>
        <w:t>, 33(8), 1015-1025.</w:t>
      </w:r>
    </w:p>
    <w:p w14:paraId="212F5D3E"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Plateau State Ministry of Health. (2025). </w:t>
      </w:r>
      <w:r w:rsidRPr="00CA2730">
        <w:rPr>
          <w:rFonts w:ascii="Times New Roman" w:eastAsia="Times New Roman" w:hAnsi="Times New Roman" w:cs="Times New Roman"/>
          <w:i/>
          <w:iCs/>
          <w:sz w:val="24"/>
          <w:szCs w:val="24"/>
        </w:rPr>
        <w:t>Annual operational plan 2025: Strengthening health systems for sustainable development</w:t>
      </w:r>
      <w:r w:rsidRPr="00CA2730">
        <w:rPr>
          <w:rFonts w:ascii="Times New Roman" w:eastAsia="Times New Roman" w:hAnsi="Times New Roman" w:cs="Times New Roman"/>
          <w:sz w:val="24"/>
          <w:szCs w:val="24"/>
        </w:rPr>
        <w:t>. Plateau State Ministry of Health.</w:t>
      </w:r>
    </w:p>
    <w:p w14:paraId="3118D46A"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Richard, L., Gauvin, L., &amp; Raine, K. (2011). Ecological models revisited: Their uses and evolution in health promotion over two decades. </w:t>
      </w:r>
      <w:r w:rsidRPr="00CA2730">
        <w:rPr>
          <w:rFonts w:ascii="Times New Roman" w:eastAsia="Times New Roman" w:hAnsi="Times New Roman" w:cs="Times New Roman"/>
          <w:i/>
          <w:iCs/>
          <w:sz w:val="24"/>
          <w:szCs w:val="24"/>
        </w:rPr>
        <w:t>Annual Review of Public Health</w:t>
      </w:r>
      <w:r w:rsidRPr="00CA2730">
        <w:rPr>
          <w:rFonts w:ascii="Times New Roman" w:eastAsia="Times New Roman" w:hAnsi="Times New Roman" w:cs="Times New Roman"/>
          <w:sz w:val="24"/>
          <w:szCs w:val="24"/>
        </w:rPr>
        <w:t xml:space="preserve">, 32, 307-326. </w:t>
      </w:r>
      <w:hyperlink w:tgtFrame="_blank" w:history="1">
        <w:r w:rsidRPr="00CA2730">
          <w:rPr>
            <w:rStyle w:val="Hyperlink"/>
            <w:rFonts w:ascii="Times New Roman" w:eastAsia="Times New Roman" w:hAnsi="Times New Roman" w:cs="Times New Roman"/>
            <w:sz w:val="24"/>
            <w:szCs w:val="24"/>
          </w:rPr>
          <w:t>https://doi.org/10.1146/annurev-publhealth-031210-101141</w:t>
        </w:r>
      </w:hyperlink>
    </w:p>
    <w:p w14:paraId="2099A586"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Riou, C., Bhardwaj, S., Bhattacharyya, S., &amp; Burgers, W. A. (2022). CD4+ T cell recovery after antiretroviral therapy is characterized by recirculation of immature T cells and a redistribution of memory T cells. </w:t>
      </w:r>
      <w:r w:rsidRPr="00CA2730">
        <w:rPr>
          <w:rFonts w:ascii="Times New Roman" w:eastAsia="Times New Roman" w:hAnsi="Times New Roman" w:cs="Times New Roman"/>
          <w:i/>
          <w:iCs/>
          <w:sz w:val="24"/>
          <w:szCs w:val="24"/>
        </w:rPr>
        <w:t>Journal of Immunology</w:t>
      </w:r>
      <w:r w:rsidRPr="00CA2730">
        <w:rPr>
          <w:rFonts w:ascii="Times New Roman" w:eastAsia="Times New Roman" w:hAnsi="Times New Roman" w:cs="Times New Roman"/>
          <w:sz w:val="24"/>
          <w:szCs w:val="24"/>
        </w:rPr>
        <w:t>, 208(5), 1174-1183.</w:t>
      </w:r>
    </w:p>
    <w:p w14:paraId="416FD64E" w14:textId="77777777" w:rsidR="001E2609" w:rsidRDefault="001E2609"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p>
    <w:p w14:paraId="7A7D32E4"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lastRenderedPageBreak/>
        <w:t xml:space="preserve">Rodger, A. J., Cambiano, V., Bruun, T., Vernazza, P., Collins, S., Degen, O., Corbelli, G. M., Estrada, V., Geretti, A. M., </w:t>
      </w:r>
      <w:proofErr w:type="spellStart"/>
      <w:r w:rsidRPr="00CA2730">
        <w:rPr>
          <w:rFonts w:ascii="Times New Roman" w:eastAsia="Times New Roman" w:hAnsi="Times New Roman" w:cs="Times New Roman"/>
          <w:sz w:val="24"/>
          <w:szCs w:val="24"/>
        </w:rPr>
        <w:t>Beloukas</w:t>
      </w:r>
      <w:proofErr w:type="spellEnd"/>
      <w:r w:rsidRPr="00CA2730">
        <w:rPr>
          <w:rFonts w:ascii="Times New Roman" w:eastAsia="Times New Roman" w:hAnsi="Times New Roman" w:cs="Times New Roman"/>
          <w:sz w:val="24"/>
          <w:szCs w:val="24"/>
        </w:rPr>
        <w:t xml:space="preserve">, A., Phillips, A., Lundgren, J., &amp; PARTNER Study Group. (2019). Risk of HIV transmission through condomless sex in </w:t>
      </w:r>
      <w:proofErr w:type="spellStart"/>
      <w:r w:rsidRPr="00CA2730">
        <w:rPr>
          <w:rFonts w:ascii="Times New Roman" w:eastAsia="Times New Roman" w:hAnsi="Times New Roman" w:cs="Times New Roman"/>
          <w:sz w:val="24"/>
          <w:szCs w:val="24"/>
        </w:rPr>
        <w:t>serodifferent</w:t>
      </w:r>
      <w:proofErr w:type="spellEnd"/>
      <w:r w:rsidRPr="00CA2730">
        <w:rPr>
          <w:rFonts w:ascii="Times New Roman" w:eastAsia="Times New Roman" w:hAnsi="Times New Roman" w:cs="Times New Roman"/>
          <w:sz w:val="24"/>
          <w:szCs w:val="24"/>
        </w:rPr>
        <w:t xml:space="preserve"> gay couples with the HIV-positive partner taking suppressive antiretroviral therapy (PARTNER): Final results of a </w:t>
      </w:r>
      <w:proofErr w:type="spellStart"/>
      <w:r w:rsidRPr="00CA2730">
        <w:rPr>
          <w:rFonts w:ascii="Times New Roman" w:eastAsia="Times New Roman" w:hAnsi="Times New Roman" w:cs="Times New Roman"/>
          <w:sz w:val="24"/>
          <w:szCs w:val="24"/>
        </w:rPr>
        <w:t>multicentre</w:t>
      </w:r>
      <w:proofErr w:type="spellEnd"/>
      <w:r w:rsidRPr="00CA2730">
        <w:rPr>
          <w:rFonts w:ascii="Times New Roman" w:eastAsia="Times New Roman" w:hAnsi="Times New Roman" w:cs="Times New Roman"/>
          <w:sz w:val="24"/>
          <w:szCs w:val="24"/>
        </w:rPr>
        <w:t xml:space="preserve">, prospective, observational study. </w:t>
      </w:r>
      <w:r w:rsidRPr="00CA2730">
        <w:rPr>
          <w:rFonts w:ascii="Times New Roman" w:eastAsia="Times New Roman" w:hAnsi="Times New Roman" w:cs="Times New Roman"/>
          <w:i/>
          <w:iCs/>
          <w:sz w:val="24"/>
          <w:szCs w:val="24"/>
        </w:rPr>
        <w:t>The Lancet</w:t>
      </w:r>
      <w:r w:rsidRPr="00CA2730">
        <w:rPr>
          <w:rFonts w:ascii="Times New Roman" w:eastAsia="Times New Roman" w:hAnsi="Times New Roman" w:cs="Times New Roman"/>
          <w:sz w:val="24"/>
          <w:szCs w:val="24"/>
        </w:rPr>
        <w:t xml:space="preserve">, 393(10189), 2428-2438. </w:t>
      </w:r>
      <w:hyperlink w:tgtFrame="_blank" w:history="1">
        <w:r w:rsidRPr="00CA2730">
          <w:rPr>
            <w:rStyle w:val="Hyperlink"/>
            <w:rFonts w:ascii="Times New Roman" w:eastAsia="Times New Roman" w:hAnsi="Times New Roman" w:cs="Times New Roman"/>
            <w:sz w:val="24"/>
            <w:szCs w:val="24"/>
          </w:rPr>
          <w:t>https://doi.org/10.1016/S0140-6736(19)30418-0</w:t>
        </w:r>
      </w:hyperlink>
    </w:p>
    <w:p w14:paraId="30165CC0"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Semo, B. W., </w:t>
      </w:r>
      <w:proofErr w:type="spellStart"/>
      <w:r w:rsidRPr="00CA2730">
        <w:rPr>
          <w:rFonts w:ascii="Times New Roman" w:eastAsia="Times New Roman" w:hAnsi="Times New Roman" w:cs="Times New Roman"/>
          <w:sz w:val="24"/>
          <w:szCs w:val="24"/>
        </w:rPr>
        <w:t>Ezeokafor</w:t>
      </w:r>
      <w:proofErr w:type="spellEnd"/>
      <w:r w:rsidRPr="00CA2730">
        <w:rPr>
          <w:rFonts w:ascii="Times New Roman" w:eastAsia="Times New Roman" w:hAnsi="Times New Roman" w:cs="Times New Roman"/>
          <w:sz w:val="24"/>
          <w:szCs w:val="24"/>
        </w:rPr>
        <w:t xml:space="preserve">, N. A., </w:t>
      </w:r>
      <w:proofErr w:type="spellStart"/>
      <w:r w:rsidRPr="00CA2730">
        <w:rPr>
          <w:rFonts w:ascii="Times New Roman" w:eastAsia="Times New Roman" w:hAnsi="Times New Roman" w:cs="Times New Roman"/>
          <w:sz w:val="24"/>
          <w:szCs w:val="24"/>
        </w:rPr>
        <w:t>Oyawola</w:t>
      </w:r>
      <w:proofErr w:type="spellEnd"/>
      <w:r w:rsidRPr="00CA2730">
        <w:rPr>
          <w:rFonts w:ascii="Times New Roman" w:eastAsia="Times New Roman" w:hAnsi="Times New Roman" w:cs="Times New Roman"/>
          <w:sz w:val="24"/>
          <w:szCs w:val="24"/>
        </w:rPr>
        <w:t xml:space="preserve">, B., &amp; Mugo, C. (2023). Effect of multi-month dispensing on viral suppression for newly enrolled adolescents and adults in Northern Nigeria. </w:t>
      </w:r>
      <w:r w:rsidRPr="00CA2730">
        <w:rPr>
          <w:rFonts w:ascii="Times New Roman" w:eastAsia="Times New Roman" w:hAnsi="Times New Roman" w:cs="Times New Roman"/>
          <w:i/>
          <w:iCs/>
          <w:sz w:val="24"/>
          <w:szCs w:val="24"/>
        </w:rPr>
        <w:t>HIV/AIDS - Research and Palliative Care</w:t>
      </w:r>
      <w:r w:rsidRPr="00CA2730">
        <w:rPr>
          <w:rFonts w:ascii="Times New Roman" w:eastAsia="Times New Roman" w:hAnsi="Times New Roman" w:cs="Times New Roman"/>
          <w:sz w:val="24"/>
          <w:szCs w:val="24"/>
        </w:rPr>
        <w:t xml:space="preserve">, 15, 683-695. </w:t>
      </w:r>
      <w:hyperlink w:tgtFrame="_blank" w:history="1">
        <w:r w:rsidRPr="00CA2730">
          <w:rPr>
            <w:rStyle w:val="Hyperlink"/>
            <w:rFonts w:ascii="Times New Roman" w:eastAsia="Times New Roman" w:hAnsi="Times New Roman" w:cs="Times New Roman"/>
            <w:sz w:val="24"/>
            <w:szCs w:val="24"/>
          </w:rPr>
          <w:t>https://doi.org/10.2147/HIV.S432976</w:t>
        </w:r>
      </w:hyperlink>
    </w:p>
    <w:p w14:paraId="64F0F868"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Snijders, T. A. B., &amp; Bosker, R. J. (2012). </w:t>
      </w:r>
      <w:r w:rsidRPr="00CA2730">
        <w:rPr>
          <w:rFonts w:ascii="Times New Roman" w:eastAsia="Times New Roman" w:hAnsi="Times New Roman" w:cs="Times New Roman"/>
          <w:i/>
          <w:iCs/>
          <w:sz w:val="24"/>
          <w:szCs w:val="24"/>
        </w:rPr>
        <w:t>Multilevel analysis: An introduction to basic and advanced multilevel modelling</w:t>
      </w:r>
      <w:r w:rsidRPr="00CA2730">
        <w:rPr>
          <w:rFonts w:ascii="Times New Roman" w:eastAsia="Times New Roman" w:hAnsi="Times New Roman" w:cs="Times New Roman"/>
          <w:sz w:val="24"/>
          <w:szCs w:val="24"/>
        </w:rPr>
        <w:t xml:space="preserve"> (2nd ed.). SAGE Publications.</w:t>
      </w:r>
    </w:p>
    <w:p w14:paraId="0B7692A3"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proofErr w:type="spellStart"/>
      <w:r w:rsidRPr="00CA2730">
        <w:rPr>
          <w:rFonts w:ascii="Times New Roman" w:eastAsia="Times New Roman" w:hAnsi="Times New Roman" w:cs="Times New Roman"/>
          <w:sz w:val="24"/>
          <w:szCs w:val="24"/>
        </w:rPr>
        <w:t>Ssuuna</w:t>
      </w:r>
      <w:proofErr w:type="spellEnd"/>
      <w:r w:rsidRPr="00CA2730">
        <w:rPr>
          <w:rFonts w:ascii="Times New Roman" w:eastAsia="Times New Roman" w:hAnsi="Times New Roman" w:cs="Times New Roman"/>
          <w:sz w:val="24"/>
          <w:szCs w:val="24"/>
        </w:rPr>
        <w:t xml:space="preserve">, J., Yeh, P. T., Kigozi, G., </w:t>
      </w:r>
      <w:proofErr w:type="spellStart"/>
      <w:r w:rsidRPr="00CA2730">
        <w:rPr>
          <w:rFonts w:ascii="Times New Roman" w:eastAsia="Times New Roman" w:hAnsi="Times New Roman" w:cs="Times New Roman"/>
          <w:sz w:val="24"/>
          <w:szCs w:val="24"/>
        </w:rPr>
        <w:t>Nalugoda</w:t>
      </w:r>
      <w:proofErr w:type="spellEnd"/>
      <w:r w:rsidRPr="00CA2730">
        <w:rPr>
          <w:rFonts w:ascii="Times New Roman" w:eastAsia="Times New Roman" w:hAnsi="Times New Roman" w:cs="Times New Roman"/>
          <w:sz w:val="24"/>
          <w:szCs w:val="24"/>
        </w:rPr>
        <w:t xml:space="preserve">, F., Nakigozi, G., Kagaayi, J., </w:t>
      </w:r>
      <w:proofErr w:type="spellStart"/>
      <w:r w:rsidRPr="00CA2730">
        <w:rPr>
          <w:rFonts w:ascii="Times New Roman" w:eastAsia="Times New Roman" w:hAnsi="Times New Roman" w:cs="Times New Roman"/>
          <w:sz w:val="24"/>
          <w:szCs w:val="24"/>
        </w:rPr>
        <w:t>Galiwango</w:t>
      </w:r>
      <w:proofErr w:type="spellEnd"/>
      <w:r w:rsidRPr="00CA2730">
        <w:rPr>
          <w:rFonts w:ascii="Times New Roman" w:eastAsia="Times New Roman" w:hAnsi="Times New Roman" w:cs="Times New Roman"/>
          <w:sz w:val="24"/>
          <w:szCs w:val="24"/>
        </w:rPr>
        <w:t xml:space="preserve">, R. M., Rosen, J. G., Reynolds, S. J., Quinn, T. C., Wawer, M. J., Gray, R. H., Grabowski, M. K., &amp; Chang, L. W. (2024). Household transport ownership and HIV viral suppression in rural Uganda: A cross sectional, </w:t>
      </w:r>
      <w:proofErr w:type="gramStart"/>
      <w:r w:rsidRPr="00CA2730">
        <w:rPr>
          <w:rFonts w:ascii="Times New Roman" w:eastAsia="Times New Roman" w:hAnsi="Times New Roman" w:cs="Times New Roman"/>
          <w:sz w:val="24"/>
          <w:szCs w:val="24"/>
        </w:rPr>
        <w:t>population based</w:t>
      </w:r>
      <w:proofErr w:type="gramEnd"/>
      <w:r w:rsidRPr="00CA2730">
        <w:rPr>
          <w:rFonts w:ascii="Times New Roman" w:eastAsia="Times New Roman" w:hAnsi="Times New Roman" w:cs="Times New Roman"/>
          <w:sz w:val="24"/>
          <w:szCs w:val="24"/>
        </w:rPr>
        <w:t xml:space="preserve"> study. </w:t>
      </w:r>
      <w:r w:rsidRPr="00CA2730">
        <w:rPr>
          <w:rFonts w:ascii="Times New Roman" w:eastAsia="Times New Roman" w:hAnsi="Times New Roman" w:cs="Times New Roman"/>
          <w:i/>
          <w:iCs/>
          <w:sz w:val="24"/>
          <w:szCs w:val="24"/>
        </w:rPr>
        <w:t>BMC Infectious Diseases</w:t>
      </w:r>
      <w:r w:rsidRPr="00CA2730">
        <w:rPr>
          <w:rFonts w:ascii="Times New Roman" w:eastAsia="Times New Roman" w:hAnsi="Times New Roman" w:cs="Times New Roman"/>
          <w:sz w:val="24"/>
          <w:szCs w:val="24"/>
        </w:rPr>
        <w:t xml:space="preserve">, 24(1), 448. </w:t>
      </w:r>
      <w:hyperlink w:tgtFrame="_blank" w:history="1">
        <w:r w:rsidRPr="00CA2730">
          <w:rPr>
            <w:rStyle w:val="Hyperlink"/>
            <w:rFonts w:ascii="Times New Roman" w:eastAsia="Times New Roman" w:hAnsi="Times New Roman" w:cs="Times New Roman"/>
            <w:sz w:val="24"/>
            <w:szCs w:val="24"/>
          </w:rPr>
          <w:t>https://doi.org/10.1186/s12879-024-09325-0</w:t>
        </w:r>
      </w:hyperlink>
    </w:p>
    <w:p w14:paraId="5EE43D6C"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Stokols, D. (1992). Establishing and maintaining healthy environments: Toward a social ecology of health promotion. </w:t>
      </w:r>
      <w:r w:rsidRPr="00CA2730">
        <w:rPr>
          <w:rFonts w:ascii="Times New Roman" w:eastAsia="Times New Roman" w:hAnsi="Times New Roman" w:cs="Times New Roman"/>
          <w:i/>
          <w:iCs/>
          <w:sz w:val="24"/>
          <w:szCs w:val="24"/>
        </w:rPr>
        <w:t>American Psychologist</w:t>
      </w:r>
      <w:r w:rsidRPr="00CA2730">
        <w:rPr>
          <w:rFonts w:ascii="Times New Roman" w:eastAsia="Times New Roman" w:hAnsi="Times New Roman" w:cs="Times New Roman"/>
          <w:sz w:val="24"/>
          <w:szCs w:val="24"/>
        </w:rPr>
        <w:t xml:space="preserve">, 47(1), 6-22. </w:t>
      </w:r>
      <w:hyperlink w:tgtFrame="_blank" w:history="1">
        <w:r w:rsidRPr="00CA2730">
          <w:rPr>
            <w:rStyle w:val="Hyperlink"/>
            <w:rFonts w:ascii="Times New Roman" w:eastAsia="Times New Roman" w:hAnsi="Times New Roman" w:cs="Times New Roman"/>
            <w:sz w:val="24"/>
            <w:szCs w:val="24"/>
          </w:rPr>
          <w:t>https://doi.org/10.1037/0003-066X.47.1.6</w:t>
        </w:r>
      </w:hyperlink>
    </w:p>
    <w:p w14:paraId="751539A3"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Tomescu, S., Crompton, T., Adebayo, J., Aliyu, M. H., Akanbi, M. O., &amp; Peel, S. A. (2023). Factors associated with viral load non-suppression among people living with HIV on antiretroviral therapy in Nigeria. </w:t>
      </w:r>
      <w:r w:rsidRPr="00CA2730">
        <w:rPr>
          <w:rFonts w:ascii="Times New Roman" w:eastAsia="Times New Roman" w:hAnsi="Times New Roman" w:cs="Times New Roman"/>
          <w:i/>
          <w:iCs/>
          <w:sz w:val="24"/>
          <w:szCs w:val="24"/>
        </w:rPr>
        <w:t>BMJ Open</w:t>
      </w:r>
      <w:r w:rsidRPr="00CA2730">
        <w:rPr>
          <w:rFonts w:ascii="Times New Roman" w:eastAsia="Times New Roman" w:hAnsi="Times New Roman" w:cs="Times New Roman"/>
          <w:sz w:val="24"/>
          <w:szCs w:val="24"/>
        </w:rPr>
        <w:t xml:space="preserve">, 13(5), e065950. </w:t>
      </w:r>
      <w:hyperlink w:tgtFrame="_blank" w:history="1">
        <w:r w:rsidRPr="00CA2730">
          <w:rPr>
            <w:rStyle w:val="Hyperlink"/>
            <w:rFonts w:ascii="Times New Roman" w:eastAsia="Times New Roman" w:hAnsi="Times New Roman" w:cs="Times New Roman"/>
            <w:sz w:val="24"/>
            <w:szCs w:val="24"/>
          </w:rPr>
          <w:t>https://doi.org/10.1136/bmjopen-2022-065950</w:t>
        </w:r>
      </w:hyperlink>
    </w:p>
    <w:p w14:paraId="4A512783"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UNAIDS. (2023). </w:t>
      </w:r>
      <w:r w:rsidRPr="00CA2730">
        <w:rPr>
          <w:rFonts w:ascii="Times New Roman" w:eastAsia="Times New Roman" w:hAnsi="Times New Roman" w:cs="Times New Roman"/>
          <w:i/>
          <w:iCs/>
          <w:sz w:val="24"/>
          <w:szCs w:val="24"/>
        </w:rPr>
        <w:t>Global AIDS update 2023: The path that ends AIDS</w:t>
      </w:r>
      <w:r w:rsidRPr="00CA2730">
        <w:rPr>
          <w:rFonts w:ascii="Times New Roman" w:eastAsia="Times New Roman" w:hAnsi="Times New Roman" w:cs="Times New Roman"/>
          <w:sz w:val="24"/>
          <w:szCs w:val="24"/>
        </w:rPr>
        <w:t xml:space="preserve">. Joint United Nations </w:t>
      </w:r>
      <w:proofErr w:type="spellStart"/>
      <w:r w:rsidRPr="00CA2730">
        <w:rPr>
          <w:rFonts w:ascii="Times New Roman" w:eastAsia="Times New Roman" w:hAnsi="Times New Roman" w:cs="Times New Roman"/>
          <w:sz w:val="24"/>
          <w:szCs w:val="24"/>
        </w:rPr>
        <w:t>Programme</w:t>
      </w:r>
      <w:proofErr w:type="spellEnd"/>
      <w:r w:rsidRPr="00CA2730">
        <w:rPr>
          <w:rFonts w:ascii="Times New Roman" w:eastAsia="Times New Roman" w:hAnsi="Times New Roman" w:cs="Times New Roman"/>
          <w:sz w:val="24"/>
          <w:szCs w:val="24"/>
        </w:rPr>
        <w:t xml:space="preserve"> on HIV/AIDS.</w:t>
      </w:r>
    </w:p>
    <w:p w14:paraId="2665ABD3"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UNAIDS. (2024). </w:t>
      </w:r>
      <w:r w:rsidRPr="00CA2730">
        <w:rPr>
          <w:rFonts w:ascii="Times New Roman" w:eastAsia="Times New Roman" w:hAnsi="Times New Roman" w:cs="Times New Roman"/>
          <w:i/>
          <w:iCs/>
          <w:sz w:val="24"/>
          <w:szCs w:val="24"/>
        </w:rPr>
        <w:t>Global AIDS update 2024: The urgency of now: AIDS at a crossroads</w:t>
      </w:r>
      <w:r w:rsidRPr="00CA2730">
        <w:rPr>
          <w:rFonts w:ascii="Times New Roman" w:eastAsia="Times New Roman" w:hAnsi="Times New Roman" w:cs="Times New Roman"/>
          <w:sz w:val="24"/>
          <w:szCs w:val="24"/>
        </w:rPr>
        <w:t xml:space="preserve">. Joint United Nations </w:t>
      </w:r>
      <w:proofErr w:type="spellStart"/>
      <w:r w:rsidRPr="00CA2730">
        <w:rPr>
          <w:rFonts w:ascii="Times New Roman" w:eastAsia="Times New Roman" w:hAnsi="Times New Roman" w:cs="Times New Roman"/>
          <w:sz w:val="24"/>
          <w:szCs w:val="24"/>
        </w:rPr>
        <w:t>Programme</w:t>
      </w:r>
      <w:proofErr w:type="spellEnd"/>
      <w:r w:rsidRPr="00CA2730">
        <w:rPr>
          <w:rFonts w:ascii="Times New Roman" w:eastAsia="Times New Roman" w:hAnsi="Times New Roman" w:cs="Times New Roman"/>
          <w:sz w:val="24"/>
          <w:szCs w:val="24"/>
        </w:rPr>
        <w:t xml:space="preserve"> on HIV/AIDS.</w:t>
      </w:r>
    </w:p>
    <w:p w14:paraId="257D9253"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UNAIDS. (2025). </w:t>
      </w:r>
      <w:r w:rsidRPr="00CA2730">
        <w:rPr>
          <w:rFonts w:ascii="Times New Roman" w:eastAsia="Times New Roman" w:hAnsi="Times New Roman" w:cs="Times New Roman"/>
          <w:i/>
          <w:iCs/>
          <w:sz w:val="24"/>
          <w:szCs w:val="24"/>
        </w:rPr>
        <w:t>Global AIDS update 2025: Crisis and the power to transform</w:t>
      </w:r>
      <w:r w:rsidRPr="00CA2730">
        <w:rPr>
          <w:rFonts w:ascii="Times New Roman" w:eastAsia="Times New Roman" w:hAnsi="Times New Roman" w:cs="Times New Roman"/>
          <w:sz w:val="24"/>
          <w:szCs w:val="24"/>
        </w:rPr>
        <w:t xml:space="preserve">. Joint United Nations </w:t>
      </w:r>
      <w:proofErr w:type="spellStart"/>
      <w:r w:rsidRPr="00CA2730">
        <w:rPr>
          <w:rFonts w:ascii="Times New Roman" w:eastAsia="Times New Roman" w:hAnsi="Times New Roman" w:cs="Times New Roman"/>
          <w:sz w:val="24"/>
          <w:szCs w:val="24"/>
        </w:rPr>
        <w:t>Programme</w:t>
      </w:r>
      <w:proofErr w:type="spellEnd"/>
      <w:r w:rsidRPr="00CA2730">
        <w:rPr>
          <w:rFonts w:ascii="Times New Roman" w:eastAsia="Times New Roman" w:hAnsi="Times New Roman" w:cs="Times New Roman"/>
          <w:sz w:val="24"/>
          <w:szCs w:val="24"/>
        </w:rPr>
        <w:t xml:space="preserve"> on HIV/AIDS.</w:t>
      </w:r>
    </w:p>
    <w:p w14:paraId="5D63375E"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Venter, W. D. F., Moorhouse, M., Sokhela, S., Fairlie, L., Mashabane, N., Masenya, M., &amp; Akpomiemie, G. (2020). Dolutegravir plus two different prodrugs of tenofovir to treat HIV. </w:t>
      </w:r>
      <w:r w:rsidRPr="00CA2730">
        <w:rPr>
          <w:rFonts w:ascii="Times New Roman" w:eastAsia="Times New Roman" w:hAnsi="Times New Roman" w:cs="Times New Roman"/>
          <w:i/>
          <w:iCs/>
          <w:sz w:val="24"/>
          <w:szCs w:val="24"/>
        </w:rPr>
        <w:t>New England Journal of Medicine</w:t>
      </w:r>
      <w:r w:rsidRPr="00CA2730">
        <w:rPr>
          <w:rFonts w:ascii="Times New Roman" w:eastAsia="Times New Roman" w:hAnsi="Times New Roman" w:cs="Times New Roman"/>
          <w:sz w:val="24"/>
          <w:szCs w:val="24"/>
        </w:rPr>
        <w:t xml:space="preserve">, 382(12), 1070-1071. </w:t>
      </w:r>
      <w:hyperlink w:tgtFrame="_blank" w:history="1">
        <w:r w:rsidRPr="00CA2730">
          <w:rPr>
            <w:rStyle w:val="Hyperlink"/>
            <w:rFonts w:ascii="Times New Roman" w:eastAsia="Times New Roman" w:hAnsi="Times New Roman" w:cs="Times New Roman"/>
            <w:sz w:val="24"/>
            <w:szCs w:val="24"/>
          </w:rPr>
          <w:t>https://doi.org/10.1056/NEJMoa1902824</w:t>
        </w:r>
      </w:hyperlink>
    </w:p>
    <w:p w14:paraId="424FFA59"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lastRenderedPageBreak/>
        <w:t xml:space="preserve">Venter, W. D. F., Sokhela, S., &amp; Akpomiemie, G. (2020). Dolutegravir with emtricitabine and tenofovir alafenamide or tenofovir disoproxil fumarate: 96-week results, ADVANCE trial. </w:t>
      </w:r>
      <w:r w:rsidRPr="00CA2730">
        <w:rPr>
          <w:rFonts w:ascii="Times New Roman" w:eastAsia="Times New Roman" w:hAnsi="Times New Roman" w:cs="Times New Roman"/>
          <w:i/>
          <w:iCs/>
          <w:sz w:val="24"/>
          <w:szCs w:val="24"/>
        </w:rPr>
        <w:t>The Lancet HIV</w:t>
      </w:r>
      <w:r w:rsidRPr="00CA2730">
        <w:rPr>
          <w:rFonts w:ascii="Times New Roman" w:eastAsia="Times New Roman" w:hAnsi="Times New Roman" w:cs="Times New Roman"/>
          <w:sz w:val="24"/>
          <w:szCs w:val="24"/>
        </w:rPr>
        <w:t>, 7(10), e666-e676.</w:t>
      </w:r>
    </w:p>
    <w:p w14:paraId="11440313"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World Health Organization. (2022). </w:t>
      </w:r>
      <w:r w:rsidRPr="00CA2730">
        <w:rPr>
          <w:rFonts w:ascii="Times New Roman" w:eastAsia="Times New Roman" w:hAnsi="Times New Roman" w:cs="Times New Roman"/>
          <w:i/>
          <w:iCs/>
          <w:sz w:val="24"/>
          <w:szCs w:val="24"/>
        </w:rPr>
        <w:t>Consolidated guidelines on HIV, viral hepatitis and STI prevention, diagnosis, treatment and care for key populations</w:t>
      </w:r>
      <w:r w:rsidRPr="00CA2730">
        <w:rPr>
          <w:rFonts w:ascii="Times New Roman" w:eastAsia="Times New Roman" w:hAnsi="Times New Roman" w:cs="Times New Roman"/>
          <w:sz w:val="24"/>
          <w:szCs w:val="24"/>
        </w:rPr>
        <w:t>. World Health Organization.</w:t>
      </w:r>
    </w:p>
    <w:p w14:paraId="7936A21A"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CA2730">
        <w:rPr>
          <w:rFonts w:ascii="Times New Roman" w:eastAsia="Times New Roman" w:hAnsi="Times New Roman" w:cs="Times New Roman"/>
          <w:sz w:val="24"/>
          <w:szCs w:val="24"/>
        </w:rPr>
        <w:t xml:space="preserve">World Health Organization. (2025). </w:t>
      </w:r>
      <w:r w:rsidRPr="00CA2730">
        <w:rPr>
          <w:rFonts w:ascii="Times New Roman" w:eastAsia="Times New Roman" w:hAnsi="Times New Roman" w:cs="Times New Roman"/>
          <w:i/>
          <w:iCs/>
          <w:sz w:val="24"/>
          <w:szCs w:val="24"/>
        </w:rPr>
        <w:t xml:space="preserve">Global HIV </w:t>
      </w:r>
      <w:proofErr w:type="spellStart"/>
      <w:r w:rsidRPr="00CA2730">
        <w:rPr>
          <w:rFonts w:ascii="Times New Roman" w:eastAsia="Times New Roman" w:hAnsi="Times New Roman" w:cs="Times New Roman"/>
          <w:i/>
          <w:iCs/>
          <w:sz w:val="24"/>
          <w:szCs w:val="24"/>
        </w:rPr>
        <w:t>programme</w:t>
      </w:r>
      <w:proofErr w:type="spellEnd"/>
      <w:r w:rsidRPr="00CA2730">
        <w:rPr>
          <w:rFonts w:ascii="Times New Roman" w:eastAsia="Times New Roman" w:hAnsi="Times New Roman" w:cs="Times New Roman"/>
          <w:i/>
          <w:iCs/>
          <w:sz w:val="24"/>
          <w:szCs w:val="24"/>
        </w:rPr>
        <w:t xml:space="preserve"> update: Progress toward 95-95-95 targets</w:t>
      </w:r>
      <w:r w:rsidRPr="00CA2730">
        <w:rPr>
          <w:rFonts w:ascii="Times New Roman" w:eastAsia="Times New Roman" w:hAnsi="Times New Roman" w:cs="Times New Roman"/>
          <w:sz w:val="24"/>
          <w:szCs w:val="24"/>
        </w:rPr>
        <w:t>. World Health Organization.</w:t>
      </w:r>
    </w:p>
    <w:p w14:paraId="3FF5B41C" w14:textId="77777777" w:rsidR="00CA2730" w:rsidRPr="00CA2730" w:rsidRDefault="00CA2730"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proofErr w:type="spellStart"/>
      <w:r w:rsidRPr="00CA2730">
        <w:rPr>
          <w:rFonts w:ascii="Times New Roman" w:eastAsia="Times New Roman" w:hAnsi="Times New Roman" w:cs="Times New Roman"/>
          <w:sz w:val="24"/>
          <w:szCs w:val="24"/>
        </w:rPr>
        <w:t>Zakumumpa</w:t>
      </w:r>
      <w:proofErr w:type="spellEnd"/>
      <w:r w:rsidRPr="00CA2730">
        <w:rPr>
          <w:rFonts w:ascii="Times New Roman" w:eastAsia="Times New Roman" w:hAnsi="Times New Roman" w:cs="Times New Roman"/>
          <w:sz w:val="24"/>
          <w:szCs w:val="24"/>
        </w:rPr>
        <w:t xml:space="preserve">, H., </w:t>
      </w:r>
      <w:proofErr w:type="spellStart"/>
      <w:r w:rsidRPr="00CA2730">
        <w:rPr>
          <w:rFonts w:ascii="Times New Roman" w:eastAsia="Times New Roman" w:hAnsi="Times New Roman" w:cs="Times New Roman"/>
          <w:sz w:val="24"/>
          <w:szCs w:val="24"/>
        </w:rPr>
        <w:t>Kiweewa</w:t>
      </w:r>
      <w:proofErr w:type="spellEnd"/>
      <w:r w:rsidRPr="00CA2730">
        <w:rPr>
          <w:rFonts w:ascii="Times New Roman" w:eastAsia="Times New Roman" w:hAnsi="Times New Roman" w:cs="Times New Roman"/>
          <w:sz w:val="24"/>
          <w:szCs w:val="24"/>
        </w:rPr>
        <w:t xml:space="preserve">, F. M., Khuluza, F., &amp; Kitutu, F. E. (2019). The number of clients is increasing but the supplies are reducing: Provider strategies for responding to chronic antiretroviral (ARV) medicines stock outs in resource limited settings: A qualitative study from Uganda. </w:t>
      </w:r>
      <w:r w:rsidRPr="00CA2730">
        <w:rPr>
          <w:rFonts w:ascii="Times New Roman" w:eastAsia="Times New Roman" w:hAnsi="Times New Roman" w:cs="Times New Roman"/>
          <w:i/>
          <w:iCs/>
          <w:sz w:val="24"/>
          <w:szCs w:val="24"/>
        </w:rPr>
        <w:t>BMC Health Services Research</w:t>
      </w:r>
      <w:r w:rsidRPr="00CA2730">
        <w:rPr>
          <w:rFonts w:ascii="Times New Roman" w:eastAsia="Times New Roman" w:hAnsi="Times New Roman" w:cs="Times New Roman"/>
          <w:sz w:val="24"/>
          <w:szCs w:val="24"/>
        </w:rPr>
        <w:t xml:space="preserve">, 19(1), 312. </w:t>
      </w:r>
      <w:hyperlink w:tgtFrame="_blank" w:history="1">
        <w:r w:rsidRPr="00CA2730">
          <w:rPr>
            <w:rStyle w:val="Hyperlink"/>
            <w:rFonts w:ascii="Times New Roman" w:eastAsia="Times New Roman" w:hAnsi="Times New Roman" w:cs="Times New Roman"/>
            <w:sz w:val="24"/>
            <w:szCs w:val="24"/>
          </w:rPr>
          <w:t>https://doi.org/10.1186/s12913-019-4137-7</w:t>
        </w:r>
      </w:hyperlink>
    </w:p>
    <w:p w14:paraId="500B68F8" w14:textId="77777777" w:rsidR="003D5ED2" w:rsidRDefault="003D5ED2"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p>
    <w:p w14:paraId="60C6C0EB" w14:textId="77777777" w:rsidR="004137DD" w:rsidRDefault="004137DD" w:rsidP="001E2609">
      <w:pPr>
        <w:spacing w:before="100" w:beforeAutospacing="1" w:after="100" w:afterAutospacing="1" w:line="240" w:lineRule="auto"/>
        <w:ind w:left="720" w:hanging="720"/>
        <w:jc w:val="both"/>
        <w:rPr>
          <w:rFonts w:ascii="Times New Roman" w:eastAsia="Times New Roman" w:hAnsi="Times New Roman" w:cs="Times New Roman"/>
          <w:sz w:val="24"/>
          <w:szCs w:val="24"/>
        </w:rPr>
      </w:pPr>
    </w:p>
    <w:p w14:paraId="43E3D482" w14:textId="77777777" w:rsidR="004137DD" w:rsidRDefault="004137DD" w:rsidP="001E2609">
      <w:pPr>
        <w:spacing w:before="100" w:beforeAutospacing="1" w:after="100" w:afterAutospacing="1" w:line="240" w:lineRule="auto"/>
        <w:jc w:val="both"/>
        <w:rPr>
          <w:rFonts w:ascii="Times New Roman" w:eastAsia="Times New Roman" w:hAnsi="Times New Roman" w:cs="Times New Roman"/>
          <w:sz w:val="24"/>
          <w:szCs w:val="24"/>
        </w:rPr>
      </w:pPr>
    </w:p>
    <w:p w14:paraId="165C509A" w14:textId="77777777" w:rsidR="004137DD" w:rsidRDefault="004137DD" w:rsidP="001E2609">
      <w:pPr>
        <w:spacing w:before="100" w:beforeAutospacing="1" w:after="100" w:afterAutospacing="1" w:line="240" w:lineRule="auto"/>
        <w:jc w:val="both"/>
        <w:rPr>
          <w:rFonts w:ascii="Times New Roman" w:eastAsia="Times New Roman" w:hAnsi="Times New Roman" w:cs="Times New Roman"/>
          <w:sz w:val="24"/>
          <w:szCs w:val="24"/>
        </w:rPr>
      </w:pPr>
    </w:p>
    <w:p w14:paraId="6E8CE175" w14:textId="77777777" w:rsidR="00CA2730" w:rsidRDefault="00CA2730" w:rsidP="001E2609">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14:paraId="2DB24A94" w14:textId="77777777" w:rsidR="00CA2730" w:rsidRDefault="00CA2730" w:rsidP="001E2609">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14:paraId="2BE3DA05" w14:textId="77777777" w:rsidR="00CA2730" w:rsidRDefault="00CA2730" w:rsidP="001E2609">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14:paraId="5F2FCBE1" w14:textId="77777777" w:rsidR="00CA2730" w:rsidRDefault="00CA2730" w:rsidP="001E2609">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14:paraId="47AD5D51" w14:textId="77777777" w:rsidR="00CA2730" w:rsidRDefault="00CA2730" w:rsidP="001E2609">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14:paraId="60E1B973" w14:textId="77777777" w:rsidR="00CA2730" w:rsidRDefault="00CA2730" w:rsidP="00910313">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14:paraId="4E94667D" w14:textId="77777777" w:rsidR="00CA2730" w:rsidRDefault="00CA2730" w:rsidP="00910313">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14:paraId="2E2CB0F6" w14:textId="77777777" w:rsidR="00CA2730" w:rsidRDefault="00CA2730" w:rsidP="00910313">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14:paraId="038DA842" w14:textId="77777777" w:rsidR="00CA2730" w:rsidRDefault="00CA2730" w:rsidP="00910313">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14:paraId="6C7CAC1D" w14:textId="77777777" w:rsidR="00CA2730" w:rsidRDefault="00CA2730" w:rsidP="00910313">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14:paraId="05E3C0F6" w14:textId="77777777" w:rsidR="00CA2730" w:rsidRDefault="00CA2730" w:rsidP="00910313">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14:paraId="0D6E4A8D" w14:textId="77777777" w:rsidR="00910313" w:rsidRPr="00191E2A" w:rsidRDefault="00910313" w:rsidP="00910313">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sidRPr="00191E2A">
        <w:rPr>
          <w:rFonts w:ascii="Times New Roman" w:eastAsia="Times New Roman" w:hAnsi="Times New Roman" w:cs="Times New Roman"/>
          <w:b/>
          <w:bCs/>
          <w:kern w:val="36"/>
          <w:sz w:val="24"/>
          <w:szCs w:val="24"/>
        </w:rPr>
        <w:lastRenderedPageBreak/>
        <w:t>APPENDICES</w:t>
      </w:r>
      <w:r w:rsidR="00CA2730">
        <w:rPr>
          <w:rFonts w:ascii="Times New Roman" w:eastAsia="Times New Roman" w:hAnsi="Times New Roman" w:cs="Times New Roman"/>
          <w:b/>
          <w:bCs/>
          <w:kern w:val="36"/>
          <w:sz w:val="24"/>
          <w:szCs w:val="24"/>
        </w:rPr>
        <w:t xml:space="preserve"> </w:t>
      </w:r>
    </w:p>
    <w:p w14:paraId="5B2ECB01" w14:textId="77777777" w:rsidR="00910313" w:rsidRPr="00191E2A" w:rsidRDefault="00910313" w:rsidP="00910313">
      <w:pPr>
        <w:spacing w:before="100" w:beforeAutospacing="1" w:after="100" w:afterAutospacing="1" w:line="240" w:lineRule="auto"/>
        <w:outlineLvl w:val="1"/>
        <w:rPr>
          <w:rFonts w:ascii="Times New Roman" w:eastAsia="Times New Roman" w:hAnsi="Times New Roman" w:cs="Times New Roman"/>
          <w:b/>
          <w:bCs/>
          <w:sz w:val="24"/>
          <w:szCs w:val="24"/>
        </w:rPr>
      </w:pPr>
      <w:r w:rsidRPr="00191E2A">
        <w:rPr>
          <w:rFonts w:ascii="Times New Roman" w:eastAsia="Times New Roman" w:hAnsi="Times New Roman" w:cs="Times New Roman"/>
          <w:b/>
          <w:bCs/>
          <w:sz w:val="24"/>
          <w:szCs w:val="24"/>
        </w:rPr>
        <w:t>APPENDIX A: STATISTICAL ANALYSIS SCRIPT (R SOFTWARE)</w:t>
      </w:r>
    </w:p>
    <w:p w14:paraId="2D2EBFA7" w14:textId="77777777" w:rsidR="00910313" w:rsidRDefault="00910313" w:rsidP="00910313">
      <w:pPr>
        <w:spacing w:before="100" w:beforeAutospacing="1" w:after="100" w:afterAutospacing="1" w:line="240" w:lineRule="auto"/>
        <w:rPr>
          <w:rFonts w:ascii="Times New Roman" w:eastAsia="Times New Roman" w:hAnsi="Times New Roman" w:cs="Times New Roman"/>
          <w:sz w:val="24"/>
          <w:szCs w:val="24"/>
        </w:rPr>
      </w:pPr>
      <w:r w:rsidRPr="00191E2A">
        <w:rPr>
          <w:rFonts w:ascii="Times New Roman" w:eastAsia="Times New Roman" w:hAnsi="Times New Roman" w:cs="Times New Roman"/>
          <w:b/>
          <w:bCs/>
          <w:sz w:val="24"/>
          <w:szCs w:val="24"/>
        </w:rPr>
        <w:t>Software Environment:</w:t>
      </w:r>
      <w:r w:rsidRPr="00191E2A">
        <w:rPr>
          <w:rFonts w:ascii="Times New Roman" w:eastAsia="Times New Roman" w:hAnsi="Times New Roman" w:cs="Times New Roman"/>
          <w:sz w:val="24"/>
          <w:szCs w:val="24"/>
        </w:rPr>
        <w:t xml:space="preserve"> R. </w:t>
      </w:r>
    </w:p>
    <w:p w14:paraId="757B3EC9" w14:textId="77777777" w:rsidR="00910313" w:rsidRDefault="00910313" w:rsidP="00910313">
      <w:pPr>
        <w:spacing w:before="100" w:beforeAutospacing="1" w:after="100" w:afterAutospacing="1" w:line="240" w:lineRule="auto"/>
        <w:rPr>
          <w:rFonts w:ascii="Times New Roman" w:eastAsia="Times New Roman" w:hAnsi="Times New Roman" w:cs="Times New Roman"/>
          <w:sz w:val="24"/>
          <w:szCs w:val="24"/>
        </w:rPr>
      </w:pPr>
      <w:r w:rsidRPr="00191E2A">
        <w:rPr>
          <w:rFonts w:ascii="Times New Roman" w:eastAsia="Times New Roman" w:hAnsi="Times New Roman" w:cs="Times New Roman"/>
          <w:b/>
          <w:bCs/>
          <w:sz w:val="24"/>
          <w:szCs w:val="24"/>
        </w:rPr>
        <w:t>Core Packages Utilized:</w:t>
      </w:r>
      <w:r w:rsidRPr="00191E2A">
        <w:rPr>
          <w:rFonts w:ascii="Times New Roman" w:eastAsia="Times New Roman" w:hAnsi="Times New Roman" w:cs="Times New Roman"/>
          <w:sz w:val="24"/>
          <w:szCs w:val="24"/>
        </w:rPr>
        <w:t xml:space="preserve"> </w:t>
      </w:r>
      <w:r w:rsidRPr="00191E2A">
        <w:rPr>
          <w:rFonts w:ascii="Times New Roman" w:eastAsia="Times New Roman" w:hAnsi="Times New Roman" w:cs="Times New Roman"/>
          <w:i/>
          <w:sz w:val="24"/>
          <w:szCs w:val="24"/>
        </w:rPr>
        <w:t>lme4</w:t>
      </w:r>
      <w:r w:rsidRPr="00191E2A">
        <w:rPr>
          <w:rFonts w:ascii="Times New Roman" w:eastAsia="Times New Roman" w:hAnsi="Times New Roman" w:cs="Times New Roman"/>
          <w:sz w:val="24"/>
          <w:szCs w:val="24"/>
        </w:rPr>
        <w:t xml:space="preserve">, </w:t>
      </w:r>
      <w:r w:rsidRPr="00191E2A">
        <w:rPr>
          <w:rFonts w:ascii="Times New Roman" w:eastAsia="Times New Roman" w:hAnsi="Times New Roman" w:cs="Times New Roman"/>
          <w:i/>
          <w:sz w:val="24"/>
          <w:szCs w:val="24"/>
        </w:rPr>
        <w:t>performance</w:t>
      </w:r>
      <w:r w:rsidRPr="00191E2A">
        <w:rPr>
          <w:rFonts w:ascii="Times New Roman" w:eastAsia="Times New Roman" w:hAnsi="Times New Roman" w:cs="Times New Roman"/>
          <w:sz w:val="24"/>
          <w:szCs w:val="24"/>
        </w:rPr>
        <w:t xml:space="preserve">. </w:t>
      </w:r>
    </w:p>
    <w:p w14:paraId="14248C0D" w14:textId="77777777" w:rsidR="00910313" w:rsidRPr="00191E2A" w:rsidRDefault="00910313" w:rsidP="00910313">
      <w:pPr>
        <w:spacing w:before="100" w:beforeAutospacing="1" w:after="100" w:afterAutospacing="1" w:line="240" w:lineRule="auto"/>
        <w:rPr>
          <w:rFonts w:ascii="Times New Roman" w:eastAsia="Times New Roman" w:hAnsi="Times New Roman" w:cs="Times New Roman"/>
          <w:sz w:val="24"/>
          <w:szCs w:val="24"/>
        </w:rPr>
      </w:pPr>
      <w:r w:rsidRPr="00191E2A">
        <w:rPr>
          <w:rFonts w:ascii="Times New Roman" w:eastAsia="Times New Roman" w:hAnsi="Times New Roman" w:cs="Times New Roman"/>
          <w:sz w:val="24"/>
          <w:szCs w:val="24"/>
        </w:rPr>
        <w:t xml:space="preserve">The following script reflects the analytical sequence executed to generate the findings in Chapter 4, encompassing temporal trend recovery, null modeling, and multivariable hierarchical modeling. </w:t>
      </w:r>
    </w:p>
    <w:p w14:paraId="591D78E8" w14:textId="77777777" w:rsidR="00910313" w:rsidRPr="00191E2A" w:rsidRDefault="00910313" w:rsidP="00910313">
      <w:pPr>
        <w:spacing w:after="0" w:line="240" w:lineRule="auto"/>
        <w:rPr>
          <w:rFonts w:ascii="Times New Roman" w:eastAsia="Times New Roman" w:hAnsi="Times New Roman" w:cs="Times New Roman"/>
          <w:sz w:val="24"/>
          <w:szCs w:val="24"/>
        </w:rPr>
      </w:pPr>
      <w:r w:rsidRPr="00191E2A">
        <w:rPr>
          <w:rFonts w:ascii="Times New Roman" w:eastAsia="Times New Roman" w:hAnsi="Times New Roman" w:cs="Times New Roman"/>
          <w:sz w:val="24"/>
          <w:szCs w:val="24"/>
        </w:rPr>
        <w:t>R</w:t>
      </w:r>
    </w:p>
    <w:p w14:paraId="5AB4403C"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91E2A">
        <w:rPr>
          <w:rFonts w:ascii="Courier New" w:eastAsia="Times New Roman" w:hAnsi="Courier New" w:cs="Courier New"/>
          <w:sz w:val="20"/>
          <w:szCs w:val="20"/>
        </w:rPr>
        <w:t># A1. TEMPORAL TREND RECOVERY (SECTION 4.2.2)</w:t>
      </w:r>
    </w:p>
    <w:p w14:paraId="50112379"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spellStart"/>
      <w:r w:rsidRPr="00191E2A">
        <w:rPr>
          <w:rFonts w:ascii="Courier New" w:eastAsia="Times New Roman" w:hAnsi="Courier New" w:cs="Courier New"/>
          <w:sz w:val="20"/>
          <w:szCs w:val="20"/>
        </w:rPr>
        <w:t>get_trend</w:t>
      </w:r>
      <w:proofErr w:type="spellEnd"/>
      <w:r w:rsidRPr="00191E2A">
        <w:rPr>
          <w:rFonts w:ascii="Courier New" w:eastAsia="Times New Roman" w:hAnsi="Courier New" w:cs="Courier New"/>
          <w:sz w:val="20"/>
          <w:szCs w:val="20"/>
        </w:rPr>
        <w:t xml:space="preserve"> &lt;- </w:t>
      </w:r>
      <w:proofErr w:type="gramStart"/>
      <w:r w:rsidRPr="00191E2A">
        <w:rPr>
          <w:rFonts w:ascii="Courier New" w:eastAsia="Times New Roman" w:hAnsi="Courier New" w:cs="Courier New"/>
          <w:sz w:val="20"/>
          <w:szCs w:val="20"/>
        </w:rPr>
        <w:t>function(</w:t>
      </w:r>
      <w:proofErr w:type="spellStart"/>
      <w:proofErr w:type="gramEnd"/>
      <w:r w:rsidRPr="00191E2A">
        <w:rPr>
          <w:rFonts w:ascii="Courier New" w:eastAsia="Times New Roman" w:hAnsi="Courier New" w:cs="Courier New"/>
          <w:sz w:val="20"/>
          <w:szCs w:val="20"/>
        </w:rPr>
        <w:t>year_col</w:t>
      </w:r>
      <w:proofErr w:type="spellEnd"/>
      <w:r w:rsidRPr="00191E2A">
        <w:rPr>
          <w:rFonts w:ascii="Courier New" w:eastAsia="Times New Roman" w:hAnsi="Courier New" w:cs="Courier New"/>
          <w:sz w:val="20"/>
          <w:szCs w:val="20"/>
        </w:rPr>
        <w:t xml:space="preserve">, </w:t>
      </w:r>
      <w:proofErr w:type="spellStart"/>
      <w:r w:rsidRPr="00191E2A">
        <w:rPr>
          <w:rFonts w:ascii="Courier New" w:eastAsia="Times New Roman" w:hAnsi="Courier New" w:cs="Courier New"/>
          <w:sz w:val="20"/>
          <w:szCs w:val="20"/>
        </w:rPr>
        <w:t>res_</w:t>
      </w:r>
      <w:proofErr w:type="gramStart"/>
      <w:r w:rsidRPr="00191E2A">
        <w:rPr>
          <w:rFonts w:ascii="Courier New" w:eastAsia="Times New Roman" w:hAnsi="Courier New" w:cs="Courier New"/>
          <w:sz w:val="20"/>
          <w:szCs w:val="20"/>
        </w:rPr>
        <w:t>col</w:t>
      </w:r>
      <w:proofErr w:type="spellEnd"/>
      <w:r w:rsidRPr="00191E2A">
        <w:rPr>
          <w:rFonts w:ascii="Courier New" w:eastAsia="Times New Roman" w:hAnsi="Courier New" w:cs="Courier New"/>
          <w:sz w:val="20"/>
          <w:szCs w:val="20"/>
        </w:rPr>
        <w:t>) {</w:t>
      </w:r>
      <w:proofErr w:type="gramEnd"/>
    </w:p>
    <w:p w14:paraId="3C8AC574"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91E2A">
        <w:rPr>
          <w:rFonts w:ascii="Courier New" w:eastAsia="Times New Roman" w:hAnsi="Courier New" w:cs="Courier New"/>
          <w:sz w:val="20"/>
          <w:szCs w:val="20"/>
        </w:rPr>
        <w:t xml:space="preserve">    </w:t>
      </w:r>
      <w:proofErr w:type="spellStart"/>
      <w:r w:rsidRPr="00191E2A">
        <w:rPr>
          <w:rFonts w:ascii="Courier New" w:eastAsia="Times New Roman" w:hAnsi="Courier New" w:cs="Courier New"/>
          <w:sz w:val="20"/>
          <w:szCs w:val="20"/>
        </w:rPr>
        <w:t>df</w:t>
      </w:r>
      <w:proofErr w:type="spellEnd"/>
      <w:r w:rsidRPr="00191E2A">
        <w:rPr>
          <w:rFonts w:ascii="Courier New" w:eastAsia="Times New Roman" w:hAnsi="Courier New" w:cs="Courier New"/>
          <w:sz w:val="20"/>
          <w:szCs w:val="20"/>
        </w:rPr>
        <w:t xml:space="preserve"> &lt;- </w:t>
      </w:r>
      <w:proofErr w:type="spellStart"/>
      <w:proofErr w:type="gramStart"/>
      <w:r w:rsidRPr="00191E2A">
        <w:rPr>
          <w:rFonts w:ascii="Courier New" w:eastAsia="Times New Roman" w:hAnsi="Courier New" w:cs="Courier New"/>
          <w:sz w:val="20"/>
          <w:szCs w:val="20"/>
        </w:rPr>
        <w:t>data.frame</w:t>
      </w:r>
      <w:proofErr w:type="spellEnd"/>
      <w:proofErr w:type="gramEnd"/>
      <w:r w:rsidRPr="00191E2A">
        <w:rPr>
          <w:rFonts w:ascii="Courier New" w:eastAsia="Times New Roman" w:hAnsi="Courier New" w:cs="Courier New"/>
          <w:sz w:val="20"/>
          <w:szCs w:val="20"/>
        </w:rPr>
        <w:t xml:space="preserve">(yr = </w:t>
      </w:r>
      <w:proofErr w:type="spellStart"/>
      <w:proofErr w:type="gramStart"/>
      <w:r w:rsidRPr="00191E2A">
        <w:rPr>
          <w:rFonts w:ascii="Courier New" w:eastAsia="Times New Roman" w:hAnsi="Courier New" w:cs="Courier New"/>
          <w:sz w:val="20"/>
          <w:szCs w:val="20"/>
        </w:rPr>
        <w:t>as.numeric</w:t>
      </w:r>
      <w:proofErr w:type="spellEnd"/>
      <w:proofErr w:type="gramEnd"/>
      <w:r w:rsidRPr="00191E2A">
        <w:rPr>
          <w:rFonts w:ascii="Courier New" w:eastAsia="Times New Roman" w:hAnsi="Courier New" w:cs="Courier New"/>
          <w:sz w:val="20"/>
          <w:szCs w:val="20"/>
        </w:rPr>
        <w:t>(format(</w:t>
      </w:r>
      <w:proofErr w:type="spellStart"/>
      <w:proofErr w:type="gramStart"/>
      <w:r w:rsidRPr="00191E2A">
        <w:rPr>
          <w:rFonts w:ascii="Courier New" w:eastAsia="Times New Roman" w:hAnsi="Courier New" w:cs="Courier New"/>
          <w:sz w:val="20"/>
          <w:szCs w:val="20"/>
        </w:rPr>
        <w:t>as.Date</w:t>
      </w:r>
      <w:proofErr w:type="spellEnd"/>
      <w:proofErr w:type="gramEnd"/>
      <w:r w:rsidRPr="00191E2A">
        <w:rPr>
          <w:rFonts w:ascii="Courier New" w:eastAsia="Times New Roman" w:hAnsi="Courier New" w:cs="Courier New"/>
          <w:sz w:val="20"/>
          <w:szCs w:val="20"/>
        </w:rPr>
        <w:t>(</w:t>
      </w:r>
      <w:proofErr w:type="spellStart"/>
      <w:r w:rsidRPr="00191E2A">
        <w:rPr>
          <w:rFonts w:ascii="Courier New" w:eastAsia="Times New Roman" w:hAnsi="Courier New" w:cs="Courier New"/>
          <w:sz w:val="20"/>
          <w:szCs w:val="20"/>
        </w:rPr>
        <w:t>my_</w:t>
      </w:r>
      <w:proofErr w:type="gramStart"/>
      <w:r w:rsidRPr="00191E2A">
        <w:rPr>
          <w:rFonts w:ascii="Courier New" w:eastAsia="Times New Roman" w:hAnsi="Courier New" w:cs="Courier New"/>
          <w:sz w:val="20"/>
          <w:szCs w:val="20"/>
        </w:rPr>
        <w:t>data</w:t>
      </w:r>
      <w:proofErr w:type="spellEnd"/>
      <w:r w:rsidRPr="00191E2A">
        <w:rPr>
          <w:rFonts w:ascii="Courier New" w:eastAsia="Times New Roman" w:hAnsi="Courier New" w:cs="Courier New"/>
          <w:sz w:val="20"/>
          <w:szCs w:val="20"/>
        </w:rPr>
        <w:t>[[</w:t>
      </w:r>
      <w:proofErr w:type="spellStart"/>
      <w:proofErr w:type="gramEnd"/>
      <w:r w:rsidRPr="00191E2A">
        <w:rPr>
          <w:rFonts w:ascii="Courier New" w:eastAsia="Times New Roman" w:hAnsi="Courier New" w:cs="Courier New"/>
          <w:sz w:val="20"/>
          <w:szCs w:val="20"/>
        </w:rPr>
        <w:t>year_col</w:t>
      </w:r>
      <w:proofErr w:type="spellEnd"/>
      <w:r w:rsidRPr="00191E2A">
        <w:rPr>
          <w:rFonts w:ascii="Courier New" w:eastAsia="Times New Roman" w:hAnsi="Courier New" w:cs="Courier New"/>
          <w:sz w:val="20"/>
          <w:szCs w:val="20"/>
        </w:rPr>
        <w:t>]], origin="1582-10-14"), "%</w:t>
      </w:r>
      <w:proofErr w:type="gramStart"/>
      <w:r w:rsidRPr="00191E2A">
        <w:rPr>
          <w:rFonts w:ascii="Courier New" w:eastAsia="Times New Roman" w:hAnsi="Courier New" w:cs="Courier New"/>
          <w:sz w:val="20"/>
          <w:szCs w:val="20"/>
        </w:rPr>
        <w:t>Y")</w:t>
      </w:r>
      <w:proofErr w:type="gramEnd"/>
      <w:r w:rsidRPr="00191E2A">
        <w:rPr>
          <w:rFonts w:ascii="Courier New" w:eastAsia="Times New Roman" w:hAnsi="Courier New" w:cs="Courier New"/>
          <w:sz w:val="20"/>
          <w:szCs w:val="20"/>
        </w:rPr>
        <w:t xml:space="preserve">), </w:t>
      </w:r>
    </w:p>
    <w:p w14:paraId="32C5CD95"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91E2A">
        <w:rPr>
          <w:rFonts w:ascii="Courier New" w:eastAsia="Times New Roman" w:hAnsi="Courier New" w:cs="Courier New"/>
          <w:sz w:val="20"/>
          <w:szCs w:val="20"/>
        </w:rPr>
        <w:t xml:space="preserve">                     res = </w:t>
      </w:r>
      <w:proofErr w:type="spellStart"/>
      <w:proofErr w:type="gramStart"/>
      <w:r w:rsidRPr="00191E2A">
        <w:rPr>
          <w:rFonts w:ascii="Courier New" w:eastAsia="Times New Roman" w:hAnsi="Courier New" w:cs="Courier New"/>
          <w:sz w:val="20"/>
          <w:szCs w:val="20"/>
        </w:rPr>
        <w:t>as.numeric</w:t>
      </w:r>
      <w:proofErr w:type="spellEnd"/>
      <w:proofErr w:type="gramEnd"/>
      <w:r w:rsidRPr="00191E2A">
        <w:rPr>
          <w:rFonts w:ascii="Courier New" w:eastAsia="Times New Roman" w:hAnsi="Courier New" w:cs="Courier New"/>
          <w:sz w:val="20"/>
          <w:szCs w:val="20"/>
        </w:rPr>
        <w:t>(</w:t>
      </w:r>
      <w:proofErr w:type="spellStart"/>
      <w:r w:rsidRPr="00191E2A">
        <w:rPr>
          <w:rFonts w:ascii="Courier New" w:eastAsia="Times New Roman" w:hAnsi="Courier New" w:cs="Courier New"/>
          <w:sz w:val="20"/>
          <w:szCs w:val="20"/>
        </w:rPr>
        <w:t>my_</w:t>
      </w:r>
      <w:proofErr w:type="gramStart"/>
      <w:r w:rsidRPr="00191E2A">
        <w:rPr>
          <w:rFonts w:ascii="Courier New" w:eastAsia="Times New Roman" w:hAnsi="Courier New" w:cs="Courier New"/>
          <w:sz w:val="20"/>
          <w:szCs w:val="20"/>
        </w:rPr>
        <w:t>data</w:t>
      </w:r>
      <w:proofErr w:type="spellEnd"/>
      <w:r w:rsidRPr="00191E2A">
        <w:rPr>
          <w:rFonts w:ascii="Courier New" w:eastAsia="Times New Roman" w:hAnsi="Courier New" w:cs="Courier New"/>
          <w:sz w:val="20"/>
          <w:szCs w:val="20"/>
        </w:rPr>
        <w:t>[[</w:t>
      </w:r>
      <w:proofErr w:type="spellStart"/>
      <w:proofErr w:type="gramEnd"/>
      <w:r w:rsidRPr="00191E2A">
        <w:rPr>
          <w:rFonts w:ascii="Courier New" w:eastAsia="Times New Roman" w:hAnsi="Courier New" w:cs="Courier New"/>
          <w:sz w:val="20"/>
          <w:szCs w:val="20"/>
        </w:rPr>
        <w:t>res_col</w:t>
      </w:r>
      <w:proofErr w:type="spellEnd"/>
      <w:r w:rsidRPr="00191E2A">
        <w:rPr>
          <w:rFonts w:ascii="Courier New" w:eastAsia="Times New Roman" w:hAnsi="Courier New" w:cs="Courier New"/>
          <w:sz w:val="20"/>
          <w:szCs w:val="20"/>
        </w:rPr>
        <w:t>]]))</w:t>
      </w:r>
    </w:p>
    <w:p w14:paraId="696C89D2"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91E2A">
        <w:rPr>
          <w:rFonts w:ascii="Courier New" w:eastAsia="Times New Roman" w:hAnsi="Courier New" w:cs="Courier New"/>
          <w:sz w:val="20"/>
          <w:szCs w:val="20"/>
        </w:rPr>
        <w:t xml:space="preserve">    df &lt;- </w:t>
      </w:r>
      <w:proofErr w:type="spellStart"/>
      <w:r w:rsidRPr="00191E2A">
        <w:rPr>
          <w:rFonts w:ascii="Courier New" w:eastAsia="Times New Roman" w:hAnsi="Courier New" w:cs="Courier New"/>
          <w:sz w:val="20"/>
          <w:szCs w:val="20"/>
        </w:rPr>
        <w:t>df</w:t>
      </w:r>
      <w:proofErr w:type="spellEnd"/>
      <w:proofErr w:type="gramStart"/>
      <w:r w:rsidRPr="00191E2A">
        <w:rPr>
          <w:rFonts w:ascii="Courier New" w:eastAsia="Times New Roman" w:hAnsi="Courier New" w:cs="Courier New"/>
          <w:sz w:val="20"/>
          <w:szCs w:val="20"/>
        </w:rPr>
        <w:t>[!is.na</w:t>
      </w:r>
      <w:proofErr w:type="gramEnd"/>
      <w:r w:rsidRPr="00191E2A">
        <w:rPr>
          <w:rFonts w:ascii="Courier New" w:eastAsia="Times New Roman" w:hAnsi="Courier New" w:cs="Courier New"/>
          <w:sz w:val="20"/>
          <w:szCs w:val="20"/>
        </w:rPr>
        <w:t>(</w:t>
      </w:r>
      <w:proofErr w:type="spellStart"/>
      <w:r w:rsidRPr="00191E2A">
        <w:rPr>
          <w:rFonts w:ascii="Courier New" w:eastAsia="Times New Roman" w:hAnsi="Courier New" w:cs="Courier New"/>
          <w:sz w:val="20"/>
          <w:szCs w:val="20"/>
        </w:rPr>
        <w:t>df$yr</w:t>
      </w:r>
      <w:proofErr w:type="spellEnd"/>
      <w:r w:rsidRPr="00191E2A">
        <w:rPr>
          <w:rFonts w:ascii="Courier New" w:eastAsia="Times New Roman" w:hAnsi="Courier New" w:cs="Courier New"/>
          <w:sz w:val="20"/>
          <w:szCs w:val="20"/>
        </w:rPr>
        <w:t xml:space="preserve">) </w:t>
      </w:r>
      <w:proofErr w:type="gramStart"/>
      <w:r w:rsidRPr="00191E2A">
        <w:rPr>
          <w:rFonts w:ascii="Courier New" w:eastAsia="Times New Roman" w:hAnsi="Courier New" w:cs="Courier New"/>
          <w:sz w:val="20"/>
          <w:szCs w:val="20"/>
        </w:rPr>
        <w:t>&amp; !</w:t>
      </w:r>
      <w:proofErr w:type="gramEnd"/>
      <w:r w:rsidRPr="00191E2A">
        <w:rPr>
          <w:rFonts w:ascii="Courier New" w:eastAsia="Times New Roman" w:hAnsi="Courier New" w:cs="Courier New"/>
          <w:sz w:val="20"/>
          <w:szCs w:val="20"/>
        </w:rPr>
        <w:t>is.na(</w:t>
      </w:r>
      <w:proofErr w:type="spellStart"/>
      <w:r w:rsidRPr="00191E2A">
        <w:rPr>
          <w:rFonts w:ascii="Courier New" w:eastAsia="Times New Roman" w:hAnsi="Courier New" w:cs="Courier New"/>
          <w:sz w:val="20"/>
          <w:szCs w:val="20"/>
        </w:rPr>
        <w:t>df$res</w:t>
      </w:r>
      <w:proofErr w:type="spellEnd"/>
      <w:r w:rsidRPr="00191E2A">
        <w:rPr>
          <w:rFonts w:ascii="Courier New" w:eastAsia="Times New Roman" w:hAnsi="Courier New" w:cs="Courier New"/>
          <w:sz w:val="20"/>
          <w:szCs w:val="20"/>
        </w:rPr>
        <w:t>)</w:t>
      </w:r>
      <w:proofErr w:type="gramStart"/>
      <w:r w:rsidRPr="00191E2A">
        <w:rPr>
          <w:rFonts w:ascii="Courier New" w:eastAsia="Times New Roman" w:hAnsi="Courier New" w:cs="Courier New"/>
          <w:sz w:val="20"/>
          <w:szCs w:val="20"/>
        </w:rPr>
        <w:t>, ]</w:t>
      </w:r>
      <w:proofErr w:type="gramEnd"/>
    </w:p>
    <w:p w14:paraId="03F01C14"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91E2A">
        <w:rPr>
          <w:rFonts w:ascii="Courier New" w:eastAsia="Times New Roman" w:hAnsi="Courier New" w:cs="Courier New"/>
          <w:sz w:val="20"/>
          <w:szCs w:val="20"/>
        </w:rPr>
        <w:t xml:space="preserve">    return(df)</w:t>
      </w:r>
    </w:p>
    <w:p w14:paraId="2D71D620"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91E2A">
        <w:rPr>
          <w:rFonts w:ascii="Courier New" w:eastAsia="Times New Roman" w:hAnsi="Courier New" w:cs="Courier New"/>
          <w:sz w:val="20"/>
          <w:szCs w:val="20"/>
        </w:rPr>
        <w:t>}</w:t>
      </w:r>
    </w:p>
    <w:p w14:paraId="03305F92"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71CF24A0"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spellStart"/>
      <w:r w:rsidRPr="00191E2A">
        <w:rPr>
          <w:rFonts w:ascii="Courier New" w:eastAsia="Times New Roman" w:hAnsi="Courier New" w:cs="Courier New"/>
          <w:sz w:val="20"/>
          <w:szCs w:val="20"/>
        </w:rPr>
        <w:t>all_vls</w:t>
      </w:r>
      <w:proofErr w:type="spellEnd"/>
      <w:r w:rsidRPr="00191E2A">
        <w:rPr>
          <w:rFonts w:ascii="Courier New" w:eastAsia="Times New Roman" w:hAnsi="Courier New" w:cs="Courier New"/>
          <w:sz w:val="20"/>
          <w:szCs w:val="20"/>
        </w:rPr>
        <w:t xml:space="preserve"> &lt;- </w:t>
      </w:r>
      <w:proofErr w:type="spellStart"/>
      <w:proofErr w:type="gramStart"/>
      <w:r w:rsidRPr="00191E2A">
        <w:rPr>
          <w:rFonts w:ascii="Courier New" w:eastAsia="Times New Roman" w:hAnsi="Courier New" w:cs="Courier New"/>
          <w:sz w:val="20"/>
          <w:szCs w:val="20"/>
        </w:rPr>
        <w:t>rbind</w:t>
      </w:r>
      <w:proofErr w:type="spellEnd"/>
      <w:r w:rsidRPr="00191E2A">
        <w:rPr>
          <w:rFonts w:ascii="Courier New" w:eastAsia="Times New Roman" w:hAnsi="Courier New" w:cs="Courier New"/>
          <w:sz w:val="20"/>
          <w:szCs w:val="20"/>
        </w:rPr>
        <w:t>(</w:t>
      </w:r>
      <w:proofErr w:type="gramEnd"/>
    </w:p>
    <w:p w14:paraId="32BCFDFF"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91E2A">
        <w:rPr>
          <w:rFonts w:ascii="Courier New" w:eastAsia="Times New Roman" w:hAnsi="Courier New" w:cs="Courier New"/>
          <w:sz w:val="20"/>
          <w:szCs w:val="20"/>
        </w:rPr>
        <w:t xml:space="preserve">    </w:t>
      </w:r>
      <w:proofErr w:type="spellStart"/>
      <w:r w:rsidRPr="00191E2A">
        <w:rPr>
          <w:rFonts w:ascii="Courier New" w:eastAsia="Times New Roman" w:hAnsi="Courier New" w:cs="Courier New"/>
          <w:sz w:val="20"/>
          <w:szCs w:val="20"/>
        </w:rPr>
        <w:t>get_</w:t>
      </w:r>
      <w:proofErr w:type="gramStart"/>
      <w:r w:rsidRPr="00191E2A">
        <w:rPr>
          <w:rFonts w:ascii="Courier New" w:eastAsia="Times New Roman" w:hAnsi="Courier New" w:cs="Courier New"/>
          <w:sz w:val="20"/>
          <w:szCs w:val="20"/>
        </w:rPr>
        <w:t>trend</w:t>
      </w:r>
      <w:proofErr w:type="spellEnd"/>
      <w:r w:rsidRPr="00191E2A">
        <w:rPr>
          <w:rFonts w:ascii="Courier New" w:eastAsia="Times New Roman" w:hAnsi="Courier New" w:cs="Courier New"/>
          <w:sz w:val="20"/>
          <w:szCs w:val="20"/>
        </w:rPr>
        <w:t>(</w:t>
      </w:r>
      <w:proofErr w:type="gramEnd"/>
      <w:r w:rsidRPr="00191E2A">
        <w:rPr>
          <w:rFonts w:ascii="Courier New" w:eastAsia="Times New Roman" w:hAnsi="Courier New" w:cs="Courier New"/>
          <w:sz w:val="20"/>
          <w:szCs w:val="20"/>
        </w:rPr>
        <w:t>"</w:t>
      </w:r>
      <w:proofErr w:type="spellStart"/>
      <w:r w:rsidRPr="00191E2A">
        <w:rPr>
          <w:rFonts w:ascii="Courier New" w:eastAsia="Times New Roman" w:hAnsi="Courier New" w:cs="Courier New"/>
          <w:sz w:val="20"/>
          <w:szCs w:val="20"/>
        </w:rPr>
        <w:t>DateofBaselineVLyyyymmdd</w:t>
      </w:r>
      <w:proofErr w:type="spellEnd"/>
      <w:r w:rsidRPr="00191E2A">
        <w:rPr>
          <w:rFonts w:ascii="Courier New" w:eastAsia="Times New Roman" w:hAnsi="Courier New" w:cs="Courier New"/>
          <w:sz w:val="20"/>
          <w:szCs w:val="20"/>
        </w:rPr>
        <w:t>", "</w:t>
      </w:r>
      <w:proofErr w:type="spellStart"/>
      <w:r w:rsidRPr="00191E2A">
        <w:rPr>
          <w:rFonts w:ascii="Courier New" w:eastAsia="Times New Roman" w:hAnsi="Courier New" w:cs="Courier New"/>
          <w:sz w:val="20"/>
          <w:szCs w:val="20"/>
        </w:rPr>
        <w:t>Baseline_VL_Supression_Rate</w:t>
      </w:r>
      <w:proofErr w:type="spellEnd"/>
      <w:r w:rsidRPr="00191E2A">
        <w:rPr>
          <w:rFonts w:ascii="Courier New" w:eastAsia="Times New Roman" w:hAnsi="Courier New" w:cs="Courier New"/>
          <w:sz w:val="20"/>
          <w:szCs w:val="20"/>
        </w:rPr>
        <w:t>"),</w:t>
      </w:r>
    </w:p>
    <w:p w14:paraId="1768F163"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91E2A">
        <w:rPr>
          <w:rFonts w:ascii="Courier New" w:eastAsia="Times New Roman" w:hAnsi="Courier New" w:cs="Courier New"/>
          <w:sz w:val="20"/>
          <w:szCs w:val="20"/>
        </w:rPr>
        <w:t xml:space="preserve">    </w:t>
      </w:r>
      <w:proofErr w:type="spellStart"/>
      <w:r w:rsidRPr="00191E2A">
        <w:rPr>
          <w:rFonts w:ascii="Courier New" w:eastAsia="Times New Roman" w:hAnsi="Courier New" w:cs="Courier New"/>
          <w:sz w:val="20"/>
          <w:szCs w:val="20"/>
        </w:rPr>
        <w:t>get_</w:t>
      </w:r>
      <w:proofErr w:type="gramStart"/>
      <w:r w:rsidRPr="00191E2A">
        <w:rPr>
          <w:rFonts w:ascii="Courier New" w:eastAsia="Times New Roman" w:hAnsi="Courier New" w:cs="Courier New"/>
          <w:sz w:val="20"/>
          <w:szCs w:val="20"/>
        </w:rPr>
        <w:t>trend</w:t>
      </w:r>
      <w:proofErr w:type="spellEnd"/>
      <w:r w:rsidRPr="00191E2A">
        <w:rPr>
          <w:rFonts w:ascii="Courier New" w:eastAsia="Times New Roman" w:hAnsi="Courier New" w:cs="Courier New"/>
          <w:sz w:val="20"/>
          <w:szCs w:val="20"/>
        </w:rPr>
        <w:t>(</w:t>
      </w:r>
      <w:proofErr w:type="gramEnd"/>
      <w:r w:rsidRPr="00191E2A">
        <w:rPr>
          <w:rFonts w:ascii="Courier New" w:eastAsia="Times New Roman" w:hAnsi="Courier New" w:cs="Courier New"/>
          <w:sz w:val="20"/>
          <w:szCs w:val="20"/>
        </w:rPr>
        <w:t>"</w:t>
      </w:r>
      <w:proofErr w:type="spellStart"/>
      <w:r w:rsidRPr="00191E2A">
        <w:rPr>
          <w:rFonts w:ascii="Courier New" w:eastAsia="Times New Roman" w:hAnsi="Courier New" w:cs="Courier New"/>
          <w:sz w:val="20"/>
          <w:szCs w:val="20"/>
        </w:rPr>
        <w:t>DateofSecondVLResultyyyymmdd</w:t>
      </w:r>
      <w:proofErr w:type="spellEnd"/>
      <w:r w:rsidRPr="00191E2A">
        <w:rPr>
          <w:rFonts w:ascii="Courier New" w:eastAsia="Times New Roman" w:hAnsi="Courier New" w:cs="Courier New"/>
          <w:sz w:val="20"/>
          <w:szCs w:val="20"/>
        </w:rPr>
        <w:t>", "Followup1SecondViralLoadresultFirstVL"),</w:t>
      </w:r>
    </w:p>
    <w:p w14:paraId="30011CF6"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91E2A">
        <w:rPr>
          <w:rFonts w:ascii="Courier New" w:eastAsia="Times New Roman" w:hAnsi="Courier New" w:cs="Courier New"/>
          <w:sz w:val="20"/>
          <w:szCs w:val="20"/>
        </w:rPr>
        <w:t xml:space="preserve">    </w:t>
      </w:r>
      <w:proofErr w:type="spellStart"/>
      <w:r w:rsidRPr="00191E2A">
        <w:rPr>
          <w:rFonts w:ascii="Courier New" w:eastAsia="Times New Roman" w:hAnsi="Courier New" w:cs="Courier New"/>
          <w:sz w:val="20"/>
          <w:szCs w:val="20"/>
        </w:rPr>
        <w:t>get_</w:t>
      </w:r>
      <w:proofErr w:type="gramStart"/>
      <w:r w:rsidRPr="00191E2A">
        <w:rPr>
          <w:rFonts w:ascii="Courier New" w:eastAsia="Times New Roman" w:hAnsi="Courier New" w:cs="Courier New"/>
          <w:sz w:val="20"/>
          <w:szCs w:val="20"/>
        </w:rPr>
        <w:t>trend</w:t>
      </w:r>
      <w:proofErr w:type="spellEnd"/>
      <w:r w:rsidRPr="00191E2A">
        <w:rPr>
          <w:rFonts w:ascii="Courier New" w:eastAsia="Times New Roman" w:hAnsi="Courier New" w:cs="Courier New"/>
          <w:sz w:val="20"/>
          <w:szCs w:val="20"/>
        </w:rPr>
        <w:t>(</w:t>
      </w:r>
      <w:proofErr w:type="gramEnd"/>
      <w:r w:rsidRPr="00191E2A">
        <w:rPr>
          <w:rFonts w:ascii="Courier New" w:eastAsia="Times New Roman" w:hAnsi="Courier New" w:cs="Courier New"/>
          <w:sz w:val="20"/>
          <w:szCs w:val="20"/>
        </w:rPr>
        <w:t>"</w:t>
      </w:r>
      <w:proofErr w:type="spellStart"/>
      <w:r w:rsidRPr="00191E2A">
        <w:rPr>
          <w:rFonts w:ascii="Courier New" w:eastAsia="Times New Roman" w:hAnsi="Courier New" w:cs="Courier New"/>
          <w:sz w:val="20"/>
          <w:szCs w:val="20"/>
        </w:rPr>
        <w:t>DateofThirdVLResultyyyymmdd</w:t>
      </w:r>
      <w:proofErr w:type="spellEnd"/>
      <w:r w:rsidRPr="00191E2A">
        <w:rPr>
          <w:rFonts w:ascii="Courier New" w:eastAsia="Times New Roman" w:hAnsi="Courier New" w:cs="Courier New"/>
          <w:sz w:val="20"/>
          <w:szCs w:val="20"/>
        </w:rPr>
        <w:t>", "Followup2ThirdViralLoadresultFirstVL"),</w:t>
      </w:r>
    </w:p>
    <w:p w14:paraId="35C0D379"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91E2A">
        <w:rPr>
          <w:rFonts w:ascii="Courier New" w:eastAsia="Times New Roman" w:hAnsi="Courier New" w:cs="Courier New"/>
          <w:sz w:val="20"/>
          <w:szCs w:val="20"/>
        </w:rPr>
        <w:t xml:space="preserve">    </w:t>
      </w:r>
      <w:proofErr w:type="spellStart"/>
      <w:r w:rsidRPr="00191E2A">
        <w:rPr>
          <w:rFonts w:ascii="Courier New" w:eastAsia="Times New Roman" w:hAnsi="Courier New" w:cs="Courier New"/>
          <w:sz w:val="20"/>
          <w:szCs w:val="20"/>
        </w:rPr>
        <w:t>get_</w:t>
      </w:r>
      <w:proofErr w:type="gramStart"/>
      <w:r w:rsidRPr="00191E2A">
        <w:rPr>
          <w:rFonts w:ascii="Courier New" w:eastAsia="Times New Roman" w:hAnsi="Courier New" w:cs="Courier New"/>
          <w:sz w:val="20"/>
          <w:szCs w:val="20"/>
        </w:rPr>
        <w:t>trend</w:t>
      </w:r>
      <w:proofErr w:type="spellEnd"/>
      <w:r w:rsidRPr="00191E2A">
        <w:rPr>
          <w:rFonts w:ascii="Courier New" w:eastAsia="Times New Roman" w:hAnsi="Courier New" w:cs="Courier New"/>
          <w:sz w:val="20"/>
          <w:szCs w:val="20"/>
        </w:rPr>
        <w:t>(</w:t>
      </w:r>
      <w:proofErr w:type="gramEnd"/>
      <w:r w:rsidRPr="00191E2A">
        <w:rPr>
          <w:rFonts w:ascii="Courier New" w:eastAsia="Times New Roman" w:hAnsi="Courier New" w:cs="Courier New"/>
          <w:sz w:val="20"/>
          <w:szCs w:val="20"/>
        </w:rPr>
        <w:t>"</w:t>
      </w:r>
      <w:proofErr w:type="spellStart"/>
      <w:r w:rsidRPr="00191E2A">
        <w:rPr>
          <w:rFonts w:ascii="Courier New" w:eastAsia="Times New Roman" w:hAnsi="Courier New" w:cs="Courier New"/>
          <w:sz w:val="20"/>
          <w:szCs w:val="20"/>
        </w:rPr>
        <w:t>DateofLastVLResultyyyymmdd</w:t>
      </w:r>
      <w:proofErr w:type="spellEnd"/>
      <w:r w:rsidRPr="00191E2A">
        <w:rPr>
          <w:rFonts w:ascii="Courier New" w:eastAsia="Times New Roman" w:hAnsi="Courier New" w:cs="Courier New"/>
          <w:sz w:val="20"/>
          <w:szCs w:val="20"/>
        </w:rPr>
        <w:t>", "</w:t>
      </w:r>
      <w:proofErr w:type="spellStart"/>
      <w:r w:rsidRPr="00191E2A">
        <w:rPr>
          <w:rFonts w:ascii="Courier New" w:eastAsia="Times New Roman" w:hAnsi="Courier New" w:cs="Courier New"/>
          <w:sz w:val="20"/>
          <w:szCs w:val="20"/>
        </w:rPr>
        <w:t>Last_VL_Supression_Rate</w:t>
      </w:r>
      <w:proofErr w:type="spellEnd"/>
      <w:r w:rsidRPr="00191E2A">
        <w:rPr>
          <w:rFonts w:ascii="Courier New" w:eastAsia="Times New Roman" w:hAnsi="Courier New" w:cs="Courier New"/>
          <w:sz w:val="20"/>
          <w:szCs w:val="20"/>
        </w:rPr>
        <w:t>")</w:t>
      </w:r>
    </w:p>
    <w:p w14:paraId="417D9516"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91E2A">
        <w:rPr>
          <w:rFonts w:ascii="Courier New" w:eastAsia="Times New Roman" w:hAnsi="Courier New" w:cs="Courier New"/>
          <w:sz w:val="20"/>
          <w:szCs w:val="20"/>
        </w:rPr>
        <w:t>)</w:t>
      </w:r>
    </w:p>
    <w:p w14:paraId="09CD3574"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2088490E"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spellStart"/>
      <w:r w:rsidRPr="00191E2A">
        <w:rPr>
          <w:rFonts w:ascii="Courier New" w:eastAsia="Times New Roman" w:hAnsi="Courier New" w:cs="Courier New"/>
          <w:sz w:val="20"/>
          <w:szCs w:val="20"/>
        </w:rPr>
        <w:t>all_vls</w:t>
      </w:r>
      <w:proofErr w:type="spellEnd"/>
      <w:r w:rsidRPr="00191E2A">
        <w:rPr>
          <w:rFonts w:ascii="Courier New" w:eastAsia="Times New Roman" w:hAnsi="Courier New" w:cs="Courier New"/>
          <w:sz w:val="20"/>
          <w:szCs w:val="20"/>
        </w:rPr>
        <w:t xml:space="preserve"> %&gt;%</w:t>
      </w:r>
    </w:p>
    <w:p w14:paraId="2767747B"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91E2A">
        <w:rPr>
          <w:rFonts w:ascii="Courier New" w:eastAsia="Times New Roman" w:hAnsi="Courier New" w:cs="Courier New"/>
          <w:sz w:val="20"/>
          <w:szCs w:val="20"/>
        </w:rPr>
        <w:t xml:space="preserve">    </w:t>
      </w:r>
      <w:proofErr w:type="spellStart"/>
      <w:r w:rsidRPr="00191E2A">
        <w:rPr>
          <w:rFonts w:ascii="Courier New" w:eastAsia="Times New Roman" w:hAnsi="Courier New" w:cs="Courier New"/>
          <w:sz w:val="20"/>
          <w:szCs w:val="20"/>
        </w:rPr>
        <w:t>group_by</w:t>
      </w:r>
      <w:proofErr w:type="spellEnd"/>
      <w:r w:rsidRPr="00191E2A">
        <w:rPr>
          <w:rFonts w:ascii="Courier New" w:eastAsia="Times New Roman" w:hAnsi="Courier New" w:cs="Courier New"/>
          <w:sz w:val="20"/>
          <w:szCs w:val="20"/>
        </w:rPr>
        <w:t>(yr) %&gt;%</w:t>
      </w:r>
    </w:p>
    <w:p w14:paraId="46EC56B8"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91E2A">
        <w:rPr>
          <w:rFonts w:ascii="Courier New" w:eastAsia="Times New Roman" w:hAnsi="Courier New" w:cs="Courier New"/>
          <w:sz w:val="20"/>
          <w:szCs w:val="20"/>
        </w:rPr>
        <w:t xml:space="preserve">    </w:t>
      </w:r>
      <w:proofErr w:type="gramStart"/>
      <w:r w:rsidRPr="00191E2A">
        <w:rPr>
          <w:rFonts w:ascii="Courier New" w:eastAsia="Times New Roman" w:hAnsi="Courier New" w:cs="Courier New"/>
          <w:sz w:val="20"/>
          <w:szCs w:val="20"/>
        </w:rPr>
        <w:t>filter(</w:t>
      </w:r>
      <w:proofErr w:type="gramEnd"/>
      <w:r w:rsidRPr="00191E2A">
        <w:rPr>
          <w:rFonts w:ascii="Courier New" w:eastAsia="Times New Roman" w:hAnsi="Courier New" w:cs="Courier New"/>
          <w:sz w:val="20"/>
          <w:szCs w:val="20"/>
        </w:rPr>
        <w:t>yr &gt;= 2019 &amp; yr &lt;= 2025) %&gt;%</w:t>
      </w:r>
    </w:p>
    <w:p w14:paraId="73C7A7FC"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91E2A">
        <w:rPr>
          <w:rFonts w:ascii="Courier New" w:eastAsia="Times New Roman" w:hAnsi="Courier New" w:cs="Courier New"/>
          <w:sz w:val="20"/>
          <w:szCs w:val="20"/>
        </w:rPr>
        <w:t xml:space="preserve">    </w:t>
      </w:r>
      <w:proofErr w:type="gramStart"/>
      <w:r w:rsidRPr="00191E2A">
        <w:rPr>
          <w:rFonts w:ascii="Courier New" w:eastAsia="Times New Roman" w:hAnsi="Courier New" w:cs="Courier New"/>
          <w:sz w:val="20"/>
          <w:szCs w:val="20"/>
        </w:rPr>
        <w:t>summarize(</w:t>
      </w:r>
      <w:proofErr w:type="gramEnd"/>
    </w:p>
    <w:p w14:paraId="4D8451E7"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91E2A">
        <w:rPr>
          <w:rFonts w:ascii="Courier New" w:eastAsia="Times New Roman" w:hAnsi="Courier New" w:cs="Courier New"/>
          <w:sz w:val="20"/>
          <w:szCs w:val="20"/>
        </w:rPr>
        <w:t xml:space="preserve">        </w:t>
      </w:r>
      <w:proofErr w:type="spellStart"/>
      <w:r w:rsidRPr="00191E2A">
        <w:rPr>
          <w:rFonts w:ascii="Courier New" w:eastAsia="Times New Roman" w:hAnsi="Courier New" w:cs="Courier New"/>
          <w:sz w:val="20"/>
          <w:szCs w:val="20"/>
        </w:rPr>
        <w:t>Total_Tests</w:t>
      </w:r>
      <w:proofErr w:type="spellEnd"/>
      <w:r w:rsidRPr="00191E2A">
        <w:rPr>
          <w:rFonts w:ascii="Courier New" w:eastAsia="Times New Roman" w:hAnsi="Courier New" w:cs="Courier New"/>
          <w:sz w:val="20"/>
          <w:szCs w:val="20"/>
        </w:rPr>
        <w:t xml:space="preserve"> = </w:t>
      </w:r>
      <w:proofErr w:type="gramStart"/>
      <w:r w:rsidRPr="00191E2A">
        <w:rPr>
          <w:rFonts w:ascii="Courier New" w:eastAsia="Times New Roman" w:hAnsi="Courier New" w:cs="Courier New"/>
          <w:sz w:val="20"/>
          <w:szCs w:val="20"/>
        </w:rPr>
        <w:t>n(</w:t>
      </w:r>
      <w:proofErr w:type="gramEnd"/>
      <w:r w:rsidRPr="00191E2A">
        <w:rPr>
          <w:rFonts w:ascii="Courier New" w:eastAsia="Times New Roman" w:hAnsi="Courier New" w:cs="Courier New"/>
          <w:sz w:val="20"/>
          <w:szCs w:val="20"/>
        </w:rPr>
        <w:t>),</w:t>
      </w:r>
    </w:p>
    <w:p w14:paraId="6846DF5C"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91E2A">
        <w:rPr>
          <w:rFonts w:ascii="Courier New" w:eastAsia="Times New Roman" w:hAnsi="Courier New" w:cs="Courier New"/>
          <w:sz w:val="20"/>
          <w:szCs w:val="20"/>
        </w:rPr>
        <w:t xml:space="preserve">        Suppressed = </w:t>
      </w:r>
      <w:proofErr w:type="gramStart"/>
      <w:r w:rsidRPr="00191E2A">
        <w:rPr>
          <w:rFonts w:ascii="Courier New" w:eastAsia="Times New Roman" w:hAnsi="Courier New" w:cs="Courier New"/>
          <w:sz w:val="20"/>
          <w:szCs w:val="20"/>
        </w:rPr>
        <w:t>sum(</w:t>
      </w:r>
      <w:proofErr w:type="gramEnd"/>
      <w:r w:rsidRPr="00191E2A">
        <w:rPr>
          <w:rFonts w:ascii="Courier New" w:eastAsia="Times New Roman" w:hAnsi="Courier New" w:cs="Courier New"/>
          <w:sz w:val="20"/>
          <w:szCs w:val="20"/>
        </w:rPr>
        <w:t>res == 1),</w:t>
      </w:r>
    </w:p>
    <w:p w14:paraId="01F3C177"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91E2A">
        <w:rPr>
          <w:rFonts w:ascii="Courier New" w:eastAsia="Times New Roman" w:hAnsi="Courier New" w:cs="Courier New"/>
          <w:sz w:val="20"/>
          <w:szCs w:val="20"/>
        </w:rPr>
        <w:t xml:space="preserve">        Rate = </w:t>
      </w:r>
      <w:proofErr w:type="gramStart"/>
      <w:r w:rsidRPr="00191E2A">
        <w:rPr>
          <w:rFonts w:ascii="Courier New" w:eastAsia="Times New Roman" w:hAnsi="Courier New" w:cs="Courier New"/>
          <w:sz w:val="20"/>
          <w:szCs w:val="20"/>
        </w:rPr>
        <w:t>round(</w:t>
      </w:r>
      <w:proofErr w:type="gramEnd"/>
      <w:r w:rsidRPr="00191E2A">
        <w:rPr>
          <w:rFonts w:ascii="Courier New" w:eastAsia="Times New Roman" w:hAnsi="Courier New" w:cs="Courier New"/>
          <w:sz w:val="20"/>
          <w:szCs w:val="20"/>
        </w:rPr>
        <w:t xml:space="preserve">(Suppressed / </w:t>
      </w:r>
      <w:proofErr w:type="spellStart"/>
      <w:r w:rsidRPr="00191E2A">
        <w:rPr>
          <w:rFonts w:ascii="Courier New" w:eastAsia="Times New Roman" w:hAnsi="Courier New" w:cs="Courier New"/>
          <w:sz w:val="20"/>
          <w:szCs w:val="20"/>
        </w:rPr>
        <w:t>Total_Tests</w:t>
      </w:r>
      <w:proofErr w:type="spellEnd"/>
      <w:r w:rsidRPr="00191E2A">
        <w:rPr>
          <w:rFonts w:ascii="Courier New" w:eastAsia="Times New Roman" w:hAnsi="Courier New" w:cs="Courier New"/>
          <w:sz w:val="20"/>
          <w:szCs w:val="20"/>
        </w:rPr>
        <w:t>) * 100, 2)</w:t>
      </w:r>
    </w:p>
    <w:p w14:paraId="7F519B10"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91E2A">
        <w:rPr>
          <w:rFonts w:ascii="Courier New" w:eastAsia="Times New Roman" w:hAnsi="Courier New" w:cs="Courier New"/>
          <w:sz w:val="20"/>
          <w:szCs w:val="20"/>
        </w:rPr>
        <w:t xml:space="preserve">    )</w:t>
      </w:r>
    </w:p>
    <w:p w14:paraId="78B6B4CA"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1442A398"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91E2A">
        <w:rPr>
          <w:rFonts w:ascii="Courier New" w:eastAsia="Times New Roman" w:hAnsi="Courier New" w:cs="Courier New"/>
          <w:sz w:val="20"/>
          <w:szCs w:val="20"/>
        </w:rPr>
        <w:t># A2. PHASE 3: THE NULL MODEL (Intercept-only)</w:t>
      </w:r>
    </w:p>
    <w:p w14:paraId="5B8ABB95"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spellStart"/>
      <w:r w:rsidRPr="00191E2A">
        <w:rPr>
          <w:rFonts w:ascii="Courier New" w:eastAsia="Times New Roman" w:hAnsi="Courier New" w:cs="Courier New"/>
          <w:sz w:val="20"/>
          <w:szCs w:val="20"/>
        </w:rPr>
        <w:t>model_null</w:t>
      </w:r>
      <w:proofErr w:type="spellEnd"/>
      <w:r w:rsidRPr="00191E2A">
        <w:rPr>
          <w:rFonts w:ascii="Courier New" w:eastAsia="Times New Roman" w:hAnsi="Courier New" w:cs="Courier New"/>
          <w:sz w:val="20"/>
          <w:szCs w:val="20"/>
        </w:rPr>
        <w:t xml:space="preserve"> &lt;- </w:t>
      </w:r>
      <w:proofErr w:type="spellStart"/>
      <w:proofErr w:type="gramStart"/>
      <w:r w:rsidRPr="00191E2A">
        <w:rPr>
          <w:rFonts w:ascii="Courier New" w:eastAsia="Times New Roman" w:hAnsi="Courier New" w:cs="Courier New"/>
          <w:sz w:val="20"/>
          <w:szCs w:val="20"/>
        </w:rPr>
        <w:t>glmer</w:t>
      </w:r>
      <w:proofErr w:type="spellEnd"/>
      <w:r w:rsidRPr="00191E2A">
        <w:rPr>
          <w:rFonts w:ascii="Courier New" w:eastAsia="Times New Roman" w:hAnsi="Courier New" w:cs="Courier New"/>
          <w:sz w:val="20"/>
          <w:szCs w:val="20"/>
        </w:rPr>
        <w:t>(</w:t>
      </w:r>
      <w:proofErr w:type="gramEnd"/>
      <w:r w:rsidRPr="00191E2A">
        <w:rPr>
          <w:rFonts w:ascii="Courier New" w:eastAsia="Times New Roman" w:hAnsi="Courier New" w:cs="Courier New"/>
          <w:sz w:val="20"/>
          <w:szCs w:val="20"/>
        </w:rPr>
        <w:t xml:space="preserve">Outcome ~ 1 + (1 | Facility), </w:t>
      </w:r>
    </w:p>
    <w:p w14:paraId="744B3A43"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91E2A">
        <w:rPr>
          <w:rFonts w:ascii="Courier New" w:eastAsia="Times New Roman" w:hAnsi="Courier New" w:cs="Courier New"/>
          <w:sz w:val="20"/>
          <w:szCs w:val="20"/>
        </w:rPr>
        <w:t xml:space="preserve">                    data = </w:t>
      </w:r>
      <w:proofErr w:type="spellStart"/>
      <w:r w:rsidRPr="00191E2A">
        <w:rPr>
          <w:rFonts w:ascii="Courier New" w:eastAsia="Times New Roman" w:hAnsi="Courier New" w:cs="Courier New"/>
          <w:sz w:val="20"/>
          <w:szCs w:val="20"/>
        </w:rPr>
        <w:t>df_clean</w:t>
      </w:r>
      <w:proofErr w:type="spellEnd"/>
      <w:r w:rsidRPr="00191E2A">
        <w:rPr>
          <w:rFonts w:ascii="Courier New" w:eastAsia="Times New Roman" w:hAnsi="Courier New" w:cs="Courier New"/>
          <w:sz w:val="20"/>
          <w:szCs w:val="20"/>
        </w:rPr>
        <w:t xml:space="preserve">, </w:t>
      </w:r>
    </w:p>
    <w:p w14:paraId="05071534"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91E2A">
        <w:rPr>
          <w:rFonts w:ascii="Courier New" w:eastAsia="Times New Roman" w:hAnsi="Courier New" w:cs="Courier New"/>
          <w:sz w:val="20"/>
          <w:szCs w:val="20"/>
        </w:rPr>
        <w:t xml:space="preserve">                    family = binomial)</w:t>
      </w:r>
    </w:p>
    <w:p w14:paraId="7BC51EEA"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543FEB98"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91E2A">
        <w:rPr>
          <w:rFonts w:ascii="Courier New" w:eastAsia="Times New Roman" w:hAnsi="Courier New" w:cs="Courier New"/>
          <w:sz w:val="20"/>
          <w:szCs w:val="20"/>
        </w:rPr>
        <w:t># A3. PHASE 4: MULTILEVEL LOGISTIC REGRESSION</w:t>
      </w:r>
    </w:p>
    <w:p w14:paraId="333E1856"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91E2A">
        <w:rPr>
          <w:rFonts w:ascii="Courier New" w:eastAsia="Times New Roman" w:hAnsi="Courier New" w:cs="Courier New"/>
          <w:sz w:val="20"/>
          <w:szCs w:val="20"/>
        </w:rPr>
        <w:t># Model 1: Individual-level predictors only (Level 1)</w:t>
      </w:r>
    </w:p>
    <w:p w14:paraId="70386738"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91E2A">
        <w:rPr>
          <w:rFonts w:ascii="Courier New" w:eastAsia="Times New Roman" w:hAnsi="Courier New" w:cs="Courier New"/>
          <w:sz w:val="20"/>
          <w:szCs w:val="20"/>
        </w:rPr>
        <w:t xml:space="preserve">model1 &lt;- </w:t>
      </w:r>
      <w:proofErr w:type="spellStart"/>
      <w:proofErr w:type="gramStart"/>
      <w:r w:rsidRPr="00191E2A">
        <w:rPr>
          <w:rFonts w:ascii="Courier New" w:eastAsia="Times New Roman" w:hAnsi="Courier New" w:cs="Courier New"/>
          <w:sz w:val="20"/>
          <w:szCs w:val="20"/>
        </w:rPr>
        <w:t>glmer</w:t>
      </w:r>
      <w:proofErr w:type="spellEnd"/>
      <w:r w:rsidRPr="00191E2A">
        <w:rPr>
          <w:rFonts w:ascii="Courier New" w:eastAsia="Times New Roman" w:hAnsi="Courier New" w:cs="Courier New"/>
          <w:sz w:val="20"/>
          <w:szCs w:val="20"/>
        </w:rPr>
        <w:t>(</w:t>
      </w:r>
      <w:proofErr w:type="gramEnd"/>
      <w:r w:rsidRPr="00191E2A">
        <w:rPr>
          <w:rFonts w:ascii="Courier New" w:eastAsia="Times New Roman" w:hAnsi="Courier New" w:cs="Courier New"/>
          <w:sz w:val="20"/>
          <w:szCs w:val="20"/>
        </w:rPr>
        <w:t>Outcome ~ AgeGroup + Sex + Marital + Education + Employment + Regimen + MMD + (1 | Facility),</w:t>
      </w:r>
    </w:p>
    <w:p w14:paraId="3EDCB03A"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91E2A">
        <w:rPr>
          <w:rFonts w:ascii="Courier New" w:eastAsia="Times New Roman" w:hAnsi="Courier New" w:cs="Courier New"/>
          <w:sz w:val="20"/>
          <w:szCs w:val="20"/>
        </w:rPr>
        <w:t xml:space="preserve">                data = </w:t>
      </w:r>
      <w:proofErr w:type="spellStart"/>
      <w:r w:rsidRPr="00191E2A">
        <w:rPr>
          <w:rFonts w:ascii="Courier New" w:eastAsia="Times New Roman" w:hAnsi="Courier New" w:cs="Courier New"/>
          <w:sz w:val="20"/>
          <w:szCs w:val="20"/>
        </w:rPr>
        <w:t>df_clean</w:t>
      </w:r>
      <w:proofErr w:type="spellEnd"/>
      <w:r w:rsidRPr="00191E2A">
        <w:rPr>
          <w:rFonts w:ascii="Courier New" w:eastAsia="Times New Roman" w:hAnsi="Courier New" w:cs="Courier New"/>
          <w:sz w:val="20"/>
          <w:szCs w:val="20"/>
        </w:rPr>
        <w:t>, family = binomial)</w:t>
      </w:r>
    </w:p>
    <w:p w14:paraId="336175AA"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3CEBD75F"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91E2A">
        <w:rPr>
          <w:rFonts w:ascii="Courier New" w:eastAsia="Times New Roman" w:hAnsi="Courier New" w:cs="Courier New"/>
          <w:sz w:val="20"/>
          <w:szCs w:val="20"/>
        </w:rPr>
        <w:t># Model 2: Individual + Facility-level predictors (Level 1 + Level 2)</w:t>
      </w:r>
    </w:p>
    <w:p w14:paraId="3EB21E78"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91E2A">
        <w:rPr>
          <w:rFonts w:ascii="Courier New" w:eastAsia="Times New Roman" w:hAnsi="Courier New" w:cs="Courier New"/>
          <w:sz w:val="20"/>
          <w:szCs w:val="20"/>
        </w:rPr>
        <w:t xml:space="preserve">model2 &lt;- </w:t>
      </w:r>
      <w:proofErr w:type="spellStart"/>
      <w:proofErr w:type="gramStart"/>
      <w:r w:rsidRPr="00191E2A">
        <w:rPr>
          <w:rFonts w:ascii="Courier New" w:eastAsia="Times New Roman" w:hAnsi="Courier New" w:cs="Courier New"/>
          <w:sz w:val="20"/>
          <w:szCs w:val="20"/>
        </w:rPr>
        <w:t>glmer</w:t>
      </w:r>
      <w:proofErr w:type="spellEnd"/>
      <w:r w:rsidRPr="00191E2A">
        <w:rPr>
          <w:rFonts w:ascii="Courier New" w:eastAsia="Times New Roman" w:hAnsi="Courier New" w:cs="Courier New"/>
          <w:sz w:val="20"/>
          <w:szCs w:val="20"/>
        </w:rPr>
        <w:t>(</w:t>
      </w:r>
      <w:proofErr w:type="gramEnd"/>
      <w:r w:rsidRPr="00191E2A">
        <w:rPr>
          <w:rFonts w:ascii="Courier New" w:eastAsia="Times New Roman" w:hAnsi="Courier New" w:cs="Courier New"/>
          <w:sz w:val="20"/>
          <w:szCs w:val="20"/>
        </w:rPr>
        <w:t xml:space="preserve">Outcome ~ AgeGroup + Sex + Marital + Education + Employment + Regimen + MMD + </w:t>
      </w:r>
    </w:p>
    <w:p w14:paraId="5247BBF5"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91E2A">
        <w:rPr>
          <w:rFonts w:ascii="Courier New" w:eastAsia="Times New Roman" w:hAnsi="Courier New" w:cs="Courier New"/>
          <w:sz w:val="20"/>
          <w:szCs w:val="20"/>
        </w:rPr>
        <w:lastRenderedPageBreak/>
        <w:t xml:space="preserve">                    Location + Tier + Ownership + (1 | Facility),</w:t>
      </w:r>
    </w:p>
    <w:p w14:paraId="25028218"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91E2A">
        <w:rPr>
          <w:rFonts w:ascii="Courier New" w:eastAsia="Times New Roman" w:hAnsi="Courier New" w:cs="Courier New"/>
          <w:sz w:val="20"/>
          <w:szCs w:val="20"/>
        </w:rPr>
        <w:t xml:space="preserve">                data = </w:t>
      </w:r>
      <w:proofErr w:type="spellStart"/>
      <w:r w:rsidRPr="00191E2A">
        <w:rPr>
          <w:rFonts w:ascii="Courier New" w:eastAsia="Times New Roman" w:hAnsi="Courier New" w:cs="Courier New"/>
          <w:sz w:val="20"/>
          <w:szCs w:val="20"/>
        </w:rPr>
        <w:t>df_clean</w:t>
      </w:r>
      <w:proofErr w:type="spellEnd"/>
      <w:r w:rsidRPr="00191E2A">
        <w:rPr>
          <w:rFonts w:ascii="Courier New" w:eastAsia="Times New Roman" w:hAnsi="Courier New" w:cs="Courier New"/>
          <w:sz w:val="20"/>
          <w:szCs w:val="20"/>
        </w:rPr>
        <w:t>, family = binomial)</w:t>
      </w:r>
    </w:p>
    <w:p w14:paraId="6C458F42"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4395CE30"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91E2A">
        <w:rPr>
          <w:rFonts w:ascii="Courier New" w:eastAsia="Times New Roman" w:hAnsi="Courier New" w:cs="Courier New"/>
          <w:sz w:val="20"/>
          <w:szCs w:val="20"/>
        </w:rPr>
        <w:t># A4. MODEL COMPARISON AND PARAMETER EXTRACTION</w:t>
      </w:r>
    </w:p>
    <w:p w14:paraId="6513E0FA"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spellStart"/>
      <w:proofErr w:type="gramStart"/>
      <w:r w:rsidRPr="00191E2A">
        <w:rPr>
          <w:rFonts w:ascii="Courier New" w:eastAsia="Times New Roman" w:hAnsi="Courier New" w:cs="Courier New"/>
          <w:sz w:val="20"/>
          <w:szCs w:val="20"/>
        </w:rPr>
        <w:t>anova</w:t>
      </w:r>
      <w:proofErr w:type="spellEnd"/>
      <w:r w:rsidRPr="00191E2A">
        <w:rPr>
          <w:rFonts w:ascii="Courier New" w:eastAsia="Times New Roman" w:hAnsi="Courier New" w:cs="Courier New"/>
          <w:sz w:val="20"/>
          <w:szCs w:val="20"/>
        </w:rPr>
        <w:t>(</w:t>
      </w:r>
      <w:proofErr w:type="gramEnd"/>
      <w:r w:rsidRPr="00191E2A">
        <w:rPr>
          <w:rFonts w:ascii="Courier New" w:eastAsia="Times New Roman" w:hAnsi="Courier New" w:cs="Courier New"/>
          <w:sz w:val="20"/>
          <w:szCs w:val="20"/>
        </w:rPr>
        <w:t>model1, model2)</w:t>
      </w:r>
    </w:p>
    <w:p w14:paraId="46AAB2FB"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91E2A">
        <w:rPr>
          <w:rFonts w:ascii="Courier New" w:eastAsia="Times New Roman" w:hAnsi="Courier New" w:cs="Courier New"/>
          <w:sz w:val="20"/>
          <w:szCs w:val="20"/>
        </w:rPr>
        <w:t>exp(</w:t>
      </w:r>
      <w:proofErr w:type="spellStart"/>
      <w:r w:rsidRPr="00191E2A">
        <w:rPr>
          <w:rFonts w:ascii="Courier New" w:eastAsia="Times New Roman" w:hAnsi="Courier New" w:cs="Courier New"/>
          <w:sz w:val="20"/>
          <w:szCs w:val="20"/>
        </w:rPr>
        <w:t>fixef</w:t>
      </w:r>
      <w:proofErr w:type="spellEnd"/>
      <w:r w:rsidRPr="00191E2A">
        <w:rPr>
          <w:rFonts w:ascii="Courier New" w:eastAsia="Times New Roman" w:hAnsi="Courier New" w:cs="Courier New"/>
          <w:sz w:val="20"/>
          <w:szCs w:val="20"/>
        </w:rPr>
        <w:t>(model1))</w:t>
      </w:r>
    </w:p>
    <w:p w14:paraId="1DA1310F" w14:textId="77777777" w:rsidR="00910313" w:rsidRPr="00191E2A" w:rsidRDefault="00910313" w:rsidP="00910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191E2A">
        <w:rPr>
          <w:rFonts w:ascii="Courier New" w:eastAsia="Times New Roman" w:hAnsi="Courier New" w:cs="Courier New"/>
          <w:sz w:val="20"/>
          <w:szCs w:val="20"/>
        </w:rPr>
        <w:t>exp(</w:t>
      </w:r>
      <w:proofErr w:type="spellStart"/>
      <w:r w:rsidRPr="00191E2A">
        <w:rPr>
          <w:rFonts w:ascii="Courier New" w:eastAsia="Times New Roman" w:hAnsi="Courier New" w:cs="Courier New"/>
          <w:sz w:val="20"/>
          <w:szCs w:val="20"/>
        </w:rPr>
        <w:t>confint</w:t>
      </w:r>
      <w:proofErr w:type="spellEnd"/>
      <w:r w:rsidRPr="00191E2A">
        <w:rPr>
          <w:rFonts w:ascii="Courier New" w:eastAsia="Times New Roman" w:hAnsi="Courier New" w:cs="Courier New"/>
          <w:sz w:val="20"/>
          <w:szCs w:val="20"/>
        </w:rPr>
        <w:t>(</w:t>
      </w:r>
      <w:proofErr w:type="gramEnd"/>
      <w:r w:rsidRPr="00191E2A">
        <w:rPr>
          <w:rFonts w:ascii="Courier New" w:eastAsia="Times New Roman" w:hAnsi="Courier New" w:cs="Courier New"/>
          <w:sz w:val="20"/>
          <w:szCs w:val="20"/>
        </w:rPr>
        <w:t>model1, method="Wald"))</w:t>
      </w:r>
    </w:p>
    <w:p w14:paraId="4BE3D92D" w14:textId="77777777" w:rsidR="00910313" w:rsidRPr="00191E2A" w:rsidRDefault="00910313" w:rsidP="00910313">
      <w:pPr>
        <w:spacing w:after="0" w:line="240" w:lineRule="auto"/>
        <w:rPr>
          <w:rFonts w:ascii="Times New Roman" w:eastAsia="Times New Roman" w:hAnsi="Times New Roman" w:cs="Times New Roman"/>
          <w:sz w:val="24"/>
          <w:szCs w:val="24"/>
        </w:rPr>
      </w:pPr>
    </w:p>
    <w:p w14:paraId="7F0F6D2F" w14:textId="77777777" w:rsidR="00910313" w:rsidRPr="00191E2A" w:rsidRDefault="00910313" w:rsidP="00910313">
      <w:pPr>
        <w:spacing w:after="0" w:line="240" w:lineRule="auto"/>
        <w:outlineLvl w:val="1"/>
        <w:rPr>
          <w:rFonts w:ascii="Courier New" w:eastAsia="Times New Roman" w:hAnsi="Courier New" w:cs="Courier New"/>
          <w:b/>
          <w:bCs/>
          <w:sz w:val="24"/>
          <w:szCs w:val="24"/>
        </w:rPr>
      </w:pPr>
      <w:r w:rsidRPr="00191E2A">
        <w:rPr>
          <w:rFonts w:ascii="Courier New" w:eastAsia="Times New Roman" w:hAnsi="Courier New" w:cs="Courier New"/>
          <w:b/>
          <w:bCs/>
          <w:sz w:val="24"/>
          <w:szCs w:val="24"/>
        </w:rPr>
        <w:t>APPENDIX B: RAW STATISTICAL OUTPUT AND MODEL DIAGNOSTICS</w:t>
      </w:r>
    </w:p>
    <w:p w14:paraId="0DDC9C1D" w14:textId="77777777" w:rsidR="00910313" w:rsidRDefault="00910313" w:rsidP="00910313">
      <w:pPr>
        <w:spacing w:after="0" w:line="240" w:lineRule="auto"/>
        <w:outlineLvl w:val="2"/>
        <w:rPr>
          <w:rFonts w:ascii="Courier New" w:eastAsia="Times New Roman" w:hAnsi="Courier New" w:cs="Courier New"/>
          <w:b/>
          <w:bCs/>
          <w:sz w:val="24"/>
          <w:szCs w:val="24"/>
        </w:rPr>
      </w:pPr>
      <w:r w:rsidRPr="00191E2A">
        <w:rPr>
          <w:rFonts w:ascii="Courier New" w:eastAsia="Times New Roman" w:hAnsi="Courier New" w:cs="Courier New"/>
          <w:b/>
          <w:bCs/>
          <w:sz w:val="24"/>
          <w:szCs w:val="24"/>
        </w:rPr>
        <w:t>B1. Null Model Variance Parameters (Phase 3)</w:t>
      </w:r>
    </w:p>
    <w:p w14:paraId="635DB7B6" w14:textId="77777777" w:rsidR="00910313" w:rsidRPr="00191E2A" w:rsidRDefault="00910313" w:rsidP="00910313">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Prior to introducing fixed effects, the intercept-only model established the baseline institutional variance across the study sites. </w:t>
      </w:r>
    </w:p>
    <w:p w14:paraId="1D5D9D48" w14:textId="77777777" w:rsidR="00910313" w:rsidRPr="00191E2A" w:rsidRDefault="00910313" w:rsidP="00910313">
      <w:pPr>
        <w:numPr>
          <w:ilvl w:val="0"/>
          <w:numId w:val="6"/>
        </w:numPr>
        <w:spacing w:after="0" w:line="240" w:lineRule="auto"/>
        <w:rPr>
          <w:rFonts w:ascii="Courier New" w:eastAsia="Times New Roman" w:hAnsi="Courier New" w:cs="Courier New"/>
          <w:sz w:val="24"/>
          <w:szCs w:val="24"/>
        </w:rPr>
      </w:pPr>
      <w:r w:rsidRPr="00191E2A">
        <w:rPr>
          <w:rFonts w:ascii="Courier New" w:eastAsia="Times New Roman" w:hAnsi="Courier New" w:cs="Courier New"/>
          <w:b/>
          <w:bCs/>
          <w:sz w:val="24"/>
          <w:szCs w:val="24"/>
        </w:rPr>
        <w:t>Between-Facility Variance ($\tau^2$):</w:t>
      </w:r>
      <w:r w:rsidRPr="00191E2A">
        <w:rPr>
          <w:rFonts w:ascii="Courier New" w:eastAsia="Times New Roman" w:hAnsi="Courier New" w:cs="Courier New"/>
          <w:sz w:val="24"/>
          <w:szCs w:val="24"/>
        </w:rPr>
        <w:t xml:space="preserve"> 0.1075 </w:t>
      </w:r>
    </w:p>
    <w:p w14:paraId="2B6796AB" w14:textId="77777777" w:rsidR="00910313" w:rsidRPr="00191E2A" w:rsidRDefault="00910313" w:rsidP="00910313">
      <w:pPr>
        <w:numPr>
          <w:ilvl w:val="0"/>
          <w:numId w:val="6"/>
        </w:numPr>
        <w:spacing w:after="0" w:line="240" w:lineRule="auto"/>
        <w:rPr>
          <w:rFonts w:ascii="Courier New" w:eastAsia="Times New Roman" w:hAnsi="Courier New" w:cs="Courier New"/>
          <w:sz w:val="24"/>
          <w:szCs w:val="24"/>
        </w:rPr>
      </w:pPr>
      <w:r w:rsidRPr="00191E2A">
        <w:rPr>
          <w:rFonts w:ascii="Courier New" w:eastAsia="Times New Roman" w:hAnsi="Courier New" w:cs="Courier New"/>
          <w:b/>
          <w:bCs/>
          <w:sz w:val="24"/>
          <w:szCs w:val="24"/>
        </w:rPr>
        <w:t>Intraclass Correlation Coefficient (ICC):</w:t>
      </w:r>
      <w:r w:rsidRPr="00191E2A">
        <w:rPr>
          <w:rFonts w:ascii="Courier New" w:eastAsia="Times New Roman" w:hAnsi="Courier New" w:cs="Courier New"/>
          <w:sz w:val="24"/>
          <w:szCs w:val="24"/>
        </w:rPr>
        <w:t xml:space="preserve"> 3.16 % </w:t>
      </w:r>
    </w:p>
    <w:p w14:paraId="400BEAD9" w14:textId="77777777" w:rsidR="00910313" w:rsidRPr="00191E2A" w:rsidRDefault="00910313" w:rsidP="00910313">
      <w:pPr>
        <w:numPr>
          <w:ilvl w:val="0"/>
          <w:numId w:val="6"/>
        </w:numPr>
        <w:spacing w:after="0" w:line="240" w:lineRule="auto"/>
        <w:rPr>
          <w:rFonts w:ascii="Courier New" w:eastAsia="Times New Roman" w:hAnsi="Courier New" w:cs="Courier New"/>
          <w:sz w:val="24"/>
          <w:szCs w:val="24"/>
        </w:rPr>
      </w:pPr>
      <w:r w:rsidRPr="00191E2A">
        <w:rPr>
          <w:rFonts w:ascii="Courier New" w:eastAsia="Times New Roman" w:hAnsi="Courier New" w:cs="Courier New"/>
          <w:b/>
          <w:bCs/>
          <w:sz w:val="24"/>
          <w:szCs w:val="24"/>
        </w:rPr>
        <w:t>Median Odds Ratio (MOR):</w:t>
      </w:r>
      <w:r w:rsidRPr="00191E2A">
        <w:rPr>
          <w:rFonts w:ascii="Courier New" w:eastAsia="Times New Roman" w:hAnsi="Courier New" w:cs="Courier New"/>
          <w:sz w:val="24"/>
          <w:szCs w:val="24"/>
        </w:rPr>
        <w:t xml:space="preserve"> 1.365 </w:t>
      </w:r>
    </w:p>
    <w:p w14:paraId="243D60AC" w14:textId="77777777" w:rsidR="00910313" w:rsidRPr="00191E2A" w:rsidRDefault="00910313" w:rsidP="00910313">
      <w:pPr>
        <w:spacing w:after="0" w:line="240" w:lineRule="auto"/>
        <w:outlineLvl w:val="2"/>
        <w:rPr>
          <w:rFonts w:ascii="Courier New" w:eastAsia="Times New Roman" w:hAnsi="Courier New" w:cs="Courier New"/>
          <w:b/>
          <w:bCs/>
          <w:sz w:val="24"/>
          <w:szCs w:val="24"/>
        </w:rPr>
      </w:pPr>
      <w:r w:rsidRPr="00191E2A">
        <w:rPr>
          <w:rFonts w:ascii="Courier New" w:eastAsia="Times New Roman" w:hAnsi="Courier New" w:cs="Courier New"/>
          <w:b/>
          <w:bCs/>
          <w:sz w:val="24"/>
          <w:szCs w:val="24"/>
        </w:rPr>
        <w:t>B2. Likelihood Ratio Test (Model Comparison)</w:t>
      </w:r>
    </w:p>
    <w:p w14:paraId="61B27828" w14:textId="77777777" w:rsidR="00910313" w:rsidRDefault="00910313" w:rsidP="00910313">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The Likelihood Ratio Test evaluated whether the inclusion of Level-2 facility factors (Model 2) significantly improved predictive capacity over Level-1 factors alone (Model 1).</w:t>
      </w:r>
    </w:p>
    <w:p w14:paraId="16B86FEC" w14:textId="77777777" w:rsidR="00910313" w:rsidRPr="00191E2A" w:rsidRDefault="00910313" w:rsidP="00910313">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70"/>
        <w:gridCol w:w="667"/>
        <w:gridCol w:w="955"/>
        <w:gridCol w:w="955"/>
        <w:gridCol w:w="1099"/>
        <w:gridCol w:w="1243"/>
        <w:gridCol w:w="955"/>
        <w:gridCol w:w="379"/>
        <w:gridCol w:w="1114"/>
      </w:tblGrid>
      <w:tr w:rsidR="00910313" w:rsidRPr="00191E2A" w14:paraId="6D50F912" w14:textId="77777777" w:rsidTr="00496CBB">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CAA7EF6"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b/>
                <w:bCs/>
                <w:sz w:val="24"/>
                <w:szCs w:val="24"/>
              </w:rPr>
              <w:t>Model</w:t>
            </w:r>
          </w:p>
        </w:tc>
        <w:tc>
          <w:tcPr>
            <w:tcW w:w="0" w:type="auto"/>
            <w:tcBorders>
              <w:top w:val="single" w:sz="6" w:space="0" w:color="auto"/>
              <w:left w:val="single" w:sz="6" w:space="0" w:color="auto"/>
              <w:bottom w:val="single" w:sz="6" w:space="0" w:color="auto"/>
              <w:right w:val="single" w:sz="6" w:space="0" w:color="auto"/>
            </w:tcBorders>
            <w:vAlign w:val="center"/>
            <w:hideMark/>
          </w:tcPr>
          <w:p w14:paraId="73D56F1E" w14:textId="77777777" w:rsidR="00910313" w:rsidRPr="00191E2A" w:rsidRDefault="00910313" w:rsidP="00496CBB">
            <w:pPr>
              <w:spacing w:after="0" w:line="240" w:lineRule="auto"/>
              <w:rPr>
                <w:rFonts w:ascii="Courier New" w:eastAsia="Times New Roman" w:hAnsi="Courier New" w:cs="Courier New"/>
                <w:sz w:val="24"/>
                <w:szCs w:val="24"/>
              </w:rPr>
            </w:pPr>
            <w:proofErr w:type="spellStart"/>
            <w:r w:rsidRPr="00191E2A">
              <w:rPr>
                <w:rFonts w:ascii="Courier New" w:eastAsia="Times New Roman" w:hAnsi="Courier New" w:cs="Courier New"/>
                <w:b/>
                <w:bCs/>
                <w:sz w:val="24"/>
                <w:szCs w:val="24"/>
              </w:rPr>
              <w:t>npar</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5E14C43D"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b/>
                <w:bCs/>
                <w:sz w:val="24"/>
                <w:szCs w:val="24"/>
              </w:rPr>
              <w:t>AIC</w:t>
            </w:r>
          </w:p>
        </w:tc>
        <w:tc>
          <w:tcPr>
            <w:tcW w:w="0" w:type="auto"/>
            <w:tcBorders>
              <w:top w:val="single" w:sz="6" w:space="0" w:color="auto"/>
              <w:left w:val="single" w:sz="6" w:space="0" w:color="auto"/>
              <w:bottom w:val="single" w:sz="6" w:space="0" w:color="auto"/>
              <w:right w:val="single" w:sz="6" w:space="0" w:color="auto"/>
            </w:tcBorders>
            <w:vAlign w:val="center"/>
            <w:hideMark/>
          </w:tcPr>
          <w:p w14:paraId="5DB93931"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b/>
                <w:bCs/>
                <w:sz w:val="24"/>
                <w:szCs w:val="24"/>
              </w:rPr>
              <w:t>BIC</w:t>
            </w:r>
          </w:p>
        </w:tc>
        <w:tc>
          <w:tcPr>
            <w:tcW w:w="0" w:type="auto"/>
            <w:tcBorders>
              <w:top w:val="single" w:sz="6" w:space="0" w:color="auto"/>
              <w:left w:val="single" w:sz="6" w:space="0" w:color="auto"/>
              <w:bottom w:val="single" w:sz="6" w:space="0" w:color="auto"/>
              <w:right w:val="single" w:sz="6" w:space="0" w:color="auto"/>
            </w:tcBorders>
            <w:vAlign w:val="center"/>
            <w:hideMark/>
          </w:tcPr>
          <w:p w14:paraId="25D3EF42" w14:textId="77777777" w:rsidR="00910313" w:rsidRPr="00191E2A" w:rsidRDefault="00910313" w:rsidP="00496CBB">
            <w:pPr>
              <w:spacing w:after="0" w:line="240" w:lineRule="auto"/>
              <w:rPr>
                <w:rFonts w:ascii="Courier New" w:eastAsia="Times New Roman" w:hAnsi="Courier New" w:cs="Courier New"/>
                <w:sz w:val="24"/>
                <w:szCs w:val="24"/>
              </w:rPr>
            </w:pPr>
            <w:proofErr w:type="spellStart"/>
            <w:r w:rsidRPr="00191E2A">
              <w:rPr>
                <w:rFonts w:ascii="Courier New" w:eastAsia="Times New Roman" w:hAnsi="Courier New" w:cs="Courier New"/>
                <w:b/>
                <w:bCs/>
                <w:sz w:val="24"/>
                <w:szCs w:val="24"/>
              </w:rPr>
              <w:t>logLik</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4E8E8460"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b/>
                <w:bCs/>
                <w:sz w:val="24"/>
                <w:szCs w:val="24"/>
              </w:rPr>
              <w:t>Deviance</w:t>
            </w:r>
          </w:p>
        </w:tc>
        <w:tc>
          <w:tcPr>
            <w:tcW w:w="0" w:type="auto"/>
            <w:tcBorders>
              <w:top w:val="single" w:sz="6" w:space="0" w:color="auto"/>
              <w:left w:val="single" w:sz="6" w:space="0" w:color="auto"/>
              <w:bottom w:val="single" w:sz="6" w:space="0" w:color="auto"/>
              <w:right w:val="single" w:sz="6" w:space="0" w:color="auto"/>
            </w:tcBorders>
            <w:vAlign w:val="center"/>
            <w:hideMark/>
          </w:tcPr>
          <w:p w14:paraId="4C794911"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b/>
                <w:bCs/>
                <w:sz w:val="24"/>
                <w:szCs w:val="24"/>
              </w:rPr>
              <w:t>χ2</w:t>
            </w:r>
          </w:p>
        </w:tc>
        <w:tc>
          <w:tcPr>
            <w:tcW w:w="0" w:type="auto"/>
            <w:tcBorders>
              <w:top w:val="single" w:sz="6" w:space="0" w:color="auto"/>
              <w:left w:val="single" w:sz="6" w:space="0" w:color="auto"/>
              <w:bottom w:val="single" w:sz="6" w:space="0" w:color="auto"/>
              <w:right w:val="single" w:sz="6" w:space="0" w:color="auto"/>
            </w:tcBorders>
            <w:vAlign w:val="center"/>
            <w:hideMark/>
          </w:tcPr>
          <w:p w14:paraId="63F4E41F"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b/>
                <w:bCs/>
                <w:sz w:val="24"/>
                <w:szCs w:val="24"/>
              </w:rPr>
              <w:t>Df</w:t>
            </w:r>
          </w:p>
        </w:tc>
        <w:tc>
          <w:tcPr>
            <w:tcW w:w="0" w:type="auto"/>
            <w:tcBorders>
              <w:top w:val="single" w:sz="6" w:space="0" w:color="auto"/>
              <w:left w:val="single" w:sz="6" w:space="0" w:color="auto"/>
              <w:bottom w:val="single" w:sz="6" w:space="0" w:color="auto"/>
              <w:right w:val="single" w:sz="6" w:space="0" w:color="auto"/>
            </w:tcBorders>
            <w:vAlign w:val="center"/>
            <w:hideMark/>
          </w:tcPr>
          <w:p w14:paraId="44E05606" w14:textId="77777777" w:rsidR="00910313" w:rsidRPr="00191E2A" w:rsidRDefault="00910313" w:rsidP="00496CBB">
            <w:pPr>
              <w:spacing w:after="0" w:line="240" w:lineRule="auto"/>
              <w:rPr>
                <w:rFonts w:ascii="Courier New" w:eastAsia="Times New Roman" w:hAnsi="Courier New" w:cs="Courier New"/>
                <w:sz w:val="24"/>
                <w:szCs w:val="24"/>
              </w:rPr>
            </w:pPr>
            <w:proofErr w:type="spellStart"/>
            <w:r w:rsidRPr="00191E2A">
              <w:rPr>
                <w:rFonts w:ascii="Courier New" w:eastAsia="Times New Roman" w:hAnsi="Courier New" w:cs="Courier New"/>
                <w:b/>
                <w:bCs/>
                <w:sz w:val="24"/>
                <w:szCs w:val="24"/>
              </w:rPr>
              <w:t>Pr</w:t>
            </w:r>
            <w:proofErr w:type="spellEnd"/>
            <w:r w:rsidRPr="00191E2A">
              <w:rPr>
                <w:rFonts w:ascii="Courier New" w:eastAsia="Times New Roman" w:hAnsi="Courier New" w:cs="Courier New"/>
                <w:b/>
                <w:bCs/>
                <w:sz w:val="24"/>
                <w:szCs w:val="24"/>
              </w:rPr>
              <w:t>(&gt;χ2)</w:t>
            </w:r>
          </w:p>
        </w:tc>
      </w:tr>
      <w:tr w:rsidR="00910313" w:rsidRPr="00191E2A" w14:paraId="2DBC61C2" w14:textId="77777777" w:rsidTr="00496CBB">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6702006"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b/>
                <w:bCs/>
                <w:sz w:val="24"/>
                <w:szCs w:val="24"/>
              </w:rPr>
              <w:t>model1</w:t>
            </w:r>
          </w:p>
        </w:tc>
        <w:tc>
          <w:tcPr>
            <w:tcW w:w="0" w:type="auto"/>
            <w:tcBorders>
              <w:top w:val="single" w:sz="6" w:space="0" w:color="auto"/>
              <w:left w:val="single" w:sz="6" w:space="0" w:color="auto"/>
              <w:bottom w:val="single" w:sz="6" w:space="0" w:color="auto"/>
              <w:right w:val="single" w:sz="6" w:space="0" w:color="auto"/>
            </w:tcBorders>
            <w:vAlign w:val="center"/>
            <w:hideMark/>
          </w:tcPr>
          <w:p w14:paraId="26896305"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16</w:t>
            </w:r>
          </w:p>
        </w:tc>
        <w:tc>
          <w:tcPr>
            <w:tcW w:w="0" w:type="auto"/>
            <w:tcBorders>
              <w:top w:val="single" w:sz="6" w:space="0" w:color="auto"/>
              <w:left w:val="single" w:sz="6" w:space="0" w:color="auto"/>
              <w:bottom w:val="single" w:sz="6" w:space="0" w:color="auto"/>
              <w:right w:val="single" w:sz="6" w:space="0" w:color="auto"/>
            </w:tcBorders>
            <w:vAlign w:val="center"/>
            <w:hideMark/>
          </w:tcPr>
          <w:p w14:paraId="7FA86C50"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3335.3</w:t>
            </w:r>
          </w:p>
        </w:tc>
        <w:tc>
          <w:tcPr>
            <w:tcW w:w="0" w:type="auto"/>
            <w:tcBorders>
              <w:top w:val="single" w:sz="6" w:space="0" w:color="auto"/>
              <w:left w:val="single" w:sz="6" w:space="0" w:color="auto"/>
              <w:bottom w:val="single" w:sz="6" w:space="0" w:color="auto"/>
              <w:right w:val="single" w:sz="6" w:space="0" w:color="auto"/>
            </w:tcBorders>
            <w:vAlign w:val="center"/>
            <w:hideMark/>
          </w:tcPr>
          <w:p w14:paraId="7B502D6C"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3445.0</w:t>
            </w:r>
          </w:p>
        </w:tc>
        <w:tc>
          <w:tcPr>
            <w:tcW w:w="0" w:type="auto"/>
            <w:tcBorders>
              <w:top w:val="single" w:sz="6" w:space="0" w:color="auto"/>
              <w:left w:val="single" w:sz="6" w:space="0" w:color="auto"/>
              <w:bottom w:val="single" w:sz="6" w:space="0" w:color="auto"/>
              <w:right w:val="single" w:sz="6" w:space="0" w:color="auto"/>
            </w:tcBorders>
            <w:vAlign w:val="center"/>
            <w:hideMark/>
          </w:tcPr>
          <w:p w14:paraId="4DEB8BE2"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-1651.6</w:t>
            </w:r>
          </w:p>
        </w:tc>
        <w:tc>
          <w:tcPr>
            <w:tcW w:w="0" w:type="auto"/>
            <w:tcBorders>
              <w:top w:val="single" w:sz="6" w:space="0" w:color="auto"/>
              <w:left w:val="single" w:sz="6" w:space="0" w:color="auto"/>
              <w:bottom w:val="single" w:sz="6" w:space="0" w:color="auto"/>
              <w:right w:val="single" w:sz="6" w:space="0" w:color="auto"/>
            </w:tcBorders>
            <w:vAlign w:val="center"/>
            <w:hideMark/>
          </w:tcPr>
          <w:p w14:paraId="60623C7C"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3303.3</w:t>
            </w:r>
          </w:p>
        </w:tc>
        <w:tc>
          <w:tcPr>
            <w:tcW w:w="0" w:type="auto"/>
            <w:tcBorders>
              <w:top w:val="single" w:sz="6" w:space="0" w:color="auto"/>
              <w:left w:val="single" w:sz="6" w:space="0" w:color="auto"/>
              <w:bottom w:val="single" w:sz="6" w:space="0" w:color="auto"/>
              <w:right w:val="single" w:sz="6" w:space="0" w:color="auto"/>
            </w:tcBorders>
            <w:vAlign w:val="center"/>
            <w:hideMark/>
          </w:tcPr>
          <w:p w14:paraId="33B743A7"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18AB3902"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7BB6C54F"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 </w:t>
            </w:r>
          </w:p>
        </w:tc>
      </w:tr>
      <w:tr w:rsidR="00910313" w:rsidRPr="00191E2A" w14:paraId="5D1B778E" w14:textId="77777777" w:rsidTr="00496CBB">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EFF2545"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b/>
                <w:bCs/>
                <w:sz w:val="24"/>
                <w:szCs w:val="24"/>
              </w:rPr>
              <w:t>model2</w:t>
            </w:r>
          </w:p>
        </w:tc>
        <w:tc>
          <w:tcPr>
            <w:tcW w:w="0" w:type="auto"/>
            <w:tcBorders>
              <w:top w:val="single" w:sz="6" w:space="0" w:color="auto"/>
              <w:left w:val="single" w:sz="6" w:space="0" w:color="auto"/>
              <w:bottom w:val="single" w:sz="6" w:space="0" w:color="auto"/>
              <w:right w:val="single" w:sz="6" w:space="0" w:color="auto"/>
            </w:tcBorders>
            <w:vAlign w:val="center"/>
            <w:hideMark/>
          </w:tcPr>
          <w:p w14:paraId="0D45A116"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19</w:t>
            </w:r>
          </w:p>
        </w:tc>
        <w:tc>
          <w:tcPr>
            <w:tcW w:w="0" w:type="auto"/>
            <w:tcBorders>
              <w:top w:val="single" w:sz="6" w:space="0" w:color="auto"/>
              <w:left w:val="single" w:sz="6" w:space="0" w:color="auto"/>
              <w:bottom w:val="single" w:sz="6" w:space="0" w:color="auto"/>
              <w:right w:val="single" w:sz="6" w:space="0" w:color="auto"/>
            </w:tcBorders>
            <w:vAlign w:val="center"/>
            <w:hideMark/>
          </w:tcPr>
          <w:p w14:paraId="43417460"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3338.6</w:t>
            </w:r>
          </w:p>
        </w:tc>
        <w:tc>
          <w:tcPr>
            <w:tcW w:w="0" w:type="auto"/>
            <w:tcBorders>
              <w:top w:val="single" w:sz="6" w:space="0" w:color="auto"/>
              <w:left w:val="single" w:sz="6" w:space="0" w:color="auto"/>
              <w:bottom w:val="single" w:sz="6" w:space="0" w:color="auto"/>
              <w:right w:val="single" w:sz="6" w:space="0" w:color="auto"/>
            </w:tcBorders>
            <w:vAlign w:val="center"/>
            <w:hideMark/>
          </w:tcPr>
          <w:p w14:paraId="411A673C"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3468.9</w:t>
            </w:r>
          </w:p>
        </w:tc>
        <w:tc>
          <w:tcPr>
            <w:tcW w:w="0" w:type="auto"/>
            <w:tcBorders>
              <w:top w:val="single" w:sz="6" w:space="0" w:color="auto"/>
              <w:left w:val="single" w:sz="6" w:space="0" w:color="auto"/>
              <w:bottom w:val="single" w:sz="6" w:space="0" w:color="auto"/>
              <w:right w:val="single" w:sz="6" w:space="0" w:color="auto"/>
            </w:tcBorders>
            <w:vAlign w:val="center"/>
            <w:hideMark/>
          </w:tcPr>
          <w:p w14:paraId="2CF732E7"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-1650.3</w:t>
            </w:r>
          </w:p>
        </w:tc>
        <w:tc>
          <w:tcPr>
            <w:tcW w:w="0" w:type="auto"/>
            <w:tcBorders>
              <w:top w:val="single" w:sz="6" w:space="0" w:color="auto"/>
              <w:left w:val="single" w:sz="6" w:space="0" w:color="auto"/>
              <w:bottom w:val="single" w:sz="6" w:space="0" w:color="auto"/>
              <w:right w:val="single" w:sz="6" w:space="0" w:color="auto"/>
            </w:tcBorders>
            <w:vAlign w:val="center"/>
            <w:hideMark/>
          </w:tcPr>
          <w:p w14:paraId="2268940C"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3300.6</w:t>
            </w:r>
          </w:p>
        </w:tc>
        <w:tc>
          <w:tcPr>
            <w:tcW w:w="0" w:type="auto"/>
            <w:tcBorders>
              <w:top w:val="single" w:sz="6" w:space="0" w:color="auto"/>
              <w:left w:val="single" w:sz="6" w:space="0" w:color="auto"/>
              <w:bottom w:val="single" w:sz="6" w:space="0" w:color="auto"/>
              <w:right w:val="single" w:sz="6" w:space="0" w:color="auto"/>
            </w:tcBorders>
            <w:vAlign w:val="center"/>
            <w:hideMark/>
          </w:tcPr>
          <w:p w14:paraId="210458D1"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2.6962</w:t>
            </w:r>
          </w:p>
        </w:tc>
        <w:tc>
          <w:tcPr>
            <w:tcW w:w="0" w:type="auto"/>
            <w:tcBorders>
              <w:top w:val="single" w:sz="6" w:space="0" w:color="auto"/>
              <w:left w:val="single" w:sz="6" w:space="0" w:color="auto"/>
              <w:bottom w:val="single" w:sz="6" w:space="0" w:color="auto"/>
              <w:right w:val="single" w:sz="6" w:space="0" w:color="auto"/>
            </w:tcBorders>
            <w:vAlign w:val="center"/>
            <w:hideMark/>
          </w:tcPr>
          <w:p w14:paraId="3ED01634"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3</w:t>
            </w:r>
          </w:p>
        </w:tc>
        <w:tc>
          <w:tcPr>
            <w:tcW w:w="0" w:type="auto"/>
            <w:tcBorders>
              <w:top w:val="single" w:sz="6" w:space="0" w:color="auto"/>
              <w:left w:val="single" w:sz="6" w:space="0" w:color="auto"/>
              <w:bottom w:val="single" w:sz="6" w:space="0" w:color="auto"/>
              <w:right w:val="single" w:sz="6" w:space="0" w:color="auto"/>
            </w:tcBorders>
            <w:vAlign w:val="center"/>
            <w:hideMark/>
          </w:tcPr>
          <w:p w14:paraId="4FF09F48"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0.4409 </w:t>
            </w:r>
          </w:p>
        </w:tc>
      </w:tr>
    </w:tbl>
    <w:p w14:paraId="01C659BB" w14:textId="77777777" w:rsidR="00910313" w:rsidRDefault="00910313" w:rsidP="00910313">
      <w:pPr>
        <w:spacing w:after="0" w:line="240" w:lineRule="auto"/>
        <w:rPr>
          <w:rFonts w:ascii="Courier New" w:eastAsia="Times New Roman" w:hAnsi="Courier New" w:cs="Courier New"/>
          <w:i/>
          <w:iCs/>
          <w:sz w:val="24"/>
          <w:szCs w:val="24"/>
        </w:rPr>
      </w:pPr>
    </w:p>
    <w:p w14:paraId="316D17ED" w14:textId="77777777" w:rsidR="00910313" w:rsidRPr="00191E2A" w:rsidRDefault="00910313" w:rsidP="00910313">
      <w:pPr>
        <w:spacing w:after="0" w:line="240" w:lineRule="auto"/>
        <w:rPr>
          <w:rFonts w:ascii="Courier New" w:eastAsia="Times New Roman" w:hAnsi="Courier New" w:cs="Courier New"/>
          <w:sz w:val="24"/>
          <w:szCs w:val="24"/>
        </w:rPr>
      </w:pPr>
      <w:r w:rsidRPr="00191E2A">
        <w:rPr>
          <w:rFonts w:ascii="Courier New" w:eastAsia="Times New Roman" w:hAnsi="Courier New" w:cs="Courier New"/>
          <w:i/>
          <w:iCs/>
          <w:sz w:val="24"/>
          <w:szCs w:val="24"/>
        </w:rPr>
        <w:t>Interpretation:</w:t>
      </w:r>
      <w:r w:rsidRPr="00191E2A">
        <w:rPr>
          <w:rFonts w:ascii="Courier New" w:eastAsia="Times New Roman" w:hAnsi="Courier New" w:cs="Courier New"/>
          <w:sz w:val="24"/>
          <w:szCs w:val="24"/>
        </w:rPr>
        <w:t xml:space="preserve"> The non-significant p-value (0.4409) and the lower AIC for model1 (3335.3 vs 3338.6) empirically confirm that Model 1 provides the most parsimonious fit for the data. </w:t>
      </w:r>
    </w:p>
    <w:p w14:paraId="413BB365" w14:textId="77777777" w:rsidR="00910313" w:rsidRPr="00191E2A" w:rsidRDefault="00910313" w:rsidP="00910313">
      <w:pPr>
        <w:spacing w:after="0" w:line="240" w:lineRule="auto"/>
        <w:rPr>
          <w:rFonts w:ascii="Courier New" w:eastAsia="Times New Roman" w:hAnsi="Courier New" w:cs="Courier New"/>
          <w:sz w:val="24"/>
          <w:szCs w:val="24"/>
        </w:rPr>
      </w:pPr>
    </w:p>
    <w:p w14:paraId="2A5E016F" w14:textId="77777777" w:rsidR="00910313" w:rsidRPr="00191E2A" w:rsidRDefault="00910313" w:rsidP="00910313">
      <w:pPr>
        <w:spacing w:after="0" w:line="240" w:lineRule="auto"/>
        <w:outlineLvl w:val="1"/>
        <w:rPr>
          <w:rFonts w:ascii="Courier New" w:eastAsia="Times New Roman" w:hAnsi="Courier New" w:cs="Courier New"/>
          <w:b/>
          <w:bCs/>
          <w:sz w:val="24"/>
          <w:szCs w:val="24"/>
        </w:rPr>
      </w:pPr>
      <w:r w:rsidRPr="00191E2A">
        <w:rPr>
          <w:rFonts w:ascii="Courier New" w:eastAsia="Times New Roman" w:hAnsi="Courier New" w:cs="Courier New"/>
          <w:b/>
          <w:bCs/>
          <w:sz w:val="24"/>
          <w:szCs w:val="24"/>
        </w:rPr>
        <w:t>APPENDIX C: FINAL MULTILEVEL MODEL PARAMETERS (MODEL 1)</w:t>
      </w:r>
    </w:p>
    <w:p w14:paraId="7369CDB2" w14:textId="77777777" w:rsidR="00910313" w:rsidRDefault="00910313" w:rsidP="00910313">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The following table provides the verbatim raw output for the adjusted odds ratios and 95% Wald Confidence Intervals extracted from the final parsimonious model (Model 1).</w:t>
      </w:r>
    </w:p>
    <w:p w14:paraId="3D0525B8" w14:textId="77777777" w:rsidR="00910313" w:rsidRPr="00191E2A" w:rsidRDefault="00910313" w:rsidP="00910313">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42"/>
        <w:gridCol w:w="1268"/>
        <w:gridCol w:w="1151"/>
        <w:gridCol w:w="1283"/>
      </w:tblGrid>
      <w:tr w:rsidR="00910313" w:rsidRPr="00191E2A" w14:paraId="33A75D16" w14:textId="77777777" w:rsidTr="00496CBB">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984C7A8"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b/>
                <w:bCs/>
                <w:sz w:val="24"/>
                <w:szCs w:val="24"/>
              </w:rPr>
              <w:t>Predictor Variable</w:t>
            </w:r>
          </w:p>
        </w:tc>
        <w:tc>
          <w:tcPr>
            <w:tcW w:w="0" w:type="auto"/>
            <w:tcBorders>
              <w:top w:val="single" w:sz="6" w:space="0" w:color="auto"/>
              <w:left w:val="single" w:sz="6" w:space="0" w:color="auto"/>
              <w:bottom w:val="single" w:sz="6" w:space="0" w:color="auto"/>
              <w:right w:val="single" w:sz="6" w:space="0" w:color="auto"/>
            </w:tcBorders>
            <w:vAlign w:val="center"/>
            <w:hideMark/>
          </w:tcPr>
          <w:p w14:paraId="45EC3A45"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b/>
                <w:bCs/>
                <w:sz w:val="24"/>
                <w:szCs w:val="24"/>
              </w:rPr>
              <w:t>Adjusted Odds Ratio (</w:t>
            </w:r>
            <w:proofErr w:type="spellStart"/>
            <w:r w:rsidRPr="00191E2A">
              <w:rPr>
                <w:rFonts w:ascii="Courier New" w:eastAsia="Times New Roman" w:hAnsi="Courier New" w:cs="Courier New"/>
                <w:b/>
                <w:bCs/>
                <w:sz w:val="24"/>
                <w:szCs w:val="24"/>
              </w:rPr>
              <w:t>aOR</w:t>
            </w:r>
            <w:proofErr w:type="spellEnd"/>
            <w:r w:rsidRPr="00191E2A">
              <w:rPr>
                <w:rFonts w:ascii="Courier New" w:eastAsia="Times New Roman" w:hAnsi="Courier New" w:cs="Courier New"/>
                <w:b/>
                <w:bCs/>
                <w:sz w:val="24"/>
                <w:szCs w:val="24"/>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1284326D"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b/>
                <w:bCs/>
                <w:sz w:val="24"/>
                <w:szCs w:val="24"/>
              </w:rPr>
              <w:t>95% CI (Lower 2.5%)</w:t>
            </w:r>
          </w:p>
        </w:tc>
        <w:tc>
          <w:tcPr>
            <w:tcW w:w="0" w:type="auto"/>
            <w:tcBorders>
              <w:top w:val="single" w:sz="6" w:space="0" w:color="auto"/>
              <w:left w:val="single" w:sz="6" w:space="0" w:color="auto"/>
              <w:bottom w:val="single" w:sz="6" w:space="0" w:color="auto"/>
              <w:right w:val="single" w:sz="6" w:space="0" w:color="auto"/>
            </w:tcBorders>
            <w:vAlign w:val="center"/>
            <w:hideMark/>
          </w:tcPr>
          <w:p w14:paraId="748F2C67"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b/>
                <w:bCs/>
                <w:sz w:val="24"/>
                <w:szCs w:val="24"/>
              </w:rPr>
              <w:t>95% CI (Upper 97.5%)</w:t>
            </w:r>
          </w:p>
        </w:tc>
      </w:tr>
      <w:tr w:rsidR="00910313" w:rsidRPr="00191E2A" w14:paraId="50977EB9" w14:textId="77777777" w:rsidTr="00496CBB">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6AADD99"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b/>
                <w:bCs/>
                <w:sz w:val="24"/>
                <w:szCs w:val="24"/>
              </w:rPr>
              <w:t>(Intercept)</w:t>
            </w:r>
          </w:p>
        </w:tc>
        <w:tc>
          <w:tcPr>
            <w:tcW w:w="0" w:type="auto"/>
            <w:tcBorders>
              <w:top w:val="single" w:sz="6" w:space="0" w:color="auto"/>
              <w:left w:val="single" w:sz="6" w:space="0" w:color="auto"/>
              <w:bottom w:val="single" w:sz="6" w:space="0" w:color="auto"/>
              <w:right w:val="single" w:sz="6" w:space="0" w:color="auto"/>
            </w:tcBorders>
            <w:vAlign w:val="center"/>
            <w:hideMark/>
          </w:tcPr>
          <w:p w14:paraId="540410CB"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11.0063631 </w:t>
            </w:r>
          </w:p>
        </w:tc>
        <w:tc>
          <w:tcPr>
            <w:tcW w:w="0" w:type="auto"/>
            <w:tcBorders>
              <w:top w:val="single" w:sz="6" w:space="0" w:color="auto"/>
              <w:left w:val="single" w:sz="6" w:space="0" w:color="auto"/>
              <w:bottom w:val="single" w:sz="6" w:space="0" w:color="auto"/>
              <w:right w:val="single" w:sz="6" w:space="0" w:color="auto"/>
            </w:tcBorders>
            <w:vAlign w:val="center"/>
            <w:hideMark/>
          </w:tcPr>
          <w:p w14:paraId="3B053043"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5.1635342 </w:t>
            </w:r>
          </w:p>
        </w:tc>
        <w:tc>
          <w:tcPr>
            <w:tcW w:w="0" w:type="auto"/>
            <w:tcBorders>
              <w:top w:val="single" w:sz="6" w:space="0" w:color="auto"/>
              <w:left w:val="single" w:sz="6" w:space="0" w:color="auto"/>
              <w:bottom w:val="single" w:sz="6" w:space="0" w:color="auto"/>
              <w:right w:val="single" w:sz="6" w:space="0" w:color="auto"/>
            </w:tcBorders>
            <w:vAlign w:val="center"/>
            <w:hideMark/>
          </w:tcPr>
          <w:p w14:paraId="51193F20"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23.4606812 </w:t>
            </w:r>
          </w:p>
        </w:tc>
      </w:tr>
      <w:tr w:rsidR="00910313" w:rsidRPr="00191E2A" w14:paraId="75D0B555" w14:textId="77777777" w:rsidTr="00496CBB">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EE55FB7"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b/>
                <w:bCs/>
                <w:sz w:val="24"/>
                <w:szCs w:val="24"/>
              </w:rPr>
              <w:t>Age Group: 25-34 years</w:t>
            </w:r>
          </w:p>
        </w:tc>
        <w:tc>
          <w:tcPr>
            <w:tcW w:w="0" w:type="auto"/>
            <w:tcBorders>
              <w:top w:val="single" w:sz="6" w:space="0" w:color="auto"/>
              <w:left w:val="single" w:sz="6" w:space="0" w:color="auto"/>
              <w:bottom w:val="single" w:sz="6" w:space="0" w:color="auto"/>
              <w:right w:val="single" w:sz="6" w:space="0" w:color="auto"/>
            </w:tcBorders>
            <w:vAlign w:val="center"/>
            <w:hideMark/>
          </w:tcPr>
          <w:p w14:paraId="2095C786"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1.1399743 </w:t>
            </w:r>
          </w:p>
        </w:tc>
        <w:tc>
          <w:tcPr>
            <w:tcW w:w="0" w:type="auto"/>
            <w:tcBorders>
              <w:top w:val="single" w:sz="6" w:space="0" w:color="auto"/>
              <w:left w:val="single" w:sz="6" w:space="0" w:color="auto"/>
              <w:bottom w:val="single" w:sz="6" w:space="0" w:color="auto"/>
              <w:right w:val="single" w:sz="6" w:space="0" w:color="auto"/>
            </w:tcBorders>
            <w:vAlign w:val="center"/>
            <w:hideMark/>
          </w:tcPr>
          <w:p w14:paraId="2D142391"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0.8578673 </w:t>
            </w:r>
          </w:p>
        </w:tc>
        <w:tc>
          <w:tcPr>
            <w:tcW w:w="0" w:type="auto"/>
            <w:tcBorders>
              <w:top w:val="single" w:sz="6" w:space="0" w:color="auto"/>
              <w:left w:val="single" w:sz="6" w:space="0" w:color="auto"/>
              <w:bottom w:val="single" w:sz="6" w:space="0" w:color="auto"/>
              <w:right w:val="single" w:sz="6" w:space="0" w:color="auto"/>
            </w:tcBorders>
            <w:vAlign w:val="center"/>
            <w:hideMark/>
          </w:tcPr>
          <w:p w14:paraId="78A53AE1"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1.5148514 </w:t>
            </w:r>
          </w:p>
        </w:tc>
      </w:tr>
      <w:tr w:rsidR="00910313" w:rsidRPr="00191E2A" w14:paraId="7434561F" w14:textId="77777777" w:rsidTr="00496CBB">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2C977C9"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b/>
                <w:bCs/>
                <w:sz w:val="24"/>
                <w:szCs w:val="24"/>
              </w:rPr>
              <w:t>Age Group: 35-44 years</w:t>
            </w:r>
          </w:p>
        </w:tc>
        <w:tc>
          <w:tcPr>
            <w:tcW w:w="0" w:type="auto"/>
            <w:tcBorders>
              <w:top w:val="single" w:sz="6" w:space="0" w:color="auto"/>
              <w:left w:val="single" w:sz="6" w:space="0" w:color="auto"/>
              <w:bottom w:val="single" w:sz="6" w:space="0" w:color="auto"/>
              <w:right w:val="single" w:sz="6" w:space="0" w:color="auto"/>
            </w:tcBorders>
            <w:vAlign w:val="center"/>
            <w:hideMark/>
          </w:tcPr>
          <w:p w14:paraId="6605483D"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1.3409914 </w:t>
            </w:r>
          </w:p>
        </w:tc>
        <w:tc>
          <w:tcPr>
            <w:tcW w:w="0" w:type="auto"/>
            <w:tcBorders>
              <w:top w:val="single" w:sz="6" w:space="0" w:color="auto"/>
              <w:left w:val="single" w:sz="6" w:space="0" w:color="auto"/>
              <w:bottom w:val="single" w:sz="6" w:space="0" w:color="auto"/>
              <w:right w:val="single" w:sz="6" w:space="0" w:color="auto"/>
            </w:tcBorders>
            <w:vAlign w:val="center"/>
            <w:hideMark/>
          </w:tcPr>
          <w:p w14:paraId="73B12D6A"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0.9878124 </w:t>
            </w:r>
          </w:p>
        </w:tc>
        <w:tc>
          <w:tcPr>
            <w:tcW w:w="0" w:type="auto"/>
            <w:tcBorders>
              <w:top w:val="single" w:sz="6" w:space="0" w:color="auto"/>
              <w:left w:val="single" w:sz="6" w:space="0" w:color="auto"/>
              <w:bottom w:val="single" w:sz="6" w:space="0" w:color="auto"/>
              <w:right w:val="single" w:sz="6" w:space="0" w:color="auto"/>
            </w:tcBorders>
            <w:vAlign w:val="center"/>
            <w:hideMark/>
          </w:tcPr>
          <w:p w14:paraId="6F2832DE"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1.8204448 </w:t>
            </w:r>
          </w:p>
        </w:tc>
      </w:tr>
      <w:tr w:rsidR="00910313" w:rsidRPr="00191E2A" w14:paraId="5B959545" w14:textId="77777777" w:rsidTr="00496CBB">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6D8DD9F"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b/>
                <w:bCs/>
                <w:sz w:val="24"/>
                <w:szCs w:val="24"/>
              </w:rPr>
              <w:lastRenderedPageBreak/>
              <w:t>Age Group: 45+ years</w:t>
            </w:r>
          </w:p>
        </w:tc>
        <w:tc>
          <w:tcPr>
            <w:tcW w:w="0" w:type="auto"/>
            <w:tcBorders>
              <w:top w:val="single" w:sz="6" w:space="0" w:color="auto"/>
              <w:left w:val="single" w:sz="6" w:space="0" w:color="auto"/>
              <w:bottom w:val="single" w:sz="6" w:space="0" w:color="auto"/>
              <w:right w:val="single" w:sz="6" w:space="0" w:color="auto"/>
            </w:tcBorders>
            <w:vAlign w:val="center"/>
            <w:hideMark/>
          </w:tcPr>
          <w:p w14:paraId="18BAE811"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1.3608510 </w:t>
            </w:r>
          </w:p>
        </w:tc>
        <w:tc>
          <w:tcPr>
            <w:tcW w:w="0" w:type="auto"/>
            <w:tcBorders>
              <w:top w:val="single" w:sz="6" w:space="0" w:color="auto"/>
              <w:left w:val="single" w:sz="6" w:space="0" w:color="auto"/>
              <w:bottom w:val="single" w:sz="6" w:space="0" w:color="auto"/>
              <w:right w:val="single" w:sz="6" w:space="0" w:color="auto"/>
            </w:tcBorders>
            <w:vAlign w:val="center"/>
            <w:hideMark/>
          </w:tcPr>
          <w:p w14:paraId="55659CB5"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0.9567583 </w:t>
            </w:r>
          </w:p>
        </w:tc>
        <w:tc>
          <w:tcPr>
            <w:tcW w:w="0" w:type="auto"/>
            <w:tcBorders>
              <w:top w:val="single" w:sz="6" w:space="0" w:color="auto"/>
              <w:left w:val="single" w:sz="6" w:space="0" w:color="auto"/>
              <w:bottom w:val="single" w:sz="6" w:space="0" w:color="auto"/>
              <w:right w:val="single" w:sz="6" w:space="0" w:color="auto"/>
            </w:tcBorders>
            <w:vAlign w:val="center"/>
            <w:hideMark/>
          </w:tcPr>
          <w:p w14:paraId="36399F00"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1.9356149 </w:t>
            </w:r>
          </w:p>
        </w:tc>
      </w:tr>
      <w:tr w:rsidR="00910313" w:rsidRPr="00191E2A" w14:paraId="26D5A680" w14:textId="77777777" w:rsidTr="00496CBB">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48C62D8"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b/>
                <w:bCs/>
                <w:sz w:val="24"/>
                <w:szCs w:val="24"/>
              </w:rPr>
              <w:t>Sex: Female</w:t>
            </w:r>
          </w:p>
        </w:tc>
        <w:tc>
          <w:tcPr>
            <w:tcW w:w="0" w:type="auto"/>
            <w:tcBorders>
              <w:top w:val="single" w:sz="6" w:space="0" w:color="auto"/>
              <w:left w:val="single" w:sz="6" w:space="0" w:color="auto"/>
              <w:bottom w:val="single" w:sz="6" w:space="0" w:color="auto"/>
              <w:right w:val="single" w:sz="6" w:space="0" w:color="auto"/>
            </w:tcBorders>
            <w:vAlign w:val="center"/>
            <w:hideMark/>
          </w:tcPr>
          <w:p w14:paraId="68B8A5B9"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0.9356226 </w:t>
            </w:r>
          </w:p>
        </w:tc>
        <w:tc>
          <w:tcPr>
            <w:tcW w:w="0" w:type="auto"/>
            <w:tcBorders>
              <w:top w:val="single" w:sz="6" w:space="0" w:color="auto"/>
              <w:left w:val="single" w:sz="6" w:space="0" w:color="auto"/>
              <w:bottom w:val="single" w:sz="6" w:space="0" w:color="auto"/>
              <w:right w:val="single" w:sz="6" w:space="0" w:color="auto"/>
            </w:tcBorders>
            <w:vAlign w:val="center"/>
            <w:hideMark/>
          </w:tcPr>
          <w:p w14:paraId="0EBA9F53"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0.7540716 </w:t>
            </w:r>
          </w:p>
        </w:tc>
        <w:tc>
          <w:tcPr>
            <w:tcW w:w="0" w:type="auto"/>
            <w:tcBorders>
              <w:top w:val="single" w:sz="6" w:space="0" w:color="auto"/>
              <w:left w:val="single" w:sz="6" w:space="0" w:color="auto"/>
              <w:bottom w:val="single" w:sz="6" w:space="0" w:color="auto"/>
              <w:right w:val="single" w:sz="6" w:space="0" w:color="auto"/>
            </w:tcBorders>
            <w:vAlign w:val="center"/>
            <w:hideMark/>
          </w:tcPr>
          <w:p w14:paraId="287EE2F5"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1.1608839 </w:t>
            </w:r>
          </w:p>
        </w:tc>
      </w:tr>
      <w:tr w:rsidR="00910313" w:rsidRPr="00191E2A" w14:paraId="388D004B" w14:textId="77777777" w:rsidTr="00496CBB">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D6139A4"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b/>
                <w:bCs/>
                <w:sz w:val="24"/>
                <w:szCs w:val="24"/>
              </w:rPr>
              <w:t>Marital: Never married</w:t>
            </w:r>
          </w:p>
        </w:tc>
        <w:tc>
          <w:tcPr>
            <w:tcW w:w="0" w:type="auto"/>
            <w:tcBorders>
              <w:top w:val="single" w:sz="6" w:space="0" w:color="auto"/>
              <w:left w:val="single" w:sz="6" w:space="0" w:color="auto"/>
              <w:bottom w:val="single" w:sz="6" w:space="0" w:color="auto"/>
              <w:right w:val="single" w:sz="6" w:space="0" w:color="auto"/>
            </w:tcBorders>
            <w:vAlign w:val="center"/>
            <w:hideMark/>
          </w:tcPr>
          <w:p w14:paraId="45ED2ACF"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0.7534781 </w:t>
            </w:r>
          </w:p>
        </w:tc>
        <w:tc>
          <w:tcPr>
            <w:tcW w:w="0" w:type="auto"/>
            <w:tcBorders>
              <w:top w:val="single" w:sz="6" w:space="0" w:color="auto"/>
              <w:left w:val="single" w:sz="6" w:space="0" w:color="auto"/>
              <w:bottom w:val="single" w:sz="6" w:space="0" w:color="auto"/>
              <w:right w:val="single" w:sz="6" w:space="0" w:color="auto"/>
            </w:tcBorders>
            <w:vAlign w:val="center"/>
            <w:hideMark/>
          </w:tcPr>
          <w:p w14:paraId="36902622"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0.6062597 </w:t>
            </w:r>
          </w:p>
        </w:tc>
        <w:tc>
          <w:tcPr>
            <w:tcW w:w="0" w:type="auto"/>
            <w:tcBorders>
              <w:top w:val="single" w:sz="6" w:space="0" w:color="auto"/>
              <w:left w:val="single" w:sz="6" w:space="0" w:color="auto"/>
              <w:bottom w:val="single" w:sz="6" w:space="0" w:color="auto"/>
              <w:right w:val="single" w:sz="6" w:space="0" w:color="auto"/>
            </w:tcBorders>
            <w:vAlign w:val="center"/>
            <w:hideMark/>
          </w:tcPr>
          <w:p w14:paraId="5313C582"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0.9364457 </w:t>
            </w:r>
          </w:p>
        </w:tc>
      </w:tr>
      <w:tr w:rsidR="00910313" w:rsidRPr="00191E2A" w14:paraId="5D1EFF00" w14:textId="77777777" w:rsidTr="00496CBB">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450FE96"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b/>
                <w:bCs/>
                <w:sz w:val="24"/>
                <w:szCs w:val="24"/>
              </w:rPr>
              <w:t>Marital: Divorced/separated/widowed/cohabitation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024382F5"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0.9146922 </w:t>
            </w:r>
          </w:p>
        </w:tc>
        <w:tc>
          <w:tcPr>
            <w:tcW w:w="0" w:type="auto"/>
            <w:tcBorders>
              <w:top w:val="single" w:sz="6" w:space="0" w:color="auto"/>
              <w:left w:val="single" w:sz="6" w:space="0" w:color="auto"/>
              <w:bottom w:val="single" w:sz="6" w:space="0" w:color="auto"/>
              <w:right w:val="single" w:sz="6" w:space="0" w:color="auto"/>
            </w:tcBorders>
            <w:vAlign w:val="center"/>
            <w:hideMark/>
          </w:tcPr>
          <w:p w14:paraId="7303A8E6"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0.6269444 </w:t>
            </w:r>
          </w:p>
        </w:tc>
        <w:tc>
          <w:tcPr>
            <w:tcW w:w="0" w:type="auto"/>
            <w:tcBorders>
              <w:top w:val="single" w:sz="6" w:space="0" w:color="auto"/>
              <w:left w:val="single" w:sz="6" w:space="0" w:color="auto"/>
              <w:bottom w:val="single" w:sz="6" w:space="0" w:color="auto"/>
              <w:right w:val="single" w:sz="6" w:space="0" w:color="auto"/>
            </w:tcBorders>
            <w:vAlign w:val="center"/>
            <w:hideMark/>
          </w:tcPr>
          <w:p w14:paraId="6E736CBA"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1.3345072 </w:t>
            </w:r>
          </w:p>
        </w:tc>
      </w:tr>
      <w:tr w:rsidR="00910313" w:rsidRPr="00191E2A" w14:paraId="7F5E8E9A" w14:textId="77777777" w:rsidTr="00496CBB">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9297E57"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b/>
                <w:bCs/>
                <w:sz w:val="24"/>
                <w:szCs w:val="24"/>
              </w:rPr>
              <w:t>Education: Primary school education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17E09332"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1.3566543 </w:t>
            </w:r>
          </w:p>
        </w:tc>
        <w:tc>
          <w:tcPr>
            <w:tcW w:w="0" w:type="auto"/>
            <w:tcBorders>
              <w:top w:val="single" w:sz="6" w:space="0" w:color="auto"/>
              <w:left w:val="single" w:sz="6" w:space="0" w:color="auto"/>
              <w:bottom w:val="single" w:sz="6" w:space="0" w:color="auto"/>
              <w:right w:val="single" w:sz="6" w:space="0" w:color="auto"/>
            </w:tcBorders>
            <w:vAlign w:val="center"/>
            <w:hideMark/>
          </w:tcPr>
          <w:p w14:paraId="1D7B9280"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0.9940721 </w:t>
            </w:r>
          </w:p>
        </w:tc>
        <w:tc>
          <w:tcPr>
            <w:tcW w:w="0" w:type="auto"/>
            <w:tcBorders>
              <w:top w:val="single" w:sz="6" w:space="0" w:color="auto"/>
              <w:left w:val="single" w:sz="6" w:space="0" w:color="auto"/>
              <w:bottom w:val="single" w:sz="6" w:space="0" w:color="auto"/>
              <w:right w:val="single" w:sz="6" w:space="0" w:color="auto"/>
            </w:tcBorders>
            <w:vAlign w:val="center"/>
            <w:hideMark/>
          </w:tcPr>
          <w:p w14:paraId="28AFE7DB"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1.8514863 </w:t>
            </w:r>
          </w:p>
        </w:tc>
      </w:tr>
      <w:tr w:rsidR="00910313" w:rsidRPr="00191E2A" w14:paraId="7AC18B91" w14:textId="77777777" w:rsidTr="00496CBB">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991A62D"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b/>
                <w:bCs/>
                <w:sz w:val="24"/>
                <w:szCs w:val="24"/>
              </w:rPr>
              <w:t>Education: Secondary school education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13A0EC7C"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1.2749478 </w:t>
            </w:r>
          </w:p>
        </w:tc>
        <w:tc>
          <w:tcPr>
            <w:tcW w:w="0" w:type="auto"/>
            <w:tcBorders>
              <w:top w:val="single" w:sz="6" w:space="0" w:color="auto"/>
              <w:left w:val="single" w:sz="6" w:space="0" w:color="auto"/>
              <w:bottom w:val="single" w:sz="6" w:space="0" w:color="auto"/>
              <w:right w:val="single" w:sz="6" w:space="0" w:color="auto"/>
            </w:tcBorders>
            <w:vAlign w:val="center"/>
            <w:hideMark/>
          </w:tcPr>
          <w:p w14:paraId="1F9D0640"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0.9346485 </w:t>
            </w:r>
          </w:p>
        </w:tc>
        <w:tc>
          <w:tcPr>
            <w:tcW w:w="0" w:type="auto"/>
            <w:tcBorders>
              <w:top w:val="single" w:sz="6" w:space="0" w:color="auto"/>
              <w:left w:val="single" w:sz="6" w:space="0" w:color="auto"/>
              <w:bottom w:val="single" w:sz="6" w:space="0" w:color="auto"/>
              <w:right w:val="single" w:sz="6" w:space="0" w:color="auto"/>
            </w:tcBorders>
            <w:vAlign w:val="center"/>
            <w:hideMark/>
          </w:tcPr>
          <w:p w14:paraId="66057760"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1.7391479 </w:t>
            </w:r>
          </w:p>
        </w:tc>
      </w:tr>
      <w:tr w:rsidR="00910313" w:rsidRPr="00191E2A" w14:paraId="4F3229B9" w14:textId="77777777" w:rsidTr="00496CBB">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E1436E1"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b/>
                <w:bCs/>
                <w:sz w:val="24"/>
                <w:szCs w:val="24"/>
              </w:rPr>
              <w:t>Education: Tertiary education complete</w:t>
            </w:r>
          </w:p>
        </w:tc>
        <w:tc>
          <w:tcPr>
            <w:tcW w:w="0" w:type="auto"/>
            <w:tcBorders>
              <w:top w:val="single" w:sz="6" w:space="0" w:color="auto"/>
              <w:left w:val="single" w:sz="6" w:space="0" w:color="auto"/>
              <w:bottom w:val="single" w:sz="6" w:space="0" w:color="auto"/>
              <w:right w:val="single" w:sz="6" w:space="0" w:color="auto"/>
            </w:tcBorders>
            <w:vAlign w:val="center"/>
            <w:hideMark/>
          </w:tcPr>
          <w:p w14:paraId="188A43A9"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1.5405535 </w:t>
            </w:r>
          </w:p>
        </w:tc>
        <w:tc>
          <w:tcPr>
            <w:tcW w:w="0" w:type="auto"/>
            <w:tcBorders>
              <w:top w:val="single" w:sz="6" w:space="0" w:color="auto"/>
              <w:left w:val="single" w:sz="6" w:space="0" w:color="auto"/>
              <w:bottom w:val="single" w:sz="6" w:space="0" w:color="auto"/>
              <w:right w:val="single" w:sz="6" w:space="0" w:color="auto"/>
            </w:tcBorders>
            <w:vAlign w:val="center"/>
            <w:hideMark/>
          </w:tcPr>
          <w:p w14:paraId="0B526FDB"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1.0330524 </w:t>
            </w:r>
          </w:p>
        </w:tc>
        <w:tc>
          <w:tcPr>
            <w:tcW w:w="0" w:type="auto"/>
            <w:tcBorders>
              <w:top w:val="single" w:sz="6" w:space="0" w:color="auto"/>
              <w:left w:val="single" w:sz="6" w:space="0" w:color="auto"/>
              <w:bottom w:val="single" w:sz="6" w:space="0" w:color="auto"/>
              <w:right w:val="single" w:sz="6" w:space="0" w:color="auto"/>
            </w:tcBorders>
            <w:vAlign w:val="center"/>
            <w:hideMark/>
          </w:tcPr>
          <w:p w14:paraId="7499E6A4"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2.2973716 </w:t>
            </w:r>
          </w:p>
        </w:tc>
      </w:tr>
      <w:tr w:rsidR="00910313" w:rsidRPr="00191E2A" w14:paraId="3E7CA69D" w14:textId="77777777" w:rsidTr="00496CBB">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27779B2"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b/>
                <w:bCs/>
                <w:sz w:val="24"/>
                <w:szCs w:val="24"/>
              </w:rPr>
              <w:t xml:space="preserve">Education: </w:t>
            </w:r>
            <w:proofErr w:type="gramStart"/>
            <w:r w:rsidRPr="00191E2A">
              <w:rPr>
                <w:rFonts w:ascii="Courier New" w:eastAsia="Times New Roman" w:hAnsi="Courier New" w:cs="Courier New"/>
                <w:b/>
                <w:bCs/>
                <w:sz w:val="24"/>
                <w:szCs w:val="24"/>
              </w:rPr>
              <w:t>Other(</w:t>
            </w:r>
            <w:proofErr w:type="gramEnd"/>
            <w:r w:rsidRPr="00191E2A">
              <w:rPr>
                <w:rFonts w:ascii="Courier New" w:eastAsia="Times New Roman" w:hAnsi="Courier New" w:cs="Courier New"/>
                <w:b/>
                <w:bCs/>
                <w:sz w:val="24"/>
                <w:szCs w:val="24"/>
              </w:rPr>
              <w:t>Vocation &amp; Arabic)</w:t>
            </w:r>
          </w:p>
        </w:tc>
        <w:tc>
          <w:tcPr>
            <w:tcW w:w="0" w:type="auto"/>
            <w:tcBorders>
              <w:top w:val="single" w:sz="6" w:space="0" w:color="auto"/>
              <w:left w:val="single" w:sz="6" w:space="0" w:color="auto"/>
              <w:bottom w:val="single" w:sz="6" w:space="0" w:color="auto"/>
              <w:right w:val="single" w:sz="6" w:space="0" w:color="auto"/>
            </w:tcBorders>
            <w:vAlign w:val="center"/>
            <w:hideMark/>
          </w:tcPr>
          <w:p w14:paraId="4C847330"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1.2403688 </w:t>
            </w:r>
          </w:p>
        </w:tc>
        <w:tc>
          <w:tcPr>
            <w:tcW w:w="0" w:type="auto"/>
            <w:tcBorders>
              <w:top w:val="single" w:sz="6" w:space="0" w:color="auto"/>
              <w:left w:val="single" w:sz="6" w:space="0" w:color="auto"/>
              <w:bottom w:val="single" w:sz="6" w:space="0" w:color="auto"/>
              <w:right w:val="single" w:sz="6" w:space="0" w:color="auto"/>
            </w:tcBorders>
            <w:vAlign w:val="center"/>
            <w:hideMark/>
          </w:tcPr>
          <w:p w14:paraId="1043C3E5"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0.6054177 </w:t>
            </w:r>
          </w:p>
        </w:tc>
        <w:tc>
          <w:tcPr>
            <w:tcW w:w="0" w:type="auto"/>
            <w:tcBorders>
              <w:top w:val="single" w:sz="6" w:space="0" w:color="auto"/>
              <w:left w:val="single" w:sz="6" w:space="0" w:color="auto"/>
              <w:bottom w:val="single" w:sz="6" w:space="0" w:color="auto"/>
              <w:right w:val="single" w:sz="6" w:space="0" w:color="auto"/>
            </w:tcBorders>
            <w:vAlign w:val="center"/>
            <w:hideMark/>
          </w:tcPr>
          <w:p w14:paraId="12BED84C"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2.5412448 </w:t>
            </w:r>
          </w:p>
        </w:tc>
      </w:tr>
      <w:tr w:rsidR="00910313" w:rsidRPr="00191E2A" w14:paraId="5422A4FE" w14:textId="77777777" w:rsidTr="00496CBB">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F10A80E"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b/>
                <w:bCs/>
                <w:sz w:val="24"/>
                <w:szCs w:val="24"/>
              </w:rPr>
              <w:t>Employment: Unemployed/unapplicable/unknown/retired/student</w:t>
            </w:r>
          </w:p>
        </w:tc>
        <w:tc>
          <w:tcPr>
            <w:tcW w:w="0" w:type="auto"/>
            <w:tcBorders>
              <w:top w:val="single" w:sz="6" w:space="0" w:color="auto"/>
              <w:left w:val="single" w:sz="6" w:space="0" w:color="auto"/>
              <w:bottom w:val="single" w:sz="6" w:space="0" w:color="auto"/>
              <w:right w:val="single" w:sz="6" w:space="0" w:color="auto"/>
            </w:tcBorders>
            <w:vAlign w:val="center"/>
            <w:hideMark/>
          </w:tcPr>
          <w:p w14:paraId="4D0C04D1"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0.8912964 </w:t>
            </w:r>
          </w:p>
        </w:tc>
        <w:tc>
          <w:tcPr>
            <w:tcW w:w="0" w:type="auto"/>
            <w:tcBorders>
              <w:top w:val="single" w:sz="6" w:space="0" w:color="auto"/>
              <w:left w:val="single" w:sz="6" w:space="0" w:color="auto"/>
              <w:bottom w:val="single" w:sz="6" w:space="0" w:color="auto"/>
              <w:right w:val="single" w:sz="6" w:space="0" w:color="auto"/>
            </w:tcBorders>
            <w:vAlign w:val="center"/>
            <w:hideMark/>
          </w:tcPr>
          <w:p w14:paraId="612196B2"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0.6543473 </w:t>
            </w:r>
          </w:p>
        </w:tc>
        <w:tc>
          <w:tcPr>
            <w:tcW w:w="0" w:type="auto"/>
            <w:tcBorders>
              <w:top w:val="single" w:sz="6" w:space="0" w:color="auto"/>
              <w:left w:val="single" w:sz="6" w:space="0" w:color="auto"/>
              <w:bottom w:val="single" w:sz="6" w:space="0" w:color="auto"/>
              <w:right w:val="single" w:sz="6" w:space="0" w:color="auto"/>
            </w:tcBorders>
            <w:vAlign w:val="center"/>
            <w:hideMark/>
          </w:tcPr>
          <w:p w14:paraId="609F2386"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1.2140484 </w:t>
            </w:r>
          </w:p>
        </w:tc>
      </w:tr>
      <w:tr w:rsidR="00910313" w:rsidRPr="00191E2A" w14:paraId="7D9708C9" w14:textId="77777777" w:rsidTr="00496CBB">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02091E5"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b/>
                <w:bCs/>
                <w:sz w:val="24"/>
                <w:szCs w:val="24"/>
              </w:rPr>
              <w:t>WHO Stage: Stage 1</w:t>
            </w:r>
          </w:p>
        </w:tc>
        <w:tc>
          <w:tcPr>
            <w:tcW w:w="0" w:type="auto"/>
            <w:tcBorders>
              <w:top w:val="single" w:sz="6" w:space="0" w:color="auto"/>
              <w:left w:val="single" w:sz="6" w:space="0" w:color="auto"/>
              <w:bottom w:val="single" w:sz="6" w:space="0" w:color="auto"/>
              <w:right w:val="single" w:sz="6" w:space="0" w:color="auto"/>
            </w:tcBorders>
            <w:vAlign w:val="center"/>
            <w:hideMark/>
          </w:tcPr>
          <w:p w14:paraId="0C89CE12"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1.0969527 </w:t>
            </w:r>
          </w:p>
        </w:tc>
        <w:tc>
          <w:tcPr>
            <w:tcW w:w="0" w:type="auto"/>
            <w:tcBorders>
              <w:top w:val="single" w:sz="6" w:space="0" w:color="auto"/>
              <w:left w:val="single" w:sz="6" w:space="0" w:color="auto"/>
              <w:bottom w:val="single" w:sz="6" w:space="0" w:color="auto"/>
              <w:right w:val="single" w:sz="6" w:space="0" w:color="auto"/>
            </w:tcBorders>
            <w:vAlign w:val="center"/>
            <w:hideMark/>
          </w:tcPr>
          <w:p w14:paraId="1DB32DC8"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0.6390431 </w:t>
            </w:r>
          </w:p>
        </w:tc>
        <w:tc>
          <w:tcPr>
            <w:tcW w:w="0" w:type="auto"/>
            <w:tcBorders>
              <w:top w:val="single" w:sz="6" w:space="0" w:color="auto"/>
              <w:left w:val="single" w:sz="6" w:space="0" w:color="auto"/>
              <w:bottom w:val="single" w:sz="6" w:space="0" w:color="auto"/>
              <w:right w:val="single" w:sz="6" w:space="0" w:color="auto"/>
            </w:tcBorders>
            <w:vAlign w:val="center"/>
            <w:hideMark/>
          </w:tcPr>
          <w:p w14:paraId="7DF00FB2"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1.8829797 </w:t>
            </w:r>
          </w:p>
        </w:tc>
      </w:tr>
      <w:tr w:rsidR="00910313" w:rsidRPr="00191E2A" w14:paraId="1379E5BC" w14:textId="77777777" w:rsidTr="00496CBB">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639013B"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b/>
                <w:bCs/>
                <w:sz w:val="24"/>
                <w:szCs w:val="24"/>
              </w:rPr>
              <w:t>WHO Stage: Stage 2</w:t>
            </w:r>
          </w:p>
        </w:tc>
        <w:tc>
          <w:tcPr>
            <w:tcW w:w="0" w:type="auto"/>
            <w:tcBorders>
              <w:top w:val="single" w:sz="6" w:space="0" w:color="auto"/>
              <w:left w:val="single" w:sz="6" w:space="0" w:color="auto"/>
              <w:bottom w:val="single" w:sz="6" w:space="0" w:color="auto"/>
              <w:right w:val="single" w:sz="6" w:space="0" w:color="auto"/>
            </w:tcBorders>
            <w:vAlign w:val="center"/>
            <w:hideMark/>
          </w:tcPr>
          <w:p w14:paraId="73F0F1CC"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1.1428285 </w:t>
            </w:r>
          </w:p>
        </w:tc>
        <w:tc>
          <w:tcPr>
            <w:tcW w:w="0" w:type="auto"/>
            <w:tcBorders>
              <w:top w:val="single" w:sz="6" w:space="0" w:color="auto"/>
              <w:left w:val="single" w:sz="6" w:space="0" w:color="auto"/>
              <w:bottom w:val="single" w:sz="6" w:space="0" w:color="auto"/>
              <w:right w:val="single" w:sz="6" w:space="0" w:color="auto"/>
            </w:tcBorders>
            <w:vAlign w:val="center"/>
            <w:hideMark/>
          </w:tcPr>
          <w:p w14:paraId="7D79163E"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0.6146959 </w:t>
            </w:r>
          </w:p>
        </w:tc>
        <w:tc>
          <w:tcPr>
            <w:tcW w:w="0" w:type="auto"/>
            <w:tcBorders>
              <w:top w:val="single" w:sz="6" w:space="0" w:color="auto"/>
              <w:left w:val="single" w:sz="6" w:space="0" w:color="auto"/>
              <w:bottom w:val="single" w:sz="6" w:space="0" w:color="auto"/>
              <w:right w:val="single" w:sz="6" w:space="0" w:color="auto"/>
            </w:tcBorders>
            <w:vAlign w:val="center"/>
            <w:hideMark/>
          </w:tcPr>
          <w:p w14:paraId="29574189"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2.1247203 </w:t>
            </w:r>
          </w:p>
        </w:tc>
      </w:tr>
      <w:tr w:rsidR="00910313" w:rsidRPr="00191E2A" w14:paraId="41B0767D" w14:textId="77777777" w:rsidTr="00496CBB">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66F2348"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b/>
                <w:bCs/>
                <w:sz w:val="24"/>
                <w:szCs w:val="24"/>
              </w:rPr>
              <w:t>Regimen: Others</w:t>
            </w:r>
          </w:p>
        </w:tc>
        <w:tc>
          <w:tcPr>
            <w:tcW w:w="0" w:type="auto"/>
            <w:tcBorders>
              <w:top w:val="single" w:sz="6" w:space="0" w:color="auto"/>
              <w:left w:val="single" w:sz="6" w:space="0" w:color="auto"/>
              <w:bottom w:val="single" w:sz="6" w:space="0" w:color="auto"/>
              <w:right w:val="single" w:sz="6" w:space="0" w:color="auto"/>
            </w:tcBorders>
            <w:vAlign w:val="center"/>
            <w:hideMark/>
          </w:tcPr>
          <w:p w14:paraId="30A94DA9"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0.3763630 </w:t>
            </w:r>
          </w:p>
        </w:tc>
        <w:tc>
          <w:tcPr>
            <w:tcW w:w="0" w:type="auto"/>
            <w:tcBorders>
              <w:top w:val="single" w:sz="6" w:space="0" w:color="auto"/>
              <w:left w:val="single" w:sz="6" w:space="0" w:color="auto"/>
              <w:bottom w:val="single" w:sz="6" w:space="0" w:color="auto"/>
              <w:right w:val="single" w:sz="6" w:space="0" w:color="auto"/>
            </w:tcBorders>
            <w:vAlign w:val="center"/>
            <w:hideMark/>
          </w:tcPr>
          <w:p w14:paraId="6A151154"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0.1239130 </w:t>
            </w:r>
          </w:p>
        </w:tc>
        <w:tc>
          <w:tcPr>
            <w:tcW w:w="0" w:type="auto"/>
            <w:tcBorders>
              <w:top w:val="single" w:sz="6" w:space="0" w:color="auto"/>
              <w:left w:val="single" w:sz="6" w:space="0" w:color="auto"/>
              <w:bottom w:val="single" w:sz="6" w:space="0" w:color="auto"/>
              <w:right w:val="single" w:sz="6" w:space="0" w:color="auto"/>
            </w:tcBorders>
            <w:vAlign w:val="center"/>
            <w:hideMark/>
          </w:tcPr>
          <w:p w14:paraId="4546A18D"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1.1431331 </w:t>
            </w:r>
          </w:p>
        </w:tc>
      </w:tr>
      <w:tr w:rsidR="00910313" w:rsidRPr="00191E2A" w14:paraId="00635EF0" w14:textId="77777777" w:rsidTr="00496CBB">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9BE7234"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b/>
                <w:bCs/>
                <w:sz w:val="24"/>
                <w:szCs w:val="24"/>
              </w:rPr>
              <w:t>Duration: 3-4 years</w:t>
            </w:r>
          </w:p>
        </w:tc>
        <w:tc>
          <w:tcPr>
            <w:tcW w:w="0" w:type="auto"/>
            <w:tcBorders>
              <w:top w:val="single" w:sz="6" w:space="0" w:color="auto"/>
              <w:left w:val="single" w:sz="6" w:space="0" w:color="auto"/>
              <w:bottom w:val="single" w:sz="6" w:space="0" w:color="auto"/>
              <w:right w:val="single" w:sz="6" w:space="0" w:color="auto"/>
            </w:tcBorders>
            <w:vAlign w:val="center"/>
            <w:hideMark/>
          </w:tcPr>
          <w:p w14:paraId="0A2FF1BC"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0.8497880 </w:t>
            </w:r>
          </w:p>
        </w:tc>
        <w:tc>
          <w:tcPr>
            <w:tcW w:w="0" w:type="auto"/>
            <w:tcBorders>
              <w:top w:val="single" w:sz="6" w:space="0" w:color="auto"/>
              <w:left w:val="single" w:sz="6" w:space="0" w:color="auto"/>
              <w:bottom w:val="single" w:sz="6" w:space="0" w:color="auto"/>
              <w:right w:val="single" w:sz="6" w:space="0" w:color="auto"/>
            </w:tcBorders>
            <w:vAlign w:val="center"/>
            <w:hideMark/>
          </w:tcPr>
          <w:p w14:paraId="6C597FA7"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0.6549305 </w:t>
            </w:r>
          </w:p>
        </w:tc>
        <w:tc>
          <w:tcPr>
            <w:tcW w:w="0" w:type="auto"/>
            <w:tcBorders>
              <w:top w:val="single" w:sz="6" w:space="0" w:color="auto"/>
              <w:left w:val="single" w:sz="6" w:space="0" w:color="auto"/>
              <w:bottom w:val="single" w:sz="6" w:space="0" w:color="auto"/>
              <w:right w:val="single" w:sz="6" w:space="0" w:color="auto"/>
            </w:tcBorders>
            <w:vAlign w:val="center"/>
            <w:hideMark/>
          </w:tcPr>
          <w:p w14:paraId="40831903"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1.1026203 </w:t>
            </w:r>
          </w:p>
        </w:tc>
      </w:tr>
      <w:tr w:rsidR="00910313" w:rsidRPr="00191E2A" w14:paraId="062AA6DB" w14:textId="77777777" w:rsidTr="00496CBB">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F3DBE4D"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b/>
                <w:bCs/>
                <w:sz w:val="24"/>
                <w:szCs w:val="24"/>
              </w:rPr>
              <w:t>Duration: 5-7 years</w:t>
            </w:r>
          </w:p>
        </w:tc>
        <w:tc>
          <w:tcPr>
            <w:tcW w:w="0" w:type="auto"/>
            <w:tcBorders>
              <w:top w:val="single" w:sz="6" w:space="0" w:color="auto"/>
              <w:left w:val="single" w:sz="6" w:space="0" w:color="auto"/>
              <w:bottom w:val="single" w:sz="6" w:space="0" w:color="auto"/>
              <w:right w:val="single" w:sz="6" w:space="0" w:color="auto"/>
            </w:tcBorders>
            <w:vAlign w:val="center"/>
            <w:hideMark/>
          </w:tcPr>
          <w:p w14:paraId="7EBA9B1D"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0.9158125 </w:t>
            </w:r>
          </w:p>
        </w:tc>
        <w:tc>
          <w:tcPr>
            <w:tcW w:w="0" w:type="auto"/>
            <w:tcBorders>
              <w:top w:val="single" w:sz="6" w:space="0" w:color="auto"/>
              <w:left w:val="single" w:sz="6" w:space="0" w:color="auto"/>
              <w:bottom w:val="single" w:sz="6" w:space="0" w:color="auto"/>
              <w:right w:val="single" w:sz="6" w:space="0" w:color="auto"/>
            </w:tcBorders>
            <w:vAlign w:val="center"/>
            <w:hideMark/>
          </w:tcPr>
          <w:p w14:paraId="57DD9B99"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0.6871108 </w:t>
            </w:r>
          </w:p>
        </w:tc>
        <w:tc>
          <w:tcPr>
            <w:tcW w:w="0" w:type="auto"/>
            <w:tcBorders>
              <w:top w:val="single" w:sz="6" w:space="0" w:color="auto"/>
              <w:left w:val="single" w:sz="6" w:space="0" w:color="auto"/>
              <w:bottom w:val="single" w:sz="6" w:space="0" w:color="auto"/>
              <w:right w:val="single" w:sz="6" w:space="0" w:color="auto"/>
            </w:tcBorders>
            <w:vAlign w:val="center"/>
            <w:hideMark/>
          </w:tcPr>
          <w:p w14:paraId="6BA7245B"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1.2206365 </w:t>
            </w:r>
          </w:p>
        </w:tc>
      </w:tr>
      <w:tr w:rsidR="00910313" w:rsidRPr="00191E2A" w14:paraId="148B9586" w14:textId="77777777" w:rsidTr="00496CBB">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D4FD356"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b/>
                <w:bCs/>
                <w:sz w:val="24"/>
                <w:szCs w:val="24"/>
              </w:rPr>
              <w:t>MMD: MMD 6</w:t>
            </w:r>
          </w:p>
        </w:tc>
        <w:tc>
          <w:tcPr>
            <w:tcW w:w="0" w:type="auto"/>
            <w:tcBorders>
              <w:top w:val="single" w:sz="6" w:space="0" w:color="auto"/>
              <w:left w:val="single" w:sz="6" w:space="0" w:color="auto"/>
              <w:bottom w:val="single" w:sz="6" w:space="0" w:color="auto"/>
              <w:right w:val="single" w:sz="6" w:space="0" w:color="auto"/>
            </w:tcBorders>
            <w:vAlign w:val="center"/>
            <w:hideMark/>
          </w:tcPr>
          <w:p w14:paraId="6A6B516C"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1.3400220 </w:t>
            </w:r>
          </w:p>
        </w:tc>
        <w:tc>
          <w:tcPr>
            <w:tcW w:w="0" w:type="auto"/>
            <w:tcBorders>
              <w:top w:val="single" w:sz="6" w:space="0" w:color="auto"/>
              <w:left w:val="single" w:sz="6" w:space="0" w:color="auto"/>
              <w:bottom w:val="single" w:sz="6" w:space="0" w:color="auto"/>
              <w:right w:val="single" w:sz="6" w:space="0" w:color="auto"/>
            </w:tcBorders>
            <w:vAlign w:val="center"/>
            <w:hideMark/>
          </w:tcPr>
          <w:p w14:paraId="321F8B81"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1.0830722 </w:t>
            </w:r>
          </w:p>
        </w:tc>
        <w:tc>
          <w:tcPr>
            <w:tcW w:w="0" w:type="auto"/>
            <w:tcBorders>
              <w:top w:val="single" w:sz="6" w:space="0" w:color="auto"/>
              <w:left w:val="single" w:sz="6" w:space="0" w:color="auto"/>
              <w:bottom w:val="single" w:sz="6" w:space="0" w:color="auto"/>
              <w:right w:val="single" w:sz="6" w:space="0" w:color="auto"/>
            </w:tcBorders>
            <w:vAlign w:val="center"/>
            <w:hideMark/>
          </w:tcPr>
          <w:p w14:paraId="7F37A395"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1.6579309 </w:t>
            </w:r>
          </w:p>
        </w:tc>
      </w:tr>
      <w:tr w:rsidR="00910313" w:rsidRPr="00191E2A" w14:paraId="2298C158" w14:textId="77777777" w:rsidTr="00496CBB">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9F3FC09"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b/>
                <w:bCs/>
                <w:sz w:val="24"/>
                <w:szCs w:val="24"/>
              </w:rPr>
              <w:t xml:space="preserve">MMD: </w:t>
            </w:r>
            <w:proofErr w:type="gramStart"/>
            <w:r w:rsidRPr="00191E2A">
              <w:rPr>
                <w:rFonts w:ascii="Courier New" w:eastAsia="Times New Roman" w:hAnsi="Courier New" w:cs="Courier New"/>
                <w:b/>
                <w:bCs/>
                <w:sz w:val="24"/>
                <w:szCs w:val="24"/>
              </w:rPr>
              <w:t>Others( 1</w:t>
            </w:r>
            <w:proofErr w:type="gramEnd"/>
            <w:r w:rsidRPr="00191E2A">
              <w:rPr>
                <w:rFonts w:ascii="Courier New" w:eastAsia="Times New Roman" w:hAnsi="Courier New" w:cs="Courier New"/>
                <w:b/>
                <w:bCs/>
                <w:sz w:val="24"/>
                <w:szCs w:val="24"/>
              </w:rPr>
              <w:t>, 2, 4, 5 months)</w:t>
            </w:r>
          </w:p>
        </w:tc>
        <w:tc>
          <w:tcPr>
            <w:tcW w:w="0" w:type="auto"/>
            <w:tcBorders>
              <w:top w:val="single" w:sz="6" w:space="0" w:color="auto"/>
              <w:left w:val="single" w:sz="6" w:space="0" w:color="auto"/>
              <w:bottom w:val="single" w:sz="6" w:space="0" w:color="auto"/>
              <w:right w:val="single" w:sz="6" w:space="0" w:color="auto"/>
            </w:tcBorders>
            <w:vAlign w:val="center"/>
            <w:hideMark/>
          </w:tcPr>
          <w:p w14:paraId="3018D49D"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0.5856290 </w:t>
            </w:r>
          </w:p>
        </w:tc>
        <w:tc>
          <w:tcPr>
            <w:tcW w:w="0" w:type="auto"/>
            <w:tcBorders>
              <w:top w:val="single" w:sz="6" w:space="0" w:color="auto"/>
              <w:left w:val="single" w:sz="6" w:space="0" w:color="auto"/>
              <w:bottom w:val="single" w:sz="6" w:space="0" w:color="auto"/>
              <w:right w:val="single" w:sz="6" w:space="0" w:color="auto"/>
            </w:tcBorders>
            <w:vAlign w:val="center"/>
            <w:hideMark/>
          </w:tcPr>
          <w:p w14:paraId="43A161BA"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0.2974295 </w:t>
            </w:r>
          </w:p>
        </w:tc>
        <w:tc>
          <w:tcPr>
            <w:tcW w:w="0" w:type="auto"/>
            <w:tcBorders>
              <w:top w:val="single" w:sz="6" w:space="0" w:color="auto"/>
              <w:left w:val="single" w:sz="6" w:space="0" w:color="auto"/>
              <w:bottom w:val="single" w:sz="6" w:space="0" w:color="auto"/>
              <w:right w:val="single" w:sz="6" w:space="0" w:color="auto"/>
            </w:tcBorders>
            <w:vAlign w:val="center"/>
            <w:hideMark/>
          </w:tcPr>
          <w:p w14:paraId="212EFC7B"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1.1530847 </w:t>
            </w:r>
          </w:p>
        </w:tc>
      </w:tr>
      <w:tr w:rsidR="00910313" w:rsidRPr="00191E2A" w14:paraId="33BC3503" w14:textId="77777777" w:rsidTr="00496CBB">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93E0B75"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b/>
                <w:bCs/>
                <w:sz w:val="24"/>
                <w:szCs w:val="24"/>
              </w:rPr>
              <w:t>Baseline VL: Unsuppressed</w:t>
            </w:r>
          </w:p>
        </w:tc>
        <w:tc>
          <w:tcPr>
            <w:tcW w:w="0" w:type="auto"/>
            <w:tcBorders>
              <w:top w:val="single" w:sz="6" w:space="0" w:color="auto"/>
              <w:left w:val="single" w:sz="6" w:space="0" w:color="auto"/>
              <w:bottom w:val="single" w:sz="6" w:space="0" w:color="auto"/>
              <w:right w:val="single" w:sz="6" w:space="0" w:color="auto"/>
            </w:tcBorders>
            <w:vAlign w:val="center"/>
            <w:hideMark/>
          </w:tcPr>
          <w:p w14:paraId="3C4A7413"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0.4574609 </w:t>
            </w:r>
          </w:p>
        </w:tc>
        <w:tc>
          <w:tcPr>
            <w:tcW w:w="0" w:type="auto"/>
            <w:tcBorders>
              <w:top w:val="single" w:sz="6" w:space="0" w:color="auto"/>
              <w:left w:val="single" w:sz="6" w:space="0" w:color="auto"/>
              <w:bottom w:val="single" w:sz="6" w:space="0" w:color="auto"/>
              <w:right w:val="single" w:sz="6" w:space="0" w:color="auto"/>
            </w:tcBorders>
            <w:vAlign w:val="center"/>
            <w:hideMark/>
          </w:tcPr>
          <w:p w14:paraId="0F53DE50"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0.3552961 </w:t>
            </w:r>
          </w:p>
        </w:tc>
        <w:tc>
          <w:tcPr>
            <w:tcW w:w="0" w:type="auto"/>
            <w:tcBorders>
              <w:top w:val="single" w:sz="6" w:space="0" w:color="auto"/>
              <w:left w:val="single" w:sz="6" w:space="0" w:color="auto"/>
              <w:bottom w:val="single" w:sz="6" w:space="0" w:color="auto"/>
              <w:right w:val="single" w:sz="6" w:space="0" w:color="auto"/>
            </w:tcBorders>
            <w:vAlign w:val="center"/>
            <w:hideMark/>
          </w:tcPr>
          <w:p w14:paraId="1F845BA3" w14:textId="77777777" w:rsidR="00910313" w:rsidRPr="00191E2A" w:rsidRDefault="00910313" w:rsidP="00496CBB">
            <w:pPr>
              <w:spacing w:after="0" w:line="240" w:lineRule="auto"/>
              <w:rPr>
                <w:rFonts w:ascii="Courier New" w:eastAsia="Times New Roman" w:hAnsi="Courier New" w:cs="Courier New"/>
                <w:sz w:val="24"/>
                <w:szCs w:val="24"/>
              </w:rPr>
            </w:pPr>
            <w:r w:rsidRPr="00191E2A">
              <w:rPr>
                <w:rFonts w:ascii="Courier New" w:eastAsia="Times New Roman" w:hAnsi="Courier New" w:cs="Courier New"/>
                <w:sz w:val="24"/>
                <w:szCs w:val="24"/>
              </w:rPr>
              <w:t xml:space="preserve">0.5890030 </w:t>
            </w:r>
          </w:p>
        </w:tc>
      </w:tr>
    </w:tbl>
    <w:p w14:paraId="564A81CA" w14:textId="77777777" w:rsidR="00910313" w:rsidRDefault="00910313" w:rsidP="00910313">
      <w:pPr>
        <w:spacing w:after="0" w:line="240" w:lineRule="auto"/>
        <w:rPr>
          <w:rFonts w:ascii="Times New Roman" w:eastAsia="Times New Roman" w:hAnsi="Times New Roman" w:cs="Times New Roman"/>
          <w:sz w:val="24"/>
          <w:szCs w:val="24"/>
        </w:rPr>
      </w:pPr>
    </w:p>
    <w:sectPr w:rsidR="00910313" w:rsidSect="0027215C">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83625" w14:textId="77777777" w:rsidR="00836137" w:rsidRDefault="00836137" w:rsidP="0027215C">
      <w:pPr>
        <w:spacing w:after="0" w:line="240" w:lineRule="auto"/>
      </w:pPr>
      <w:r>
        <w:separator/>
      </w:r>
    </w:p>
  </w:endnote>
  <w:endnote w:type="continuationSeparator" w:id="0">
    <w:p w14:paraId="14C70185" w14:textId="77777777" w:rsidR="00836137" w:rsidRDefault="00836137" w:rsidP="00272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New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0577252"/>
      <w:docPartObj>
        <w:docPartGallery w:val="Page Numbers (Bottom of Page)"/>
        <w:docPartUnique/>
      </w:docPartObj>
    </w:sdtPr>
    <w:sdtEndPr>
      <w:rPr>
        <w:noProof/>
      </w:rPr>
    </w:sdtEndPr>
    <w:sdtContent>
      <w:p w14:paraId="1EC21876" w14:textId="77777777" w:rsidR="00FE6BFE" w:rsidRDefault="00FE6B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312B6E" w14:textId="77777777" w:rsidR="00FE6BFE" w:rsidRDefault="00FE6B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73AE9" w14:textId="77777777" w:rsidR="00836137" w:rsidRDefault="00836137" w:rsidP="0027215C">
      <w:pPr>
        <w:spacing w:after="0" w:line="240" w:lineRule="auto"/>
      </w:pPr>
      <w:r>
        <w:separator/>
      </w:r>
    </w:p>
  </w:footnote>
  <w:footnote w:type="continuationSeparator" w:id="0">
    <w:p w14:paraId="771CC877" w14:textId="77777777" w:rsidR="00836137" w:rsidRDefault="00836137" w:rsidP="002721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B1698"/>
    <w:multiLevelType w:val="multilevel"/>
    <w:tmpl w:val="DA103B9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1060D"/>
    <w:multiLevelType w:val="multilevel"/>
    <w:tmpl w:val="AED4A65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A53690"/>
    <w:multiLevelType w:val="hybridMultilevel"/>
    <w:tmpl w:val="D56413EA"/>
    <w:lvl w:ilvl="0" w:tplc="10A629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313128"/>
    <w:multiLevelType w:val="multilevel"/>
    <w:tmpl w:val="FCBA267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EC7A4C"/>
    <w:multiLevelType w:val="multilevel"/>
    <w:tmpl w:val="2FA08C9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2E6EB8"/>
    <w:multiLevelType w:val="hybridMultilevel"/>
    <w:tmpl w:val="B2607A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A903AE"/>
    <w:multiLevelType w:val="multilevel"/>
    <w:tmpl w:val="91FA898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233F95"/>
    <w:multiLevelType w:val="hybridMultilevel"/>
    <w:tmpl w:val="2C727464"/>
    <w:lvl w:ilvl="0" w:tplc="B39880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B94F11"/>
    <w:multiLevelType w:val="multilevel"/>
    <w:tmpl w:val="FAE24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A4335A"/>
    <w:multiLevelType w:val="multilevel"/>
    <w:tmpl w:val="A2BA3F7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8806A0"/>
    <w:multiLevelType w:val="multilevel"/>
    <w:tmpl w:val="C2FCB30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FF1479"/>
    <w:multiLevelType w:val="multilevel"/>
    <w:tmpl w:val="2F4CC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5B609CB"/>
    <w:multiLevelType w:val="hybridMultilevel"/>
    <w:tmpl w:val="E59E845C"/>
    <w:lvl w:ilvl="0" w:tplc="2F867A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833767"/>
    <w:multiLevelType w:val="multilevel"/>
    <w:tmpl w:val="6D0E42C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8A141A"/>
    <w:multiLevelType w:val="multilevel"/>
    <w:tmpl w:val="C63C74F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734E02"/>
    <w:multiLevelType w:val="multilevel"/>
    <w:tmpl w:val="E3C80A3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FE15C1"/>
    <w:multiLevelType w:val="multilevel"/>
    <w:tmpl w:val="6222172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214035"/>
    <w:multiLevelType w:val="hybridMultilevel"/>
    <w:tmpl w:val="F9361E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5A338D"/>
    <w:multiLevelType w:val="multilevel"/>
    <w:tmpl w:val="E54413F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7D434E"/>
    <w:multiLevelType w:val="multilevel"/>
    <w:tmpl w:val="738EA9E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8631E0"/>
    <w:multiLevelType w:val="multilevel"/>
    <w:tmpl w:val="152A4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536DB0"/>
    <w:multiLevelType w:val="multilevel"/>
    <w:tmpl w:val="838893A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5627849">
    <w:abstractNumId w:val="12"/>
  </w:num>
  <w:num w:numId="2" w16cid:durableId="1208645447">
    <w:abstractNumId w:val="7"/>
  </w:num>
  <w:num w:numId="3" w16cid:durableId="252593642">
    <w:abstractNumId w:val="2"/>
  </w:num>
  <w:num w:numId="4" w16cid:durableId="1148550543">
    <w:abstractNumId w:val="17"/>
  </w:num>
  <w:num w:numId="5" w16cid:durableId="1214851189">
    <w:abstractNumId w:val="5"/>
  </w:num>
  <w:num w:numId="6" w16cid:durableId="122163622">
    <w:abstractNumId w:val="8"/>
  </w:num>
  <w:num w:numId="7" w16cid:durableId="1438520266">
    <w:abstractNumId w:val="19"/>
  </w:num>
  <w:num w:numId="8" w16cid:durableId="1946690863">
    <w:abstractNumId w:val="11"/>
  </w:num>
  <w:num w:numId="9" w16cid:durableId="804273943">
    <w:abstractNumId w:val="1"/>
  </w:num>
  <w:num w:numId="10" w16cid:durableId="1785342198">
    <w:abstractNumId w:val="9"/>
  </w:num>
  <w:num w:numId="11" w16cid:durableId="744380663">
    <w:abstractNumId w:val="10"/>
  </w:num>
  <w:num w:numId="12" w16cid:durableId="445127575">
    <w:abstractNumId w:val="6"/>
  </w:num>
  <w:num w:numId="13" w16cid:durableId="1191649510">
    <w:abstractNumId w:val="20"/>
  </w:num>
  <w:num w:numId="14" w16cid:durableId="1251741605">
    <w:abstractNumId w:val="0"/>
  </w:num>
  <w:num w:numId="15" w16cid:durableId="1865748796">
    <w:abstractNumId w:val="16"/>
  </w:num>
  <w:num w:numId="16" w16cid:durableId="1485899618">
    <w:abstractNumId w:val="3"/>
  </w:num>
  <w:num w:numId="17" w16cid:durableId="601498480">
    <w:abstractNumId w:val="21"/>
  </w:num>
  <w:num w:numId="18" w16cid:durableId="1458254650">
    <w:abstractNumId w:val="13"/>
  </w:num>
  <w:num w:numId="19" w16cid:durableId="985861206">
    <w:abstractNumId w:val="14"/>
  </w:num>
  <w:num w:numId="20" w16cid:durableId="2004313299">
    <w:abstractNumId w:val="15"/>
  </w:num>
  <w:num w:numId="21" w16cid:durableId="367493018">
    <w:abstractNumId w:val="18"/>
  </w:num>
  <w:num w:numId="22" w16cid:durableId="17131423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21C"/>
    <w:rsid w:val="00001BA5"/>
    <w:rsid w:val="00014166"/>
    <w:rsid w:val="0002282C"/>
    <w:rsid w:val="00043E0C"/>
    <w:rsid w:val="00055A6E"/>
    <w:rsid w:val="00096602"/>
    <w:rsid w:val="000F48FF"/>
    <w:rsid w:val="001024DD"/>
    <w:rsid w:val="001263EE"/>
    <w:rsid w:val="0016249E"/>
    <w:rsid w:val="00170CF4"/>
    <w:rsid w:val="00181E6C"/>
    <w:rsid w:val="00182BB3"/>
    <w:rsid w:val="001B5675"/>
    <w:rsid w:val="001B6511"/>
    <w:rsid w:val="001C6DEB"/>
    <w:rsid w:val="001D53D2"/>
    <w:rsid w:val="001E2609"/>
    <w:rsid w:val="001E58EA"/>
    <w:rsid w:val="001F2FF0"/>
    <w:rsid w:val="002064E9"/>
    <w:rsid w:val="00213D95"/>
    <w:rsid w:val="00252D68"/>
    <w:rsid w:val="002629E0"/>
    <w:rsid w:val="0027215C"/>
    <w:rsid w:val="0027749C"/>
    <w:rsid w:val="00284583"/>
    <w:rsid w:val="00287D43"/>
    <w:rsid w:val="00293A75"/>
    <w:rsid w:val="002A09EA"/>
    <w:rsid w:val="002B6DE3"/>
    <w:rsid w:val="003163B4"/>
    <w:rsid w:val="0031759B"/>
    <w:rsid w:val="0032299C"/>
    <w:rsid w:val="003326E4"/>
    <w:rsid w:val="00337619"/>
    <w:rsid w:val="00342407"/>
    <w:rsid w:val="00352380"/>
    <w:rsid w:val="0035308F"/>
    <w:rsid w:val="00354DF8"/>
    <w:rsid w:val="00371B94"/>
    <w:rsid w:val="003D5ED2"/>
    <w:rsid w:val="003E7366"/>
    <w:rsid w:val="003F5081"/>
    <w:rsid w:val="00402619"/>
    <w:rsid w:val="00402BDA"/>
    <w:rsid w:val="004137DD"/>
    <w:rsid w:val="00436FBB"/>
    <w:rsid w:val="00460B84"/>
    <w:rsid w:val="004725B8"/>
    <w:rsid w:val="00474032"/>
    <w:rsid w:val="004815E6"/>
    <w:rsid w:val="00492B04"/>
    <w:rsid w:val="00496CBB"/>
    <w:rsid w:val="004B6F07"/>
    <w:rsid w:val="004C5CC9"/>
    <w:rsid w:val="004D75A1"/>
    <w:rsid w:val="004E0E18"/>
    <w:rsid w:val="0052020C"/>
    <w:rsid w:val="00524647"/>
    <w:rsid w:val="0055187F"/>
    <w:rsid w:val="00563037"/>
    <w:rsid w:val="00580204"/>
    <w:rsid w:val="00593293"/>
    <w:rsid w:val="005A0130"/>
    <w:rsid w:val="005A6FFB"/>
    <w:rsid w:val="005F381E"/>
    <w:rsid w:val="006233A3"/>
    <w:rsid w:val="0063658A"/>
    <w:rsid w:val="006501DF"/>
    <w:rsid w:val="00651CF2"/>
    <w:rsid w:val="00662457"/>
    <w:rsid w:val="00672A4D"/>
    <w:rsid w:val="00672DE6"/>
    <w:rsid w:val="006754F4"/>
    <w:rsid w:val="006962EE"/>
    <w:rsid w:val="006C0EEF"/>
    <w:rsid w:val="006D0F81"/>
    <w:rsid w:val="006E08BF"/>
    <w:rsid w:val="0070216F"/>
    <w:rsid w:val="00706E73"/>
    <w:rsid w:val="00731DF3"/>
    <w:rsid w:val="00744A72"/>
    <w:rsid w:val="00763ECE"/>
    <w:rsid w:val="00777AEA"/>
    <w:rsid w:val="00797525"/>
    <w:rsid w:val="00797DB7"/>
    <w:rsid w:val="007C0B7C"/>
    <w:rsid w:val="00821017"/>
    <w:rsid w:val="0082458C"/>
    <w:rsid w:val="00825D1D"/>
    <w:rsid w:val="00836137"/>
    <w:rsid w:val="00857F67"/>
    <w:rsid w:val="008853FD"/>
    <w:rsid w:val="008A0B0D"/>
    <w:rsid w:val="00904CB4"/>
    <w:rsid w:val="00910313"/>
    <w:rsid w:val="0093721C"/>
    <w:rsid w:val="00943A5E"/>
    <w:rsid w:val="00982C69"/>
    <w:rsid w:val="009846E9"/>
    <w:rsid w:val="009C5063"/>
    <w:rsid w:val="009E5EBF"/>
    <w:rsid w:val="009E6130"/>
    <w:rsid w:val="00A31EAD"/>
    <w:rsid w:val="00A3338C"/>
    <w:rsid w:val="00A451F7"/>
    <w:rsid w:val="00A659A7"/>
    <w:rsid w:val="00AD5192"/>
    <w:rsid w:val="00B13C70"/>
    <w:rsid w:val="00B23B86"/>
    <w:rsid w:val="00B83C7B"/>
    <w:rsid w:val="00B946E1"/>
    <w:rsid w:val="00BB7C72"/>
    <w:rsid w:val="00BC6AA7"/>
    <w:rsid w:val="00BF37A0"/>
    <w:rsid w:val="00C04AA7"/>
    <w:rsid w:val="00C06E1A"/>
    <w:rsid w:val="00C1262D"/>
    <w:rsid w:val="00C33C37"/>
    <w:rsid w:val="00C37297"/>
    <w:rsid w:val="00C55042"/>
    <w:rsid w:val="00C837BB"/>
    <w:rsid w:val="00CA2730"/>
    <w:rsid w:val="00CA55AE"/>
    <w:rsid w:val="00CF1A39"/>
    <w:rsid w:val="00D8639E"/>
    <w:rsid w:val="00DC049B"/>
    <w:rsid w:val="00DD6823"/>
    <w:rsid w:val="00E45752"/>
    <w:rsid w:val="00E46208"/>
    <w:rsid w:val="00E517F1"/>
    <w:rsid w:val="00E75D16"/>
    <w:rsid w:val="00E874FC"/>
    <w:rsid w:val="00ED3EDD"/>
    <w:rsid w:val="00ED5C72"/>
    <w:rsid w:val="00EE407C"/>
    <w:rsid w:val="00EE589F"/>
    <w:rsid w:val="00F03693"/>
    <w:rsid w:val="00F32435"/>
    <w:rsid w:val="00F352EF"/>
    <w:rsid w:val="00F41C89"/>
    <w:rsid w:val="00F809BC"/>
    <w:rsid w:val="00F94184"/>
    <w:rsid w:val="00FE426A"/>
    <w:rsid w:val="00FE6B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408AC"/>
  <w15:chartTrackingRefBased/>
  <w15:docId w15:val="{53AEAEB2-64F6-443D-A091-434E666C9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ED5C72"/>
    <w:pPr>
      <w:keepNext/>
      <w:keepLines/>
      <w:spacing w:before="160" w:after="80" w:line="278" w:lineRule="auto"/>
      <w:outlineLvl w:val="2"/>
    </w:pPr>
    <w:rPr>
      <w:rFonts w:eastAsiaTheme="majorEastAsia" w:cstheme="majorBidi"/>
      <w:color w:val="2E74B5" w:themeColor="accent1" w:themeShade="BF"/>
      <w:kern w:val="2"/>
      <w:sz w:val="28"/>
      <w:szCs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262D"/>
    <w:rPr>
      <w:color w:val="0563C1" w:themeColor="hyperlink"/>
      <w:u w:val="single"/>
    </w:rPr>
  </w:style>
  <w:style w:type="paragraph" w:styleId="ListParagraph">
    <w:name w:val="List Paragraph"/>
    <w:basedOn w:val="Normal"/>
    <w:uiPriority w:val="34"/>
    <w:qFormat/>
    <w:rsid w:val="00402BDA"/>
    <w:pPr>
      <w:ind w:left="720"/>
      <w:contextualSpacing/>
    </w:pPr>
  </w:style>
  <w:style w:type="paragraph" w:styleId="NormalWeb">
    <w:name w:val="Normal (Web)"/>
    <w:basedOn w:val="Normal"/>
    <w:uiPriority w:val="99"/>
    <w:semiHidden/>
    <w:unhideWhenUsed/>
    <w:rsid w:val="00ED3E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3E7366"/>
    <w:rPr>
      <w:rFonts w:ascii="TimesNewRoman" w:hAnsi="TimesNewRoman" w:hint="default"/>
      <w:b/>
      <w:bCs/>
      <w:i w:val="0"/>
      <w:iCs w:val="0"/>
      <w:color w:val="000000"/>
      <w:sz w:val="24"/>
      <w:szCs w:val="24"/>
    </w:rPr>
  </w:style>
  <w:style w:type="character" w:styleId="CommentReference">
    <w:name w:val="annotation reference"/>
    <w:basedOn w:val="DefaultParagraphFont"/>
    <w:uiPriority w:val="99"/>
    <w:semiHidden/>
    <w:unhideWhenUsed/>
    <w:rsid w:val="00D8639E"/>
    <w:rPr>
      <w:sz w:val="16"/>
      <w:szCs w:val="16"/>
    </w:rPr>
  </w:style>
  <w:style w:type="paragraph" w:styleId="CommentText">
    <w:name w:val="annotation text"/>
    <w:basedOn w:val="Normal"/>
    <w:link w:val="CommentTextChar"/>
    <w:uiPriority w:val="99"/>
    <w:unhideWhenUsed/>
    <w:rsid w:val="00D8639E"/>
    <w:pPr>
      <w:spacing w:line="240" w:lineRule="auto"/>
    </w:pPr>
    <w:rPr>
      <w:sz w:val="20"/>
      <w:szCs w:val="20"/>
    </w:rPr>
  </w:style>
  <w:style w:type="character" w:customStyle="1" w:styleId="CommentTextChar">
    <w:name w:val="Comment Text Char"/>
    <w:basedOn w:val="DefaultParagraphFont"/>
    <w:link w:val="CommentText"/>
    <w:uiPriority w:val="99"/>
    <w:rsid w:val="00D8639E"/>
    <w:rPr>
      <w:sz w:val="20"/>
      <w:szCs w:val="20"/>
    </w:rPr>
  </w:style>
  <w:style w:type="paragraph" w:styleId="CommentSubject">
    <w:name w:val="annotation subject"/>
    <w:basedOn w:val="CommentText"/>
    <w:next w:val="CommentText"/>
    <w:link w:val="CommentSubjectChar"/>
    <w:uiPriority w:val="99"/>
    <w:semiHidden/>
    <w:unhideWhenUsed/>
    <w:rsid w:val="00D8639E"/>
    <w:rPr>
      <w:b/>
      <w:bCs/>
    </w:rPr>
  </w:style>
  <w:style w:type="character" w:customStyle="1" w:styleId="CommentSubjectChar">
    <w:name w:val="Comment Subject Char"/>
    <w:basedOn w:val="CommentTextChar"/>
    <w:link w:val="CommentSubject"/>
    <w:uiPriority w:val="99"/>
    <w:semiHidden/>
    <w:rsid w:val="00D8639E"/>
    <w:rPr>
      <w:b/>
      <w:bCs/>
      <w:sz w:val="20"/>
      <w:szCs w:val="20"/>
    </w:rPr>
  </w:style>
  <w:style w:type="paragraph" w:styleId="BalloonText">
    <w:name w:val="Balloon Text"/>
    <w:basedOn w:val="Normal"/>
    <w:link w:val="BalloonTextChar"/>
    <w:uiPriority w:val="99"/>
    <w:semiHidden/>
    <w:unhideWhenUsed/>
    <w:rsid w:val="00460B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B84"/>
    <w:rPr>
      <w:rFonts w:ascii="Segoe UI" w:hAnsi="Segoe UI" w:cs="Segoe UI"/>
      <w:sz w:val="18"/>
      <w:szCs w:val="18"/>
    </w:rPr>
  </w:style>
  <w:style w:type="paragraph" w:styleId="Header">
    <w:name w:val="header"/>
    <w:basedOn w:val="Normal"/>
    <w:link w:val="HeaderChar"/>
    <w:uiPriority w:val="99"/>
    <w:unhideWhenUsed/>
    <w:rsid w:val="002721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215C"/>
  </w:style>
  <w:style w:type="paragraph" w:styleId="Footer">
    <w:name w:val="footer"/>
    <w:basedOn w:val="Normal"/>
    <w:link w:val="FooterChar"/>
    <w:uiPriority w:val="99"/>
    <w:unhideWhenUsed/>
    <w:rsid w:val="002721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215C"/>
  </w:style>
  <w:style w:type="character" w:customStyle="1" w:styleId="Heading3Char">
    <w:name w:val="Heading 3 Char"/>
    <w:basedOn w:val="DefaultParagraphFont"/>
    <w:link w:val="Heading3"/>
    <w:uiPriority w:val="9"/>
    <w:semiHidden/>
    <w:rsid w:val="00ED5C72"/>
    <w:rPr>
      <w:rFonts w:eastAsiaTheme="majorEastAsia" w:cstheme="majorBidi"/>
      <w:color w:val="2E74B5" w:themeColor="accent1" w:themeShade="BF"/>
      <w:kern w:val="2"/>
      <w:sz w:val="28"/>
      <w:szCs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04737">
      <w:bodyDiv w:val="1"/>
      <w:marLeft w:val="0"/>
      <w:marRight w:val="0"/>
      <w:marTop w:val="0"/>
      <w:marBottom w:val="0"/>
      <w:divBdr>
        <w:top w:val="none" w:sz="0" w:space="0" w:color="auto"/>
        <w:left w:val="none" w:sz="0" w:space="0" w:color="auto"/>
        <w:bottom w:val="none" w:sz="0" w:space="0" w:color="auto"/>
        <w:right w:val="none" w:sz="0" w:space="0" w:color="auto"/>
      </w:divBdr>
    </w:div>
    <w:div w:id="183204988">
      <w:bodyDiv w:val="1"/>
      <w:marLeft w:val="0"/>
      <w:marRight w:val="0"/>
      <w:marTop w:val="0"/>
      <w:marBottom w:val="0"/>
      <w:divBdr>
        <w:top w:val="none" w:sz="0" w:space="0" w:color="auto"/>
        <w:left w:val="none" w:sz="0" w:space="0" w:color="auto"/>
        <w:bottom w:val="none" w:sz="0" w:space="0" w:color="auto"/>
        <w:right w:val="none" w:sz="0" w:space="0" w:color="auto"/>
      </w:divBdr>
      <w:divsChild>
        <w:div w:id="141049363">
          <w:marLeft w:val="0"/>
          <w:marRight w:val="0"/>
          <w:marTop w:val="0"/>
          <w:marBottom w:val="0"/>
          <w:divBdr>
            <w:top w:val="none" w:sz="0" w:space="0" w:color="auto"/>
            <w:left w:val="none" w:sz="0" w:space="0" w:color="auto"/>
            <w:bottom w:val="none" w:sz="0" w:space="0" w:color="auto"/>
            <w:right w:val="none" w:sz="0" w:space="0" w:color="auto"/>
          </w:divBdr>
          <w:divsChild>
            <w:div w:id="57523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2791">
      <w:bodyDiv w:val="1"/>
      <w:marLeft w:val="0"/>
      <w:marRight w:val="0"/>
      <w:marTop w:val="0"/>
      <w:marBottom w:val="0"/>
      <w:divBdr>
        <w:top w:val="none" w:sz="0" w:space="0" w:color="auto"/>
        <w:left w:val="none" w:sz="0" w:space="0" w:color="auto"/>
        <w:bottom w:val="none" w:sz="0" w:space="0" w:color="auto"/>
        <w:right w:val="none" w:sz="0" w:space="0" w:color="auto"/>
      </w:divBdr>
    </w:div>
    <w:div w:id="195434953">
      <w:bodyDiv w:val="1"/>
      <w:marLeft w:val="0"/>
      <w:marRight w:val="0"/>
      <w:marTop w:val="0"/>
      <w:marBottom w:val="0"/>
      <w:divBdr>
        <w:top w:val="none" w:sz="0" w:space="0" w:color="auto"/>
        <w:left w:val="none" w:sz="0" w:space="0" w:color="auto"/>
        <w:bottom w:val="none" w:sz="0" w:space="0" w:color="auto"/>
        <w:right w:val="none" w:sz="0" w:space="0" w:color="auto"/>
      </w:divBdr>
    </w:div>
    <w:div w:id="307129101">
      <w:bodyDiv w:val="1"/>
      <w:marLeft w:val="0"/>
      <w:marRight w:val="0"/>
      <w:marTop w:val="0"/>
      <w:marBottom w:val="0"/>
      <w:divBdr>
        <w:top w:val="none" w:sz="0" w:space="0" w:color="auto"/>
        <w:left w:val="none" w:sz="0" w:space="0" w:color="auto"/>
        <w:bottom w:val="none" w:sz="0" w:space="0" w:color="auto"/>
        <w:right w:val="none" w:sz="0" w:space="0" w:color="auto"/>
      </w:divBdr>
    </w:div>
    <w:div w:id="376781116">
      <w:bodyDiv w:val="1"/>
      <w:marLeft w:val="0"/>
      <w:marRight w:val="0"/>
      <w:marTop w:val="0"/>
      <w:marBottom w:val="0"/>
      <w:divBdr>
        <w:top w:val="none" w:sz="0" w:space="0" w:color="auto"/>
        <w:left w:val="none" w:sz="0" w:space="0" w:color="auto"/>
        <w:bottom w:val="none" w:sz="0" w:space="0" w:color="auto"/>
        <w:right w:val="none" w:sz="0" w:space="0" w:color="auto"/>
      </w:divBdr>
    </w:div>
    <w:div w:id="443382750">
      <w:bodyDiv w:val="1"/>
      <w:marLeft w:val="0"/>
      <w:marRight w:val="0"/>
      <w:marTop w:val="0"/>
      <w:marBottom w:val="0"/>
      <w:divBdr>
        <w:top w:val="none" w:sz="0" w:space="0" w:color="auto"/>
        <w:left w:val="none" w:sz="0" w:space="0" w:color="auto"/>
        <w:bottom w:val="none" w:sz="0" w:space="0" w:color="auto"/>
        <w:right w:val="none" w:sz="0" w:space="0" w:color="auto"/>
      </w:divBdr>
    </w:div>
    <w:div w:id="567422043">
      <w:bodyDiv w:val="1"/>
      <w:marLeft w:val="0"/>
      <w:marRight w:val="0"/>
      <w:marTop w:val="0"/>
      <w:marBottom w:val="0"/>
      <w:divBdr>
        <w:top w:val="none" w:sz="0" w:space="0" w:color="auto"/>
        <w:left w:val="none" w:sz="0" w:space="0" w:color="auto"/>
        <w:bottom w:val="none" w:sz="0" w:space="0" w:color="auto"/>
        <w:right w:val="none" w:sz="0" w:space="0" w:color="auto"/>
      </w:divBdr>
    </w:div>
    <w:div w:id="611941800">
      <w:bodyDiv w:val="1"/>
      <w:marLeft w:val="0"/>
      <w:marRight w:val="0"/>
      <w:marTop w:val="0"/>
      <w:marBottom w:val="0"/>
      <w:divBdr>
        <w:top w:val="none" w:sz="0" w:space="0" w:color="auto"/>
        <w:left w:val="none" w:sz="0" w:space="0" w:color="auto"/>
        <w:bottom w:val="none" w:sz="0" w:space="0" w:color="auto"/>
        <w:right w:val="none" w:sz="0" w:space="0" w:color="auto"/>
      </w:divBdr>
    </w:div>
    <w:div w:id="615141090">
      <w:bodyDiv w:val="1"/>
      <w:marLeft w:val="0"/>
      <w:marRight w:val="0"/>
      <w:marTop w:val="0"/>
      <w:marBottom w:val="0"/>
      <w:divBdr>
        <w:top w:val="none" w:sz="0" w:space="0" w:color="auto"/>
        <w:left w:val="none" w:sz="0" w:space="0" w:color="auto"/>
        <w:bottom w:val="none" w:sz="0" w:space="0" w:color="auto"/>
        <w:right w:val="none" w:sz="0" w:space="0" w:color="auto"/>
      </w:divBdr>
    </w:div>
    <w:div w:id="644630779">
      <w:bodyDiv w:val="1"/>
      <w:marLeft w:val="0"/>
      <w:marRight w:val="0"/>
      <w:marTop w:val="0"/>
      <w:marBottom w:val="0"/>
      <w:divBdr>
        <w:top w:val="none" w:sz="0" w:space="0" w:color="auto"/>
        <w:left w:val="none" w:sz="0" w:space="0" w:color="auto"/>
        <w:bottom w:val="none" w:sz="0" w:space="0" w:color="auto"/>
        <w:right w:val="none" w:sz="0" w:space="0" w:color="auto"/>
      </w:divBdr>
    </w:div>
    <w:div w:id="661927438">
      <w:bodyDiv w:val="1"/>
      <w:marLeft w:val="0"/>
      <w:marRight w:val="0"/>
      <w:marTop w:val="0"/>
      <w:marBottom w:val="0"/>
      <w:divBdr>
        <w:top w:val="none" w:sz="0" w:space="0" w:color="auto"/>
        <w:left w:val="none" w:sz="0" w:space="0" w:color="auto"/>
        <w:bottom w:val="none" w:sz="0" w:space="0" w:color="auto"/>
        <w:right w:val="none" w:sz="0" w:space="0" w:color="auto"/>
      </w:divBdr>
    </w:div>
    <w:div w:id="716398476">
      <w:bodyDiv w:val="1"/>
      <w:marLeft w:val="0"/>
      <w:marRight w:val="0"/>
      <w:marTop w:val="0"/>
      <w:marBottom w:val="0"/>
      <w:divBdr>
        <w:top w:val="none" w:sz="0" w:space="0" w:color="auto"/>
        <w:left w:val="none" w:sz="0" w:space="0" w:color="auto"/>
        <w:bottom w:val="none" w:sz="0" w:space="0" w:color="auto"/>
        <w:right w:val="none" w:sz="0" w:space="0" w:color="auto"/>
      </w:divBdr>
    </w:div>
    <w:div w:id="853687417">
      <w:bodyDiv w:val="1"/>
      <w:marLeft w:val="0"/>
      <w:marRight w:val="0"/>
      <w:marTop w:val="0"/>
      <w:marBottom w:val="0"/>
      <w:divBdr>
        <w:top w:val="none" w:sz="0" w:space="0" w:color="auto"/>
        <w:left w:val="none" w:sz="0" w:space="0" w:color="auto"/>
        <w:bottom w:val="none" w:sz="0" w:space="0" w:color="auto"/>
        <w:right w:val="none" w:sz="0" w:space="0" w:color="auto"/>
      </w:divBdr>
    </w:div>
    <w:div w:id="869026113">
      <w:bodyDiv w:val="1"/>
      <w:marLeft w:val="0"/>
      <w:marRight w:val="0"/>
      <w:marTop w:val="0"/>
      <w:marBottom w:val="0"/>
      <w:divBdr>
        <w:top w:val="none" w:sz="0" w:space="0" w:color="auto"/>
        <w:left w:val="none" w:sz="0" w:space="0" w:color="auto"/>
        <w:bottom w:val="none" w:sz="0" w:space="0" w:color="auto"/>
        <w:right w:val="none" w:sz="0" w:space="0" w:color="auto"/>
      </w:divBdr>
    </w:div>
    <w:div w:id="885415432">
      <w:bodyDiv w:val="1"/>
      <w:marLeft w:val="0"/>
      <w:marRight w:val="0"/>
      <w:marTop w:val="0"/>
      <w:marBottom w:val="0"/>
      <w:divBdr>
        <w:top w:val="none" w:sz="0" w:space="0" w:color="auto"/>
        <w:left w:val="none" w:sz="0" w:space="0" w:color="auto"/>
        <w:bottom w:val="none" w:sz="0" w:space="0" w:color="auto"/>
        <w:right w:val="none" w:sz="0" w:space="0" w:color="auto"/>
      </w:divBdr>
    </w:div>
    <w:div w:id="886725057">
      <w:bodyDiv w:val="1"/>
      <w:marLeft w:val="0"/>
      <w:marRight w:val="0"/>
      <w:marTop w:val="0"/>
      <w:marBottom w:val="0"/>
      <w:divBdr>
        <w:top w:val="none" w:sz="0" w:space="0" w:color="auto"/>
        <w:left w:val="none" w:sz="0" w:space="0" w:color="auto"/>
        <w:bottom w:val="none" w:sz="0" w:space="0" w:color="auto"/>
        <w:right w:val="none" w:sz="0" w:space="0" w:color="auto"/>
      </w:divBdr>
    </w:div>
    <w:div w:id="932666842">
      <w:bodyDiv w:val="1"/>
      <w:marLeft w:val="0"/>
      <w:marRight w:val="0"/>
      <w:marTop w:val="0"/>
      <w:marBottom w:val="0"/>
      <w:divBdr>
        <w:top w:val="none" w:sz="0" w:space="0" w:color="auto"/>
        <w:left w:val="none" w:sz="0" w:space="0" w:color="auto"/>
        <w:bottom w:val="none" w:sz="0" w:space="0" w:color="auto"/>
        <w:right w:val="none" w:sz="0" w:space="0" w:color="auto"/>
      </w:divBdr>
    </w:div>
    <w:div w:id="1017536958">
      <w:bodyDiv w:val="1"/>
      <w:marLeft w:val="0"/>
      <w:marRight w:val="0"/>
      <w:marTop w:val="0"/>
      <w:marBottom w:val="0"/>
      <w:divBdr>
        <w:top w:val="none" w:sz="0" w:space="0" w:color="auto"/>
        <w:left w:val="none" w:sz="0" w:space="0" w:color="auto"/>
        <w:bottom w:val="none" w:sz="0" w:space="0" w:color="auto"/>
        <w:right w:val="none" w:sz="0" w:space="0" w:color="auto"/>
      </w:divBdr>
    </w:div>
    <w:div w:id="1030254764">
      <w:bodyDiv w:val="1"/>
      <w:marLeft w:val="0"/>
      <w:marRight w:val="0"/>
      <w:marTop w:val="0"/>
      <w:marBottom w:val="0"/>
      <w:divBdr>
        <w:top w:val="none" w:sz="0" w:space="0" w:color="auto"/>
        <w:left w:val="none" w:sz="0" w:space="0" w:color="auto"/>
        <w:bottom w:val="none" w:sz="0" w:space="0" w:color="auto"/>
        <w:right w:val="none" w:sz="0" w:space="0" w:color="auto"/>
      </w:divBdr>
    </w:div>
    <w:div w:id="1056469877">
      <w:bodyDiv w:val="1"/>
      <w:marLeft w:val="0"/>
      <w:marRight w:val="0"/>
      <w:marTop w:val="0"/>
      <w:marBottom w:val="0"/>
      <w:divBdr>
        <w:top w:val="none" w:sz="0" w:space="0" w:color="auto"/>
        <w:left w:val="none" w:sz="0" w:space="0" w:color="auto"/>
        <w:bottom w:val="none" w:sz="0" w:space="0" w:color="auto"/>
        <w:right w:val="none" w:sz="0" w:space="0" w:color="auto"/>
      </w:divBdr>
    </w:div>
    <w:div w:id="1082095693">
      <w:bodyDiv w:val="1"/>
      <w:marLeft w:val="0"/>
      <w:marRight w:val="0"/>
      <w:marTop w:val="0"/>
      <w:marBottom w:val="0"/>
      <w:divBdr>
        <w:top w:val="none" w:sz="0" w:space="0" w:color="auto"/>
        <w:left w:val="none" w:sz="0" w:space="0" w:color="auto"/>
        <w:bottom w:val="none" w:sz="0" w:space="0" w:color="auto"/>
        <w:right w:val="none" w:sz="0" w:space="0" w:color="auto"/>
      </w:divBdr>
    </w:div>
    <w:div w:id="1122074261">
      <w:bodyDiv w:val="1"/>
      <w:marLeft w:val="0"/>
      <w:marRight w:val="0"/>
      <w:marTop w:val="0"/>
      <w:marBottom w:val="0"/>
      <w:divBdr>
        <w:top w:val="none" w:sz="0" w:space="0" w:color="auto"/>
        <w:left w:val="none" w:sz="0" w:space="0" w:color="auto"/>
        <w:bottom w:val="none" w:sz="0" w:space="0" w:color="auto"/>
        <w:right w:val="none" w:sz="0" w:space="0" w:color="auto"/>
      </w:divBdr>
    </w:div>
    <w:div w:id="1122264665">
      <w:bodyDiv w:val="1"/>
      <w:marLeft w:val="0"/>
      <w:marRight w:val="0"/>
      <w:marTop w:val="0"/>
      <w:marBottom w:val="0"/>
      <w:divBdr>
        <w:top w:val="none" w:sz="0" w:space="0" w:color="auto"/>
        <w:left w:val="none" w:sz="0" w:space="0" w:color="auto"/>
        <w:bottom w:val="none" w:sz="0" w:space="0" w:color="auto"/>
        <w:right w:val="none" w:sz="0" w:space="0" w:color="auto"/>
      </w:divBdr>
    </w:div>
    <w:div w:id="1142233126">
      <w:bodyDiv w:val="1"/>
      <w:marLeft w:val="0"/>
      <w:marRight w:val="0"/>
      <w:marTop w:val="0"/>
      <w:marBottom w:val="0"/>
      <w:divBdr>
        <w:top w:val="none" w:sz="0" w:space="0" w:color="auto"/>
        <w:left w:val="none" w:sz="0" w:space="0" w:color="auto"/>
        <w:bottom w:val="none" w:sz="0" w:space="0" w:color="auto"/>
        <w:right w:val="none" w:sz="0" w:space="0" w:color="auto"/>
      </w:divBdr>
    </w:div>
    <w:div w:id="1165442099">
      <w:bodyDiv w:val="1"/>
      <w:marLeft w:val="0"/>
      <w:marRight w:val="0"/>
      <w:marTop w:val="0"/>
      <w:marBottom w:val="0"/>
      <w:divBdr>
        <w:top w:val="none" w:sz="0" w:space="0" w:color="auto"/>
        <w:left w:val="none" w:sz="0" w:space="0" w:color="auto"/>
        <w:bottom w:val="none" w:sz="0" w:space="0" w:color="auto"/>
        <w:right w:val="none" w:sz="0" w:space="0" w:color="auto"/>
      </w:divBdr>
    </w:div>
    <w:div w:id="1252004123">
      <w:bodyDiv w:val="1"/>
      <w:marLeft w:val="0"/>
      <w:marRight w:val="0"/>
      <w:marTop w:val="0"/>
      <w:marBottom w:val="0"/>
      <w:divBdr>
        <w:top w:val="none" w:sz="0" w:space="0" w:color="auto"/>
        <w:left w:val="none" w:sz="0" w:space="0" w:color="auto"/>
        <w:bottom w:val="none" w:sz="0" w:space="0" w:color="auto"/>
        <w:right w:val="none" w:sz="0" w:space="0" w:color="auto"/>
      </w:divBdr>
    </w:div>
    <w:div w:id="1337919359">
      <w:bodyDiv w:val="1"/>
      <w:marLeft w:val="0"/>
      <w:marRight w:val="0"/>
      <w:marTop w:val="0"/>
      <w:marBottom w:val="0"/>
      <w:divBdr>
        <w:top w:val="none" w:sz="0" w:space="0" w:color="auto"/>
        <w:left w:val="none" w:sz="0" w:space="0" w:color="auto"/>
        <w:bottom w:val="none" w:sz="0" w:space="0" w:color="auto"/>
        <w:right w:val="none" w:sz="0" w:space="0" w:color="auto"/>
      </w:divBdr>
    </w:div>
    <w:div w:id="1476067686">
      <w:bodyDiv w:val="1"/>
      <w:marLeft w:val="0"/>
      <w:marRight w:val="0"/>
      <w:marTop w:val="0"/>
      <w:marBottom w:val="0"/>
      <w:divBdr>
        <w:top w:val="none" w:sz="0" w:space="0" w:color="auto"/>
        <w:left w:val="none" w:sz="0" w:space="0" w:color="auto"/>
        <w:bottom w:val="none" w:sz="0" w:space="0" w:color="auto"/>
        <w:right w:val="none" w:sz="0" w:space="0" w:color="auto"/>
      </w:divBdr>
    </w:div>
    <w:div w:id="1500386729">
      <w:bodyDiv w:val="1"/>
      <w:marLeft w:val="0"/>
      <w:marRight w:val="0"/>
      <w:marTop w:val="0"/>
      <w:marBottom w:val="0"/>
      <w:divBdr>
        <w:top w:val="none" w:sz="0" w:space="0" w:color="auto"/>
        <w:left w:val="none" w:sz="0" w:space="0" w:color="auto"/>
        <w:bottom w:val="none" w:sz="0" w:space="0" w:color="auto"/>
        <w:right w:val="none" w:sz="0" w:space="0" w:color="auto"/>
      </w:divBdr>
    </w:div>
    <w:div w:id="1557666010">
      <w:bodyDiv w:val="1"/>
      <w:marLeft w:val="0"/>
      <w:marRight w:val="0"/>
      <w:marTop w:val="0"/>
      <w:marBottom w:val="0"/>
      <w:divBdr>
        <w:top w:val="none" w:sz="0" w:space="0" w:color="auto"/>
        <w:left w:val="none" w:sz="0" w:space="0" w:color="auto"/>
        <w:bottom w:val="none" w:sz="0" w:space="0" w:color="auto"/>
        <w:right w:val="none" w:sz="0" w:space="0" w:color="auto"/>
      </w:divBdr>
    </w:div>
    <w:div w:id="1647248317">
      <w:bodyDiv w:val="1"/>
      <w:marLeft w:val="0"/>
      <w:marRight w:val="0"/>
      <w:marTop w:val="0"/>
      <w:marBottom w:val="0"/>
      <w:divBdr>
        <w:top w:val="none" w:sz="0" w:space="0" w:color="auto"/>
        <w:left w:val="none" w:sz="0" w:space="0" w:color="auto"/>
        <w:bottom w:val="none" w:sz="0" w:space="0" w:color="auto"/>
        <w:right w:val="none" w:sz="0" w:space="0" w:color="auto"/>
      </w:divBdr>
    </w:div>
    <w:div w:id="1676685021">
      <w:bodyDiv w:val="1"/>
      <w:marLeft w:val="0"/>
      <w:marRight w:val="0"/>
      <w:marTop w:val="0"/>
      <w:marBottom w:val="0"/>
      <w:divBdr>
        <w:top w:val="none" w:sz="0" w:space="0" w:color="auto"/>
        <w:left w:val="none" w:sz="0" w:space="0" w:color="auto"/>
        <w:bottom w:val="none" w:sz="0" w:space="0" w:color="auto"/>
        <w:right w:val="none" w:sz="0" w:space="0" w:color="auto"/>
      </w:divBdr>
    </w:div>
    <w:div w:id="1708292785">
      <w:bodyDiv w:val="1"/>
      <w:marLeft w:val="0"/>
      <w:marRight w:val="0"/>
      <w:marTop w:val="0"/>
      <w:marBottom w:val="0"/>
      <w:divBdr>
        <w:top w:val="none" w:sz="0" w:space="0" w:color="auto"/>
        <w:left w:val="none" w:sz="0" w:space="0" w:color="auto"/>
        <w:bottom w:val="none" w:sz="0" w:space="0" w:color="auto"/>
        <w:right w:val="none" w:sz="0" w:space="0" w:color="auto"/>
      </w:divBdr>
    </w:div>
    <w:div w:id="1713069064">
      <w:bodyDiv w:val="1"/>
      <w:marLeft w:val="0"/>
      <w:marRight w:val="0"/>
      <w:marTop w:val="0"/>
      <w:marBottom w:val="0"/>
      <w:divBdr>
        <w:top w:val="none" w:sz="0" w:space="0" w:color="auto"/>
        <w:left w:val="none" w:sz="0" w:space="0" w:color="auto"/>
        <w:bottom w:val="none" w:sz="0" w:space="0" w:color="auto"/>
        <w:right w:val="none" w:sz="0" w:space="0" w:color="auto"/>
      </w:divBdr>
    </w:div>
    <w:div w:id="1743673097">
      <w:bodyDiv w:val="1"/>
      <w:marLeft w:val="0"/>
      <w:marRight w:val="0"/>
      <w:marTop w:val="0"/>
      <w:marBottom w:val="0"/>
      <w:divBdr>
        <w:top w:val="none" w:sz="0" w:space="0" w:color="auto"/>
        <w:left w:val="none" w:sz="0" w:space="0" w:color="auto"/>
        <w:bottom w:val="none" w:sz="0" w:space="0" w:color="auto"/>
        <w:right w:val="none" w:sz="0" w:space="0" w:color="auto"/>
      </w:divBdr>
    </w:div>
    <w:div w:id="1752970701">
      <w:bodyDiv w:val="1"/>
      <w:marLeft w:val="0"/>
      <w:marRight w:val="0"/>
      <w:marTop w:val="0"/>
      <w:marBottom w:val="0"/>
      <w:divBdr>
        <w:top w:val="none" w:sz="0" w:space="0" w:color="auto"/>
        <w:left w:val="none" w:sz="0" w:space="0" w:color="auto"/>
        <w:bottom w:val="none" w:sz="0" w:space="0" w:color="auto"/>
        <w:right w:val="none" w:sz="0" w:space="0" w:color="auto"/>
      </w:divBdr>
    </w:div>
    <w:div w:id="1754819456">
      <w:bodyDiv w:val="1"/>
      <w:marLeft w:val="0"/>
      <w:marRight w:val="0"/>
      <w:marTop w:val="0"/>
      <w:marBottom w:val="0"/>
      <w:divBdr>
        <w:top w:val="none" w:sz="0" w:space="0" w:color="auto"/>
        <w:left w:val="none" w:sz="0" w:space="0" w:color="auto"/>
        <w:bottom w:val="none" w:sz="0" w:space="0" w:color="auto"/>
        <w:right w:val="none" w:sz="0" w:space="0" w:color="auto"/>
      </w:divBdr>
    </w:div>
    <w:div w:id="1781607268">
      <w:bodyDiv w:val="1"/>
      <w:marLeft w:val="0"/>
      <w:marRight w:val="0"/>
      <w:marTop w:val="0"/>
      <w:marBottom w:val="0"/>
      <w:divBdr>
        <w:top w:val="none" w:sz="0" w:space="0" w:color="auto"/>
        <w:left w:val="none" w:sz="0" w:space="0" w:color="auto"/>
        <w:bottom w:val="none" w:sz="0" w:space="0" w:color="auto"/>
        <w:right w:val="none" w:sz="0" w:space="0" w:color="auto"/>
      </w:divBdr>
    </w:div>
    <w:div w:id="1806583254">
      <w:bodyDiv w:val="1"/>
      <w:marLeft w:val="0"/>
      <w:marRight w:val="0"/>
      <w:marTop w:val="0"/>
      <w:marBottom w:val="0"/>
      <w:divBdr>
        <w:top w:val="none" w:sz="0" w:space="0" w:color="auto"/>
        <w:left w:val="none" w:sz="0" w:space="0" w:color="auto"/>
        <w:bottom w:val="none" w:sz="0" w:space="0" w:color="auto"/>
        <w:right w:val="none" w:sz="0" w:space="0" w:color="auto"/>
      </w:divBdr>
    </w:div>
    <w:div w:id="1874225430">
      <w:bodyDiv w:val="1"/>
      <w:marLeft w:val="0"/>
      <w:marRight w:val="0"/>
      <w:marTop w:val="0"/>
      <w:marBottom w:val="0"/>
      <w:divBdr>
        <w:top w:val="none" w:sz="0" w:space="0" w:color="auto"/>
        <w:left w:val="none" w:sz="0" w:space="0" w:color="auto"/>
        <w:bottom w:val="none" w:sz="0" w:space="0" w:color="auto"/>
        <w:right w:val="none" w:sz="0" w:space="0" w:color="auto"/>
      </w:divBdr>
    </w:div>
    <w:div w:id="1894199458">
      <w:bodyDiv w:val="1"/>
      <w:marLeft w:val="0"/>
      <w:marRight w:val="0"/>
      <w:marTop w:val="0"/>
      <w:marBottom w:val="0"/>
      <w:divBdr>
        <w:top w:val="none" w:sz="0" w:space="0" w:color="auto"/>
        <w:left w:val="none" w:sz="0" w:space="0" w:color="auto"/>
        <w:bottom w:val="none" w:sz="0" w:space="0" w:color="auto"/>
        <w:right w:val="none" w:sz="0" w:space="0" w:color="auto"/>
      </w:divBdr>
    </w:div>
    <w:div w:id="1971591683">
      <w:bodyDiv w:val="1"/>
      <w:marLeft w:val="0"/>
      <w:marRight w:val="0"/>
      <w:marTop w:val="0"/>
      <w:marBottom w:val="0"/>
      <w:divBdr>
        <w:top w:val="none" w:sz="0" w:space="0" w:color="auto"/>
        <w:left w:val="none" w:sz="0" w:space="0" w:color="auto"/>
        <w:bottom w:val="none" w:sz="0" w:space="0" w:color="auto"/>
        <w:right w:val="none" w:sz="0" w:space="0" w:color="auto"/>
      </w:divBdr>
    </w:div>
    <w:div w:id="1991516671">
      <w:bodyDiv w:val="1"/>
      <w:marLeft w:val="0"/>
      <w:marRight w:val="0"/>
      <w:marTop w:val="0"/>
      <w:marBottom w:val="0"/>
      <w:divBdr>
        <w:top w:val="none" w:sz="0" w:space="0" w:color="auto"/>
        <w:left w:val="none" w:sz="0" w:space="0" w:color="auto"/>
        <w:bottom w:val="none" w:sz="0" w:space="0" w:color="auto"/>
        <w:right w:val="none" w:sz="0" w:space="0" w:color="auto"/>
      </w:divBdr>
    </w:div>
    <w:div w:id="2049643964">
      <w:bodyDiv w:val="1"/>
      <w:marLeft w:val="0"/>
      <w:marRight w:val="0"/>
      <w:marTop w:val="0"/>
      <w:marBottom w:val="0"/>
      <w:divBdr>
        <w:top w:val="none" w:sz="0" w:space="0" w:color="auto"/>
        <w:left w:val="none" w:sz="0" w:space="0" w:color="auto"/>
        <w:bottom w:val="none" w:sz="0" w:space="0" w:color="auto"/>
        <w:right w:val="none" w:sz="0" w:space="0" w:color="auto"/>
      </w:divBdr>
    </w:div>
    <w:div w:id="2080667076">
      <w:bodyDiv w:val="1"/>
      <w:marLeft w:val="0"/>
      <w:marRight w:val="0"/>
      <w:marTop w:val="0"/>
      <w:marBottom w:val="0"/>
      <w:divBdr>
        <w:top w:val="none" w:sz="0" w:space="0" w:color="auto"/>
        <w:left w:val="none" w:sz="0" w:space="0" w:color="auto"/>
        <w:bottom w:val="none" w:sz="0" w:space="0" w:color="auto"/>
        <w:right w:val="none" w:sz="0" w:space="0" w:color="auto"/>
      </w:divBdr>
    </w:div>
    <w:div w:id="210417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cid:285c97a9-bbf2-4d79-9da2-ae9392675696"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B96E7-E5EB-4B28-9379-0AE27A131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122</Pages>
  <Words>28509</Words>
  <Characters>186740</Characters>
  <Application>Microsoft Office Word</Application>
  <DocSecurity>0</DocSecurity>
  <Lines>2746</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Olatunbosun Abolarin</cp:lastModifiedBy>
  <cp:revision>2</cp:revision>
  <dcterms:created xsi:type="dcterms:W3CDTF">2026-05-09T17:05:00Z</dcterms:created>
  <dcterms:modified xsi:type="dcterms:W3CDTF">2026-05-09T17:05:00Z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1efc5b37-6627-4d54-9a3d-a813a745c9b7</vt:lpwstr>
  </property>
</Properties>
</file>