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34ED" w:rsidRDefault="009B34ED" w:rsidP="009B34ED">
      <w:pPr>
        <w:jc w:val="center"/>
        <w:rPr>
          <w:b/>
          <w:bCs/>
          <w:color w:val="FF0000"/>
        </w:rPr>
      </w:pPr>
      <w:r>
        <w:fldChar w:fldCharType="begin"/>
      </w:r>
      <w:r>
        <w:instrText xml:space="preserve"> INCLUDEPICTURE "https://ci3.googleusercontent.com/meips/ADKq_NYMqE1aWRpGiM72WcFd2p85SPHmntCUJJBOITJQi_7HZyptEnS1lU-X9UduWQkTUQBwWPJb4HkN70RWV10=s0-d-e1-ft#https://media.aiu.edu/aiulogos/logo.gif" \* MERGEFORMATINET </w:instrText>
      </w:r>
      <w:r>
        <w:fldChar w:fldCharType="separate"/>
      </w:r>
      <w:r>
        <w:rPr>
          <w:noProof/>
        </w:rPr>
        <w:drawing>
          <wp:inline distT="0" distB="0" distL="0" distR="0" wp14:anchorId="6744D0EE" wp14:editId="56103485">
            <wp:extent cx="1994482" cy="848298"/>
            <wp:effectExtent l="0" t="0" r="0" b="0"/>
            <wp:docPr id="2111626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5227" cy="912413"/>
                    </a:xfrm>
                    <a:prstGeom prst="rect">
                      <a:avLst/>
                    </a:prstGeom>
                    <a:noFill/>
                    <a:ln>
                      <a:noFill/>
                    </a:ln>
                  </pic:spPr>
                </pic:pic>
              </a:graphicData>
            </a:graphic>
          </wp:inline>
        </w:drawing>
      </w:r>
      <w:r>
        <w:fldChar w:fldCharType="end"/>
      </w:r>
    </w:p>
    <w:p w:rsidR="009B34ED" w:rsidRDefault="009B34ED" w:rsidP="00F14B69">
      <w:pPr>
        <w:rPr>
          <w:b/>
          <w:bCs/>
          <w:color w:val="FF0000"/>
        </w:rPr>
      </w:pPr>
    </w:p>
    <w:p w:rsidR="009B34ED" w:rsidRDefault="009B34ED" w:rsidP="00F14B69">
      <w:pPr>
        <w:rPr>
          <w:b/>
          <w:bCs/>
          <w:color w:val="FF0000"/>
        </w:rPr>
      </w:pPr>
    </w:p>
    <w:p w:rsidR="009B34ED" w:rsidRDefault="009B34ED" w:rsidP="00F14B69">
      <w:pPr>
        <w:rPr>
          <w:b/>
          <w:bCs/>
          <w:color w:val="FF0000"/>
        </w:rPr>
      </w:pPr>
    </w:p>
    <w:p w:rsidR="009B34ED" w:rsidRDefault="009B34ED" w:rsidP="00F14B69">
      <w:pPr>
        <w:rPr>
          <w:b/>
          <w:bCs/>
          <w:color w:val="FF0000"/>
        </w:rPr>
      </w:pPr>
    </w:p>
    <w:p w:rsidR="009B34ED" w:rsidRDefault="009B34ED" w:rsidP="00F14B69">
      <w:pPr>
        <w:rPr>
          <w:b/>
          <w:bCs/>
          <w:color w:val="FF0000"/>
        </w:rPr>
      </w:pPr>
    </w:p>
    <w:p w:rsidR="009B34ED" w:rsidRDefault="009B34ED" w:rsidP="00F14B69">
      <w:pPr>
        <w:rPr>
          <w:b/>
          <w:bCs/>
          <w:color w:val="FF0000"/>
        </w:rPr>
      </w:pPr>
    </w:p>
    <w:p w:rsidR="009B34ED" w:rsidRPr="00750C3C" w:rsidRDefault="009B34ED" w:rsidP="009B34ED">
      <w:pPr>
        <w:jc w:val="center"/>
        <w:rPr>
          <w:rFonts w:ascii="Arial" w:hAnsi="Arial" w:cs="Arial"/>
          <w:b/>
          <w:bCs/>
          <w:lang w:val="es-ES_tradnl"/>
        </w:rPr>
      </w:pPr>
      <w:r w:rsidRPr="00750C3C">
        <w:rPr>
          <w:rFonts w:ascii="Arial" w:hAnsi="Arial" w:cs="Arial"/>
          <w:b/>
          <w:bCs/>
          <w:lang w:val="es-ES_tradnl"/>
        </w:rPr>
        <w:t>Fase II</w:t>
      </w:r>
    </w:p>
    <w:p w:rsidR="009B34ED" w:rsidRPr="00F92464" w:rsidRDefault="009B34ED" w:rsidP="009B34ED">
      <w:pPr>
        <w:spacing w:line="480" w:lineRule="auto"/>
        <w:jc w:val="center"/>
        <w:rPr>
          <w:rFonts w:ascii="Arial" w:eastAsia="Times New Roman" w:hAnsi="Arial" w:cs="Arial"/>
          <w:b/>
          <w:bCs/>
          <w:color w:val="000000" w:themeColor="text1"/>
          <w:kern w:val="0"/>
          <w:sz w:val="32"/>
          <w:szCs w:val="32"/>
          <w:lang w:eastAsia="es-MX"/>
          <w14:ligatures w14:val="none"/>
        </w:rPr>
      </w:pPr>
      <w:r w:rsidRPr="00F92464">
        <w:rPr>
          <w:rFonts w:ascii="Arial" w:eastAsia="Times New Roman" w:hAnsi="Arial" w:cs="Arial"/>
          <w:b/>
          <w:bCs/>
          <w:color w:val="000000" w:themeColor="text1"/>
          <w:kern w:val="0"/>
          <w:sz w:val="32"/>
          <w:szCs w:val="32"/>
          <w:lang w:eastAsia="es-MX"/>
          <w14:ligatures w14:val="none"/>
        </w:rPr>
        <w:t>Análisis crítico de la educación</w:t>
      </w:r>
    </w:p>
    <w:p w:rsidR="009B34ED" w:rsidRDefault="009B34ED" w:rsidP="009B34ED">
      <w:pPr>
        <w:spacing w:line="480" w:lineRule="auto"/>
        <w:rPr>
          <w:b/>
          <w:bCs/>
          <w:lang w:val="es-ES_tradnl"/>
        </w:rPr>
      </w:pPr>
    </w:p>
    <w:p w:rsidR="009B34ED" w:rsidRPr="00F92464" w:rsidRDefault="009B34ED" w:rsidP="009B34ED">
      <w:pPr>
        <w:spacing w:line="480" w:lineRule="auto"/>
        <w:jc w:val="center"/>
        <w:rPr>
          <w:rFonts w:ascii="Arial" w:hAnsi="Arial" w:cs="Arial"/>
          <w:b/>
          <w:bCs/>
          <w:sz w:val="28"/>
          <w:szCs w:val="28"/>
          <w:lang w:val="es-ES_tradnl"/>
        </w:rPr>
      </w:pPr>
      <w:r w:rsidRPr="00F92464">
        <w:rPr>
          <w:rFonts w:ascii="Arial" w:hAnsi="Arial" w:cs="Arial"/>
          <w:b/>
          <w:bCs/>
          <w:sz w:val="28"/>
          <w:szCs w:val="28"/>
          <w:lang w:val="es-ES_tradnl"/>
        </w:rPr>
        <w:t>Ensayo</w:t>
      </w:r>
      <w:r w:rsidRPr="00F92464">
        <w:rPr>
          <w:rFonts w:ascii="Arial" w:hAnsi="Arial" w:cs="Arial"/>
          <w:b/>
          <w:bCs/>
          <w:sz w:val="28"/>
          <w:szCs w:val="28"/>
          <w:lang w:val="es-ES_tradnl"/>
        </w:rPr>
        <w:t xml:space="preserve"> 2</w:t>
      </w:r>
    </w:p>
    <w:p w:rsidR="009B34ED" w:rsidRDefault="009B34ED" w:rsidP="009B34ED">
      <w:pPr>
        <w:spacing w:line="480" w:lineRule="auto"/>
        <w:jc w:val="center"/>
        <w:rPr>
          <w:b/>
          <w:bCs/>
          <w:sz w:val="28"/>
          <w:szCs w:val="28"/>
          <w:lang w:val="es-ES_tradnl"/>
        </w:rPr>
      </w:pPr>
    </w:p>
    <w:p w:rsidR="009B34ED" w:rsidRDefault="009B34ED" w:rsidP="009B34ED">
      <w:pPr>
        <w:spacing w:line="480" w:lineRule="auto"/>
        <w:jc w:val="center"/>
        <w:rPr>
          <w:b/>
          <w:bCs/>
          <w:sz w:val="28"/>
          <w:szCs w:val="28"/>
          <w:lang w:val="es-ES_tradnl"/>
        </w:rPr>
      </w:pPr>
    </w:p>
    <w:p w:rsidR="009B34ED" w:rsidRDefault="009B34ED" w:rsidP="009B34ED">
      <w:pPr>
        <w:spacing w:line="480" w:lineRule="auto"/>
        <w:jc w:val="center"/>
        <w:rPr>
          <w:b/>
          <w:bCs/>
          <w:sz w:val="28"/>
          <w:szCs w:val="28"/>
          <w:lang w:val="es-ES_tradnl"/>
        </w:rPr>
      </w:pPr>
    </w:p>
    <w:p w:rsidR="009B34ED" w:rsidRDefault="009B34ED" w:rsidP="009B34ED">
      <w:pPr>
        <w:spacing w:line="480" w:lineRule="auto"/>
        <w:jc w:val="center"/>
        <w:rPr>
          <w:b/>
          <w:bCs/>
          <w:sz w:val="28"/>
          <w:szCs w:val="28"/>
          <w:lang w:val="es-ES_tradnl"/>
        </w:rPr>
      </w:pPr>
    </w:p>
    <w:p w:rsidR="009B34ED" w:rsidRDefault="009B34ED" w:rsidP="009B34ED">
      <w:pPr>
        <w:spacing w:line="480" w:lineRule="auto"/>
        <w:jc w:val="center"/>
        <w:rPr>
          <w:b/>
          <w:bCs/>
          <w:sz w:val="28"/>
          <w:szCs w:val="28"/>
          <w:lang w:val="es-ES_tradnl"/>
        </w:rPr>
      </w:pPr>
    </w:p>
    <w:p w:rsidR="009B34ED" w:rsidRDefault="009B34ED" w:rsidP="009B34ED">
      <w:pPr>
        <w:spacing w:line="480" w:lineRule="auto"/>
        <w:jc w:val="center"/>
        <w:rPr>
          <w:b/>
          <w:bCs/>
          <w:sz w:val="28"/>
          <w:szCs w:val="28"/>
          <w:lang w:val="es-ES_tradnl"/>
        </w:rPr>
      </w:pPr>
    </w:p>
    <w:p w:rsidR="009B34ED" w:rsidRPr="00F92464" w:rsidRDefault="009B34ED" w:rsidP="009B34ED">
      <w:pPr>
        <w:spacing w:line="480" w:lineRule="auto"/>
        <w:jc w:val="center"/>
        <w:rPr>
          <w:rFonts w:ascii="Arial" w:hAnsi="Arial" w:cs="Arial"/>
          <w:sz w:val="28"/>
          <w:szCs w:val="28"/>
          <w:lang w:val="es-ES_tradnl"/>
        </w:rPr>
      </w:pPr>
    </w:p>
    <w:p w:rsidR="009B34ED" w:rsidRPr="00F92464" w:rsidRDefault="009B34ED" w:rsidP="009B34ED">
      <w:pPr>
        <w:rPr>
          <w:rFonts w:ascii="Arial" w:hAnsi="Arial" w:cs="Arial"/>
          <w:lang w:val="es-ES_tradnl"/>
        </w:rPr>
      </w:pPr>
      <w:r w:rsidRPr="00F92464">
        <w:rPr>
          <w:rFonts w:ascii="Arial" w:hAnsi="Arial" w:cs="Arial"/>
          <w:lang w:val="es-ES_tradnl"/>
        </w:rPr>
        <w:t>Trabajo presentado por:</w:t>
      </w:r>
    </w:p>
    <w:p w:rsidR="009B34ED" w:rsidRPr="00F92464" w:rsidRDefault="009B34ED" w:rsidP="009B34ED">
      <w:pPr>
        <w:rPr>
          <w:rFonts w:ascii="Arial" w:hAnsi="Arial" w:cs="Arial"/>
          <w:lang w:val="es-ES_tradnl"/>
        </w:rPr>
      </w:pPr>
      <w:r w:rsidRPr="00F92464">
        <w:rPr>
          <w:rFonts w:ascii="Arial" w:hAnsi="Arial" w:cs="Arial"/>
          <w:lang w:val="es-ES_tradnl"/>
        </w:rPr>
        <w:t>Rodrigo Quezada Guzmán</w:t>
      </w:r>
    </w:p>
    <w:p w:rsidR="009B34ED" w:rsidRPr="00F92464" w:rsidRDefault="009B34ED" w:rsidP="009B34ED">
      <w:pPr>
        <w:rPr>
          <w:rFonts w:ascii="Arial" w:hAnsi="Arial" w:cs="Arial"/>
          <w:lang w:val="es-ES_tradnl"/>
        </w:rPr>
      </w:pPr>
      <w:r w:rsidRPr="00F92464">
        <w:rPr>
          <w:rFonts w:ascii="Arial" w:hAnsi="Arial" w:cs="Arial"/>
          <w:lang w:val="es-ES_tradnl"/>
        </w:rPr>
        <w:t>Programa</w:t>
      </w:r>
      <w:r w:rsidR="00F92464">
        <w:rPr>
          <w:rFonts w:ascii="Arial" w:hAnsi="Arial" w:cs="Arial"/>
          <w:lang w:val="es-ES_tradnl"/>
        </w:rPr>
        <w:t>:</w:t>
      </w:r>
      <w:r w:rsidRPr="00F92464">
        <w:rPr>
          <w:rFonts w:ascii="Arial" w:hAnsi="Arial" w:cs="Arial"/>
          <w:lang w:val="es-ES_tradnl"/>
        </w:rPr>
        <w:t xml:space="preserve"> Doctorado</w:t>
      </w:r>
    </w:p>
    <w:p w:rsidR="009B34ED" w:rsidRPr="00F92464" w:rsidRDefault="009B34ED" w:rsidP="009B34ED">
      <w:pPr>
        <w:rPr>
          <w:rFonts w:ascii="Arial" w:hAnsi="Arial" w:cs="Arial"/>
          <w:lang w:val="es-ES_tradnl"/>
        </w:rPr>
      </w:pPr>
      <w:r w:rsidRPr="00F92464">
        <w:rPr>
          <w:rFonts w:ascii="Arial" w:hAnsi="Arial" w:cs="Arial"/>
          <w:lang w:val="es-ES_tradnl"/>
        </w:rPr>
        <w:t>Especialidad</w:t>
      </w:r>
      <w:r w:rsidR="00F92464">
        <w:rPr>
          <w:rFonts w:ascii="Arial" w:hAnsi="Arial" w:cs="Arial"/>
          <w:lang w:val="es-ES_tradnl"/>
        </w:rPr>
        <w:t>:</w:t>
      </w:r>
      <w:r w:rsidRPr="00F92464">
        <w:rPr>
          <w:rFonts w:ascii="Arial" w:hAnsi="Arial" w:cs="Arial"/>
          <w:lang w:val="es-ES_tradnl"/>
        </w:rPr>
        <w:t xml:space="preserve"> Psicología</w:t>
      </w:r>
    </w:p>
    <w:p w:rsidR="009B34ED" w:rsidRPr="00F92464" w:rsidRDefault="009B34ED" w:rsidP="009B34ED">
      <w:pPr>
        <w:rPr>
          <w:rFonts w:ascii="Arial" w:hAnsi="Arial" w:cs="Arial"/>
          <w:lang w:val="es-ES_tradnl"/>
        </w:rPr>
      </w:pPr>
      <w:r w:rsidRPr="00F92464">
        <w:rPr>
          <w:rFonts w:ascii="Arial" w:hAnsi="Arial" w:cs="Arial"/>
          <w:lang w:val="es-ES_tradnl"/>
        </w:rPr>
        <w:t>ID</w:t>
      </w:r>
      <w:r w:rsidR="00F92464">
        <w:rPr>
          <w:rFonts w:ascii="Arial" w:hAnsi="Arial" w:cs="Arial"/>
          <w:lang w:val="es-ES_tradnl"/>
        </w:rPr>
        <w:t>:</w:t>
      </w:r>
      <w:r w:rsidRPr="00F92464">
        <w:rPr>
          <w:rFonts w:ascii="Arial" w:hAnsi="Arial" w:cs="Arial"/>
          <w:lang w:val="es-ES_tradnl"/>
        </w:rPr>
        <w:t xml:space="preserve"> 9UD83461</w:t>
      </w:r>
    </w:p>
    <w:p w:rsidR="009B34ED" w:rsidRPr="00F92464" w:rsidRDefault="009B34ED" w:rsidP="009B34ED">
      <w:pPr>
        <w:rPr>
          <w:rFonts w:ascii="Arial" w:hAnsi="Arial" w:cs="Arial"/>
          <w:lang w:val="es-ES_tradnl"/>
        </w:rPr>
      </w:pPr>
      <w:r w:rsidRPr="00F92464">
        <w:rPr>
          <w:rFonts w:ascii="Arial" w:hAnsi="Arial" w:cs="Arial"/>
          <w:lang w:val="es-ES_tradnl"/>
        </w:rPr>
        <w:t>Las Mariposas k.11</w:t>
      </w:r>
    </w:p>
    <w:p w:rsidR="009B34ED" w:rsidRPr="00F92464" w:rsidRDefault="009B34ED" w:rsidP="009B34ED">
      <w:pPr>
        <w:rPr>
          <w:rFonts w:ascii="Arial" w:hAnsi="Arial" w:cs="Arial"/>
          <w:lang w:val="es-ES_tradnl"/>
        </w:rPr>
      </w:pPr>
      <w:r w:rsidRPr="00F92464">
        <w:rPr>
          <w:rFonts w:ascii="Arial" w:hAnsi="Arial" w:cs="Arial"/>
          <w:lang w:val="es-ES_tradnl"/>
        </w:rPr>
        <w:t>Sector Los Montes, Chillán. Chile.</w:t>
      </w:r>
    </w:p>
    <w:p w:rsidR="009B34ED" w:rsidRDefault="009B34ED" w:rsidP="00256D3B">
      <w:pPr>
        <w:pStyle w:val="NormalWeb"/>
        <w:rPr>
          <w:rFonts w:ascii="Calibri,Bold" w:hAnsi="Calibri,Bold"/>
          <w:b/>
          <w:bCs/>
          <w:color w:val="FF0000"/>
        </w:rPr>
      </w:pPr>
    </w:p>
    <w:p w:rsidR="000A0F54" w:rsidRPr="00F92464" w:rsidRDefault="000A0F54" w:rsidP="009B34ED">
      <w:pPr>
        <w:pStyle w:val="NormalWeb"/>
        <w:spacing w:line="480" w:lineRule="auto"/>
        <w:rPr>
          <w:rFonts w:ascii="Arial" w:hAnsi="Arial" w:cs="Arial"/>
          <w:b/>
          <w:bCs/>
          <w:color w:val="000000" w:themeColor="text1"/>
        </w:rPr>
      </w:pPr>
      <w:r w:rsidRPr="00F92464">
        <w:rPr>
          <w:rFonts w:ascii="Arial" w:hAnsi="Arial" w:cs="Arial"/>
          <w:b/>
          <w:bCs/>
          <w:color w:val="000000" w:themeColor="text1"/>
        </w:rPr>
        <w:lastRenderedPageBreak/>
        <w:t>Introducción.</w:t>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t xml:space="preserve">Las crisis son inherentes a la sociedad humana, ya </w:t>
      </w:r>
      <w:r w:rsidR="00A91B08" w:rsidRPr="00F92464">
        <w:rPr>
          <w:rFonts w:ascii="Arial" w:hAnsi="Arial" w:cs="Arial"/>
          <w:color w:val="000000" w:themeColor="text1"/>
        </w:rPr>
        <w:t>sea</w:t>
      </w:r>
      <w:r w:rsidRPr="00F92464">
        <w:rPr>
          <w:rFonts w:ascii="Arial" w:hAnsi="Arial" w:cs="Arial"/>
          <w:color w:val="000000" w:themeColor="text1"/>
        </w:rPr>
        <w:t xml:space="preserve"> para bien o para mal, forman parte del desarrollo</w:t>
      </w:r>
      <w:r w:rsidR="00812464" w:rsidRPr="00F92464">
        <w:rPr>
          <w:rFonts w:ascii="Arial" w:hAnsi="Arial" w:cs="Arial"/>
          <w:color w:val="000000" w:themeColor="text1"/>
        </w:rPr>
        <w:t xml:space="preserve"> y madurez</w:t>
      </w:r>
      <w:r w:rsidRPr="00F92464">
        <w:rPr>
          <w:rFonts w:ascii="Arial" w:hAnsi="Arial" w:cs="Arial"/>
          <w:color w:val="000000" w:themeColor="text1"/>
        </w:rPr>
        <w:t xml:space="preserve"> social de una comunidad</w:t>
      </w:r>
      <w:r w:rsidR="000A0F54" w:rsidRPr="00F92464">
        <w:rPr>
          <w:rFonts w:ascii="Arial" w:hAnsi="Arial" w:cs="Arial"/>
          <w:color w:val="000000" w:themeColor="text1"/>
        </w:rPr>
        <w:t>.</w:t>
      </w:r>
      <w:r w:rsidR="00214C75">
        <w:rPr>
          <w:rStyle w:val="Refdenotaalfinal"/>
          <w:rFonts w:ascii="Arial" w:hAnsi="Arial" w:cs="Arial"/>
          <w:color w:val="000000" w:themeColor="text1"/>
        </w:rPr>
        <w:endnoteReference w:id="1"/>
      </w:r>
      <w:r w:rsidR="000A0F54" w:rsidRPr="00F92464">
        <w:rPr>
          <w:rFonts w:ascii="Arial" w:hAnsi="Arial" w:cs="Arial"/>
          <w:color w:val="000000" w:themeColor="text1"/>
        </w:rPr>
        <w:t xml:space="preserve"> </w:t>
      </w:r>
      <w:r w:rsidRPr="00F92464">
        <w:rPr>
          <w:rFonts w:ascii="Arial" w:hAnsi="Arial" w:cs="Arial"/>
          <w:color w:val="000000" w:themeColor="text1"/>
        </w:rPr>
        <w:t xml:space="preserve">La crisis en el ámbito social se refiere a un periodo de </w:t>
      </w:r>
      <w:r w:rsidR="000A0F54" w:rsidRPr="00F92464">
        <w:rPr>
          <w:rFonts w:ascii="Arial" w:hAnsi="Arial" w:cs="Arial"/>
          <w:color w:val="000000" w:themeColor="text1"/>
        </w:rPr>
        <w:t>complejos</w:t>
      </w:r>
      <w:r w:rsidRPr="00F92464">
        <w:rPr>
          <w:rFonts w:ascii="Arial" w:hAnsi="Arial" w:cs="Arial"/>
          <w:color w:val="000000" w:themeColor="text1"/>
        </w:rPr>
        <w:t xml:space="preserve"> desafíos, disfunciones o tensiones que afectan negativamente a la </w:t>
      </w:r>
      <w:r w:rsidR="00F74E74" w:rsidRPr="00F92464">
        <w:rPr>
          <w:rFonts w:ascii="Arial" w:hAnsi="Arial" w:cs="Arial"/>
          <w:color w:val="000000" w:themeColor="text1"/>
        </w:rPr>
        <w:t>unidad</w:t>
      </w:r>
      <w:r w:rsidRPr="00F92464">
        <w:rPr>
          <w:rFonts w:ascii="Arial" w:hAnsi="Arial" w:cs="Arial"/>
          <w:color w:val="000000" w:themeColor="text1"/>
        </w:rPr>
        <w:t xml:space="preserve"> y el funcionamiento de una sociedad. Esta situación implica una serie de problemas y cambios que pueden abarcar diferentes dimensiones</w:t>
      </w:r>
      <w:r w:rsidR="000A0F54" w:rsidRPr="00F92464">
        <w:rPr>
          <w:rFonts w:ascii="Arial" w:hAnsi="Arial" w:cs="Arial"/>
          <w:color w:val="000000" w:themeColor="text1"/>
        </w:rPr>
        <w:t xml:space="preserve">, </w:t>
      </w:r>
      <w:r w:rsidR="00F74E74" w:rsidRPr="00F92464">
        <w:rPr>
          <w:rFonts w:ascii="Arial" w:hAnsi="Arial" w:cs="Arial"/>
          <w:color w:val="000000" w:themeColor="text1"/>
        </w:rPr>
        <w:t xml:space="preserve">por ejemplo aspectos </w:t>
      </w:r>
      <w:r w:rsidRPr="00F92464">
        <w:rPr>
          <w:rFonts w:ascii="Arial" w:hAnsi="Arial" w:cs="Arial"/>
          <w:color w:val="000000" w:themeColor="text1"/>
        </w:rPr>
        <w:t xml:space="preserve">sociales, </w:t>
      </w:r>
      <w:r w:rsidR="00F74E74" w:rsidRPr="00F92464">
        <w:rPr>
          <w:rFonts w:ascii="Arial" w:hAnsi="Arial" w:cs="Arial"/>
          <w:color w:val="000000" w:themeColor="text1"/>
        </w:rPr>
        <w:t xml:space="preserve">desarrollo </w:t>
      </w:r>
      <w:r w:rsidRPr="00F92464">
        <w:rPr>
          <w:rFonts w:ascii="Arial" w:hAnsi="Arial" w:cs="Arial"/>
          <w:color w:val="000000" w:themeColor="text1"/>
        </w:rPr>
        <w:t>económic</w:t>
      </w:r>
      <w:r w:rsidR="00F74E74" w:rsidRPr="00F92464">
        <w:rPr>
          <w:rFonts w:ascii="Arial" w:hAnsi="Arial" w:cs="Arial"/>
          <w:color w:val="000000" w:themeColor="text1"/>
        </w:rPr>
        <w:t>o</w:t>
      </w:r>
      <w:r w:rsidRPr="00F92464">
        <w:rPr>
          <w:rFonts w:ascii="Arial" w:hAnsi="Arial" w:cs="Arial"/>
          <w:color w:val="000000" w:themeColor="text1"/>
        </w:rPr>
        <w:t xml:space="preserve">, </w:t>
      </w:r>
      <w:r w:rsidR="00F74E74" w:rsidRPr="00F92464">
        <w:rPr>
          <w:rFonts w:ascii="Arial" w:hAnsi="Arial" w:cs="Arial"/>
          <w:color w:val="000000" w:themeColor="text1"/>
        </w:rPr>
        <w:t xml:space="preserve">y dimensiones </w:t>
      </w:r>
      <w:r w:rsidRPr="00F92464">
        <w:rPr>
          <w:rFonts w:ascii="Arial" w:hAnsi="Arial" w:cs="Arial"/>
          <w:color w:val="000000" w:themeColor="text1"/>
        </w:rPr>
        <w:t xml:space="preserve">políticas y culturales. Las crisis sociales suelen manifestarse en la </w:t>
      </w:r>
      <w:r w:rsidR="000A0F54" w:rsidRPr="00F92464">
        <w:rPr>
          <w:rFonts w:ascii="Arial" w:hAnsi="Arial" w:cs="Arial"/>
          <w:color w:val="000000" w:themeColor="text1"/>
        </w:rPr>
        <w:t>intensificación</w:t>
      </w:r>
      <w:r w:rsidRPr="00F92464">
        <w:rPr>
          <w:rFonts w:ascii="Arial" w:hAnsi="Arial" w:cs="Arial"/>
          <w:color w:val="000000" w:themeColor="text1"/>
        </w:rPr>
        <w:t xml:space="preserve"> de desigualdades, conflictos, y la pérdida de confianza en las instituciones y normas sociales establecidas.</w:t>
      </w:r>
      <w:r w:rsidR="00214C75">
        <w:rPr>
          <w:rStyle w:val="Refdenotaalfinal"/>
          <w:rFonts w:ascii="Arial" w:hAnsi="Arial" w:cs="Arial"/>
          <w:color w:val="000000" w:themeColor="text1"/>
        </w:rPr>
        <w:endnoteReference w:id="2"/>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t>En el contexto social, una crisis puede estar relacionada con diversos factores, como eventos traumáticos, cambios económicos drásticos, desastres naturales, conflictos políticos, o transformaciones culturales abruptas</w:t>
      </w:r>
      <w:r w:rsidR="000A0F54" w:rsidRPr="00F92464">
        <w:rPr>
          <w:rFonts w:ascii="Arial" w:hAnsi="Arial" w:cs="Arial"/>
          <w:color w:val="000000" w:themeColor="text1"/>
        </w:rPr>
        <w:t xml:space="preserve"> y repentinas</w:t>
      </w:r>
      <w:r w:rsidRPr="00F92464">
        <w:rPr>
          <w:rFonts w:ascii="Arial" w:hAnsi="Arial" w:cs="Arial"/>
          <w:color w:val="000000" w:themeColor="text1"/>
        </w:rPr>
        <w:t xml:space="preserve">. Estos eventos pueden desencadenar tensiones y desequilibrios que afectan a diferentes estratos de la sociedad, </w:t>
      </w:r>
      <w:r w:rsidR="00F74E74" w:rsidRPr="00F92464">
        <w:rPr>
          <w:rFonts w:ascii="Arial" w:hAnsi="Arial" w:cs="Arial"/>
          <w:color w:val="000000" w:themeColor="text1"/>
        </w:rPr>
        <w:t xml:space="preserve">acrecentando las desigualdades </w:t>
      </w:r>
      <w:r w:rsidRPr="00F92464">
        <w:rPr>
          <w:rFonts w:ascii="Arial" w:hAnsi="Arial" w:cs="Arial"/>
          <w:color w:val="000000" w:themeColor="text1"/>
        </w:rPr>
        <w:t>existentes o generando nuevas formas de desigualdad.</w:t>
      </w:r>
      <w:r w:rsidR="00214C75">
        <w:rPr>
          <w:rStyle w:val="Refdenotaalfinal"/>
          <w:rFonts w:ascii="Arial" w:hAnsi="Arial" w:cs="Arial"/>
          <w:color w:val="000000" w:themeColor="text1"/>
        </w:rPr>
        <w:endnoteReference w:id="3"/>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t>Un ejemplo claro de crisis social puede ser una recesión económica que resulta en la pérdida masiva de empleos, la disminución de los estándares de vida y un aumento de la pobreza. Este fenómeno impacta no solo en el ámbito económico, sino que también puede generar tensiones sociales, aumentar la desconfianza en las instituciones gubernamentales y desencadenar conflictos entre diferentes grupos sociales.</w:t>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lastRenderedPageBreak/>
        <w:t xml:space="preserve">La crisis social también puede manifestarse en tensiones políticas, como protestas masivas, movimientos </w:t>
      </w:r>
      <w:r w:rsidR="00F74E74" w:rsidRPr="00F92464">
        <w:rPr>
          <w:rFonts w:ascii="Arial" w:hAnsi="Arial" w:cs="Arial"/>
          <w:color w:val="000000" w:themeColor="text1"/>
        </w:rPr>
        <w:t xml:space="preserve">sociales </w:t>
      </w:r>
      <w:proofErr w:type="spellStart"/>
      <w:r w:rsidR="00F74E74" w:rsidRPr="00F92464">
        <w:rPr>
          <w:rFonts w:ascii="Arial" w:hAnsi="Arial" w:cs="Arial"/>
          <w:color w:val="000000" w:themeColor="text1"/>
        </w:rPr>
        <w:t>reveldes</w:t>
      </w:r>
      <w:proofErr w:type="spellEnd"/>
      <w:r w:rsidRPr="00F92464">
        <w:rPr>
          <w:rFonts w:ascii="Arial" w:hAnsi="Arial" w:cs="Arial"/>
          <w:color w:val="000000" w:themeColor="text1"/>
        </w:rPr>
        <w:t xml:space="preserve"> o incluso conflictos armados, especialmente cuando los ciudadanos perciben una falta de representación, injusticias sistemáticas o violaciones de derechos fundamentales.</w:t>
      </w:r>
      <w:r w:rsidR="00214C75">
        <w:rPr>
          <w:rStyle w:val="Refdenotaalfinal"/>
          <w:rFonts w:ascii="Arial" w:hAnsi="Arial" w:cs="Arial"/>
          <w:color w:val="000000" w:themeColor="text1"/>
        </w:rPr>
        <w:endnoteReference w:id="4"/>
      </w:r>
    </w:p>
    <w:p w:rsidR="00256D3B" w:rsidRDefault="000A0F54" w:rsidP="009B34ED">
      <w:pPr>
        <w:pStyle w:val="NormalWeb"/>
        <w:spacing w:line="480" w:lineRule="auto"/>
        <w:rPr>
          <w:rFonts w:ascii="Arial" w:hAnsi="Arial" w:cs="Arial"/>
          <w:color w:val="000000" w:themeColor="text1"/>
        </w:rPr>
      </w:pPr>
      <w:r w:rsidRPr="00F92464">
        <w:rPr>
          <w:rFonts w:ascii="Arial" w:hAnsi="Arial" w:cs="Arial"/>
          <w:color w:val="000000" w:themeColor="text1"/>
        </w:rPr>
        <w:t>La</w:t>
      </w:r>
      <w:r w:rsidR="00256D3B" w:rsidRPr="00F92464">
        <w:rPr>
          <w:rFonts w:ascii="Arial" w:hAnsi="Arial" w:cs="Arial"/>
          <w:color w:val="000000" w:themeColor="text1"/>
        </w:rPr>
        <w:t>s crisis sociales a menudo revelan y amplifican brechas preexistentes en la sociedad, como desigualdades raciales, de género o económicas. La capacidad de una sociedad para afrontar y superar estas crisis depende de su capacidad para adaptarse, aprender de la experiencia y abordar de manera efectiva las causas subyacentes.</w:t>
      </w:r>
      <w:r w:rsidRPr="00F92464">
        <w:rPr>
          <w:rFonts w:ascii="Arial" w:hAnsi="Arial" w:cs="Arial"/>
          <w:color w:val="000000" w:themeColor="text1"/>
        </w:rPr>
        <w:t xml:space="preserve"> Sin embargo, de todas las crisis y sus formas, la debilidad en los ámbitos morales y valóricos son una de las crisis que más afectan el desarrollo social.</w:t>
      </w:r>
      <w:r w:rsidR="00214C75">
        <w:rPr>
          <w:rStyle w:val="Refdenotaalfinal"/>
          <w:rFonts w:ascii="Arial" w:hAnsi="Arial" w:cs="Arial"/>
          <w:color w:val="000000" w:themeColor="text1"/>
        </w:rPr>
        <w:endnoteReference w:id="5"/>
      </w:r>
    </w:p>
    <w:p w:rsidR="00F92464" w:rsidRPr="00F92464" w:rsidRDefault="00F92464" w:rsidP="009B34ED">
      <w:pPr>
        <w:pStyle w:val="NormalWeb"/>
        <w:spacing w:line="480" w:lineRule="auto"/>
        <w:rPr>
          <w:rFonts w:ascii="Arial" w:hAnsi="Arial" w:cs="Arial"/>
          <w:b/>
          <w:bCs/>
          <w:color w:val="000000" w:themeColor="text1"/>
        </w:rPr>
      </w:pPr>
      <w:r w:rsidRPr="00F92464">
        <w:rPr>
          <w:rFonts w:ascii="Arial" w:hAnsi="Arial" w:cs="Arial"/>
          <w:b/>
          <w:bCs/>
          <w:color w:val="000000" w:themeColor="text1"/>
        </w:rPr>
        <w:t>Desarrollo.</w:t>
      </w:r>
    </w:p>
    <w:p w:rsidR="00F74E74" w:rsidRPr="00F74E74" w:rsidRDefault="00F74E74" w:rsidP="009B34ED">
      <w:pPr>
        <w:pStyle w:val="NormalWeb"/>
        <w:spacing w:line="480" w:lineRule="auto"/>
        <w:rPr>
          <w:rFonts w:ascii="Arial" w:hAnsi="Arial" w:cs="Arial"/>
          <w:color w:val="000000" w:themeColor="text1"/>
        </w:rPr>
      </w:pPr>
      <w:r w:rsidRPr="00F74E74">
        <w:rPr>
          <w:rFonts w:ascii="Arial" w:hAnsi="Arial" w:cs="Arial"/>
          <w:color w:val="000000" w:themeColor="text1"/>
        </w:rPr>
        <w:t>En el contexto de una sociedad globalizada, compleja y en constante cambio, la crisis de los valores se ha convertido en un fenómeno cada vez más preocupante. Esta crisis se caracteriza por la pérdida de vigencia de los valores tradicionales, como la honestidad, el respeto o la solidaridad, y el auge de valores materialistas y hedonistas.</w:t>
      </w:r>
      <w:r w:rsidR="003D09A2">
        <w:rPr>
          <w:rStyle w:val="Refdenotaalfinal"/>
          <w:rFonts w:ascii="Arial" w:hAnsi="Arial" w:cs="Arial"/>
          <w:color w:val="000000" w:themeColor="text1"/>
        </w:rPr>
        <w:endnoteReference w:id="6"/>
      </w:r>
    </w:p>
    <w:p w:rsidR="00F74E74" w:rsidRPr="00F74E74" w:rsidRDefault="00F74E74" w:rsidP="009B34ED">
      <w:pPr>
        <w:pStyle w:val="NormalWeb"/>
        <w:spacing w:line="480" w:lineRule="auto"/>
        <w:rPr>
          <w:rFonts w:ascii="Arial" w:hAnsi="Arial" w:cs="Arial"/>
          <w:color w:val="000000" w:themeColor="text1"/>
        </w:rPr>
      </w:pPr>
      <w:r w:rsidRPr="00F74E74">
        <w:rPr>
          <w:rFonts w:ascii="Arial" w:hAnsi="Arial" w:cs="Arial"/>
          <w:color w:val="000000" w:themeColor="text1"/>
        </w:rPr>
        <w:t>La crisis de los valores tiene un impacto negativo en la sociedad, afectando a diversos aspectos de la vida social, como la familia, la educación, la política, la economía y el medio ambiente.</w:t>
      </w:r>
    </w:p>
    <w:p w:rsidR="0024485E" w:rsidRPr="00F92464" w:rsidRDefault="00F74E74" w:rsidP="009B34ED">
      <w:pPr>
        <w:pStyle w:val="NormalWeb"/>
        <w:spacing w:line="480" w:lineRule="auto"/>
        <w:rPr>
          <w:rFonts w:ascii="Arial" w:hAnsi="Arial" w:cs="Arial"/>
          <w:color w:val="000000" w:themeColor="text1"/>
        </w:rPr>
      </w:pPr>
      <w:r w:rsidRPr="00F74E74">
        <w:rPr>
          <w:rFonts w:ascii="Arial" w:hAnsi="Arial" w:cs="Arial"/>
          <w:color w:val="000000" w:themeColor="text1"/>
        </w:rPr>
        <w:lastRenderedPageBreak/>
        <w:t>En el ámbito familiar, la crisis de los valores puede provocar un aumento de la violencia doméstica,</w:t>
      </w:r>
      <w:r w:rsidR="00F30879">
        <w:rPr>
          <w:rStyle w:val="Refdenotaalfinal"/>
          <w:rFonts w:ascii="Arial" w:hAnsi="Arial" w:cs="Arial"/>
          <w:color w:val="000000" w:themeColor="text1"/>
        </w:rPr>
        <w:endnoteReference w:id="7"/>
      </w:r>
      <w:r w:rsidRPr="00F74E74">
        <w:rPr>
          <w:rFonts w:ascii="Arial" w:hAnsi="Arial" w:cs="Arial"/>
          <w:color w:val="000000" w:themeColor="text1"/>
        </w:rPr>
        <w:t xml:space="preserve"> el divorcio y la delincuencia juvenil. En el ámbito educativo, la crisis de los valores puede dificultar la transmisión de valores a las nuevas generaciones</w:t>
      </w:r>
      <w:r w:rsidR="000E2E10">
        <w:rPr>
          <w:rFonts w:ascii="Arial" w:hAnsi="Arial" w:cs="Arial"/>
          <w:color w:val="000000" w:themeColor="text1"/>
        </w:rPr>
        <w:t>.</w:t>
      </w:r>
      <w:r w:rsidR="00F30879">
        <w:rPr>
          <w:rStyle w:val="Refdenotaalfinal"/>
          <w:rFonts w:ascii="Arial" w:hAnsi="Arial" w:cs="Arial"/>
          <w:color w:val="000000" w:themeColor="text1"/>
        </w:rPr>
        <w:endnoteReference w:id="8"/>
      </w:r>
      <w:r w:rsidRPr="00F74E74">
        <w:rPr>
          <w:rFonts w:ascii="Arial" w:hAnsi="Arial" w:cs="Arial"/>
          <w:color w:val="000000" w:themeColor="text1"/>
        </w:rPr>
        <w:t xml:space="preserve"> En el ámbito político, la crisis de los valores puede favorecer la corrupción, el populismo y el autoritarismo.</w:t>
      </w:r>
      <w:r w:rsidR="000E2E10">
        <w:rPr>
          <w:rStyle w:val="Refdenotaalfinal"/>
          <w:rFonts w:ascii="Arial" w:hAnsi="Arial" w:cs="Arial"/>
          <w:color w:val="000000" w:themeColor="text1"/>
        </w:rPr>
        <w:endnoteReference w:id="9"/>
      </w:r>
      <w:r w:rsidRPr="00F74E74">
        <w:rPr>
          <w:rFonts w:ascii="Arial" w:hAnsi="Arial" w:cs="Arial"/>
          <w:color w:val="000000" w:themeColor="text1"/>
        </w:rPr>
        <w:t xml:space="preserve"> En el ámbito económico, la crisis de los valores puede fomentar la especulación, la usura y la explotación laboral. En el ámbito medioambiental, la crisis de los valores puede provocar un aumento de la contaminación y la destrucción del medio ambiente.</w:t>
      </w:r>
    </w:p>
    <w:p w:rsidR="00F74E74" w:rsidRPr="00F74E74" w:rsidRDefault="00F74E74" w:rsidP="009B34ED">
      <w:pPr>
        <w:pStyle w:val="NormalWeb"/>
        <w:spacing w:line="480" w:lineRule="auto"/>
        <w:rPr>
          <w:rFonts w:ascii="Arial" w:hAnsi="Arial" w:cs="Arial"/>
          <w:color w:val="000000" w:themeColor="text1"/>
        </w:rPr>
      </w:pPr>
      <w:r w:rsidRPr="00F74E74">
        <w:rPr>
          <w:rFonts w:ascii="Arial" w:hAnsi="Arial" w:cs="Arial"/>
          <w:color w:val="000000" w:themeColor="text1"/>
        </w:rPr>
        <w:t>La crisis de los valores es un fenómeno complejo que puede tener diversas causas.</w:t>
      </w:r>
      <w:r w:rsidR="000E2E10">
        <w:rPr>
          <w:rStyle w:val="Refdenotaalfinal"/>
          <w:rFonts w:ascii="Arial" w:hAnsi="Arial" w:cs="Arial"/>
          <w:color w:val="000000" w:themeColor="text1"/>
        </w:rPr>
        <w:endnoteReference w:id="10"/>
      </w:r>
      <w:r w:rsidRPr="00F74E74">
        <w:rPr>
          <w:rFonts w:ascii="Arial" w:hAnsi="Arial" w:cs="Arial"/>
          <w:color w:val="000000" w:themeColor="text1"/>
        </w:rPr>
        <w:t xml:space="preserve"> Entre las principales causas de la crisis de los valores se encuentran:</w:t>
      </w:r>
    </w:p>
    <w:p w:rsidR="00F74E74" w:rsidRPr="00F74E74" w:rsidRDefault="00F74E74" w:rsidP="009B34ED">
      <w:pPr>
        <w:pStyle w:val="NormalWeb"/>
        <w:numPr>
          <w:ilvl w:val="0"/>
          <w:numId w:val="7"/>
        </w:numPr>
        <w:spacing w:line="480" w:lineRule="auto"/>
        <w:rPr>
          <w:rFonts w:ascii="Arial" w:hAnsi="Arial" w:cs="Arial"/>
          <w:color w:val="000000" w:themeColor="text1"/>
        </w:rPr>
      </w:pPr>
      <w:r w:rsidRPr="00F74E74">
        <w:rPr>
          <w:rFonts w:ascii="Arial" w:hAnsi="Arial" w:cs="Arial"/>
          <w:color w:val="000000" w:themeColor="text1"/>
        </w:rPr>
        <w:t>Cambios sociales: Los cambios sociales, como la globalización, la tecnología o la migración, pueden provocar una crisis de valores al cuestionar los valores tradicionales.</w:t>
      </w:r>
    </w:p>
    <w:p w:rsidR="00F74E74" w:rsidRPr="00F74E74" w:rsidRDefault="00F74E74" w:rsidP="009B34ED">
      <w:pPr>
        <w:pStyle w:val="NormalWeb"/>
        <w:numPr>
          <w:ilvl w:val="0"/>
          <w:numId w:val="7"/>
        </w:numPr>
        <w:spacing w:line="480" w:lineRule="auto"/>
        <w:rPr>
          <w:rFonts w:ascii="Arial" w:hAnsi="Arial" w:cs="Arial"/>
          <w:color w:val="000000" w:themeColor="text1"/>
        </w:rPr>
      </w:pPr>
      <w:r w:rsidRPr="00F74E74">
        <w:rPr>
          <w:rFonts w:ascii="Arial" w:hAnsi="Arial" w:cs="Arial"/>
          <w:color w:val="000000" w:themeColor="text1"/>
        </w:rPr>
        <w:t>Conflictos políticos: Los conflictos políticos, como las guerras o las dictaduras, pueden destruir los valores democráticos y fomentar la violencia y la intolerancia.</w:t>
      </w:r>
    </w:p>
    <w:p w:rsidR="00F74E74" w:rsidRPr="00F74E74" w:rsidRDefault="00F74E74" w:rsidP="009B34ED">
      <w:pPr>
        <w:pStyle w:val="NormalWeb"/>
        <w:numPr>
          <w:ilvl w:val="0"/>
          <w:numId w:val="7"/>
        </w:numPr>
        <w:spacing w:line="480" w:lineRule="auto"/>
        <w:rPr>
          <w:rFonts w:ascii="Arial" w:hAnsi="Arial" w:cs="Arial"/>
          <w:color w:val="000000" w:themeColor="text1"/>
        </w:rPr>
      </w:pPr>
      <w:r w:rsidRPr="00F74E74">
        <w:rPr>
          <w:rFonts w:ascii="Arial" w:hAnsi="Arial" w:cs="Arial"/>
          <w:color w:val="000000" w:themeColor="text1"/>
        </w:rPr>
        <w:t>Desigualdad social: La desigualdad social puede generar una crisis de valores al crear un sentimiento de injusticia y frustración.</w:t>
      </w:r>
    </w:p>
    <w:p w:rsidR="00F74E74" w:rsidRPr="00F74E74" w:rsidRDefault="00F74E74" w:rsidP="009B34ED">
      <w:pPr>
        <w:pStyle w:val="NormalWeb"/>
        <w:numPr>
          <w:ilvl w:val="0"/>
          <w:numId w:val="7"/>
        </w:numPr>
        <w:spacing w:line="480" w:lineRule="auto"/>
        <w:rPr>
          <w:rFonts w:ascii="Arial" w:hAnsi="Arial" w:cs="Arial"/>
          <w:color w:val="000000" w:themeColor="text1"/>
        </w:rPr>
      </w:pPr>
      <w:r w:rsidRPr="00F74E74">
        <w:rPr>
          <w:rFonts w:ascii="Arial" w:hAnsi="Arial" w:cs="Arial"/>
          <w:color w:val="000000" w:themeColor="text1"/>
        </w:rPr>
        <w:t>Influencia de los medios de comunicación: Los medios de comunicación, a menudo, transmiten valores materialistas y hedonistas que pueden erosionar los valores tradicionales.</w:t>
      </w:r>
    </w:p>
    <w:p w:rsidR="00F74E74" w:rsidRPr="00F74E74" w:rsidRDefault="00F74E74" w:rsidP="009B34ED">
      <w:pPr>
        <w:pStyle w:val="NormalWeb"/>
        <w:spacing w:line="480" w:lineRule="auto"/>
        <w:rPr>
          <w:rFonts w:ascii="Arial" w:hAnsi="Arial" w:cs="Arial"/>
          <w:color w:val="000000" w:themeColor="text1"/>
        </w:rPr>
      </w:pPr>
      <w:r w:rsidRPr="00F74E74">
        <w:rPr>
          <w:rFonts w:ascii="Arial" w:hAnsi="Arial" w:cs="Arial"/>
          <w:color w:val="000000" w:themeColor="text1"/>
        </w:rPr>
        <w:lastRenderedPageBreak/>
        <w:t>La crisis de los valores es un fenómeno que requiere una respuesta urgente. Es necesario reorientar los valores de la sociedad para que sean más acordes con los desafíos del siglo XXI.</w:t>
      </w:r>
      <w:r w:rsidR="000E2E10">
        <w:rPr>
          <w:rStyle w:val="Refdenotaalfinal"/>
          <w:rFonts w:ascii="Arial" w:hAnsi="Arial" w:cs="Arial"/>
          <w:color w:val="000000" w:themeColor="text1"/>
        </w:rPr>
        <w:endnoteReference w:id="11"/>
      </w:r>
      <w:r w:rsidR="0024485E" w:rsidRPr="00F92464">
        <w:rPr>
          <w:rFonts w:ascii="Arial" w:hAnsi="Arial" w:cs="Arial"/>
          <w:color w:val="000000" w:themeColor="text1"/>
        </w:rPr>
        <w:t xml:space="preserve"> </w:t>
      </w:r>
      <w:r w:rsidRPr="00F74E74">
        <w:rPr>
          <w:rFonts w:ascii="Arial" w:hAnsi="Arial" w:cs="Arial"/>
          <w:color w:val="000000" w:themeColor="text1"/>
        </w:rPr>
        <w:t xml:space="preserve">Esta reorientación de los valores debe basarse en </w:t>
      </w:r>
      <w:r w:rsidR="0024485E" w:rsidRPr="00F92464">
        <w:rPr>
          <w:rFonts w:ascii="Arial" w:hAnsi="Arial" w:cs="Arial"/>
          <w:color w:val="000000" w:themeColor="text1"/>
        </w:rPr>
        <w:t>principios tales como</w:t>
      </w:r>
      <w:r w:rsidRPr="00F74E74">
        <w:rPr>
          <w:rFonts w:ascii="Arial" w:hAnsi="Arial" w:cs="Arial"/>
          <w:color w:val="000000" w:themeColor="text1"/>
        </w:rPr>
        <w:t>:</w:t>
      </w:r>
    </w:p>
    <w:p w:rsidR="00F74E74" w:rsidRPr="00F74E74" w:rsidRDefault="00F74E74" w:rsidP="009B34ED">
      <w:pPr>
        <w:pStyle w:val="NormalWeb"/>
        <w:numPr>
          <w:ilvl w:val="0"/>
          <w:numId w:val="8"/>
        </w:numPr>
        <w:spacing w:line="480" w:lineRule="auto"/>
        <w:rPr>
          <w:rFonts w:ascii="Arial" w:hAnsi="Arial" w:cs="Arial"/>
          <w:color w:val="000000" w:themeColor="text1"/>
        </w:rPr>
      </w:pPr>
      <w:r w:rsidRPr="00F74E74">
        <w:rPr>
          <w:rFonts w:ascii="Arial" w:hAnsi="Arial" w:cs="Arial"/>
          <w:color w:val="000000" w:themeColor="text1"/>
        </w:rPr>
        <w:t>Respeto a la diversidad: La sociedad debe ser respetuosa con la diversidad cultural y religiosa.</w:t>
      </w:r>
    </w:p>
    <w:p w:rsidR="00F74E74" w:rsidRPr="00F74E74" w:rsidRDefault="00F74E74" w:rsidP="009B34ED">
      <w:pPr>
        <w:pStyle w:val="NormalWeb"/>
        <w:numPr>
          <w:ilvl w:val="0"/>
          <w:numId w:val="8"/>
        </w:numPr>
        <w:spacing w:line="480" w:lineRule="auto"/>
        <w:rPr>
          <w:rFonts w:ascii="Arial" w:hAnsi="Arial" w:cs="Arial"/>
          <w:color w:val="000000" w:themeColor="text1"/>
        </w:rPr>
      </w:pPr>
      <w:r w:rsidRPr="00F74E74">
        <w:rPr>
          <w:rFonts w:ascii="Arial" w:hAnsi="Arial" w:cs="Arial"/>
          <w:color w:val="000000" w:themeColor="text1"/>
        </w:rPr>
        <w:t>Justicia social: La sociedad debe ser justa y equitativa para todos sus miembros.</w:t>
      </w:r>
    </w:p>
    <w:p w:rsidR="00F74E74" w:rsidRPr="00F74E74" w:rsidRDefault="00F74E74" w:rsidP="009B34ED">
      <w:pPr>
        <w:pStyle w:val="NormalWeb"/>
        <w:numPr>
          <w:ilvl w:val="0"/>
          <w:numId w:val="8"/>
        </w:numPr>
        <w:spacing w:line="480" w:lineRule="auto"/>
        <w:rPr>
          <w:rFonts w:ascii="Arial" w:hAnsi="Arial" w:cs="Arial"/>
          <w:color w:val="000000" w:themeColor="text1"/>
        </w:rPr>
      </w:pPr>
      <w:r w:rsidRPr="00F74E74">
        <w:rPr>
          <w:rFonts w:ascii="Arial" w:hAnsi="Arial" w:cs="Arial"/>
          <w:color w:val="000000" w:themeColor="text1"/>
        </w:rPr>
        <w:t>Sostenibilidad medioambiental: La sociedad debe ser sostenible medioambientalmente.</w:t>
      </w:r>
    </w:p>
    <w:p w:rsidR="0024485E" w:rsidRPr="00F92464" w:rsidRDefault="00F74E74" w:rsidP="009B34ED">
      <w:pPr>
        <w:pStyle w:val="NormalWeb"/>
        <w:spacing w:line="480" w:lineRule="auto"/>
        <w:rPr>
          <w:rFonts w:ascii="Arial" w:hAnsi="Arial" w:cs="Arial"/>
          <w:color w:val="000000" w:themeColor="text1"/>
        </w:rPr>
      </w:pPr>
      <w:r w:rsidRPr="00F74E74">
        <w:rPr>
          <w:rFonts w:ascii="Arial" w:hAnsi="Arial" w:cs="Arial"/>
          <w:color w:val="000000" w:themeColor="text1"/>
        </w:rPr>
        <w:t>La crisis de los valores es un fenómeno grave que tiene un impacto negativo en la sociedad. Es necesario identificar las causas de la crisis de los valores para poder abordarlas y prevenirlas. También es necesario reorientar los valores de la sociedad para que sean más acordes con los desafíos del siglo XXI.</w:t>
      </w:r>
      <w:r w:rsidR="00881B44">
        <w:rPr>
          <w:rStyle w:val="Refdenotaalfinal"/>
          <w:rFonts w:ascii="Arial" w:hAnsi="Arial" w:cs="Arial"/>
          <w:color w:val="000000" w:themeColor="text1"/>
        </w:rPr>
        <w:endnoteReference w:id="12"/>
      </w:r>
    </w:p>
    <w:p w:rsidR="00256D3B" w:rsidRPr="00F92464" w:rsidRDefault="004B358E" w:rsidP="009B34ED">
      <w:pPr>
        <w:pStyle w:val="NormalWeb"/>
        <w:spacing w:line="480" w:lineRule="auto"/>
        <w:rPr>
          <w:rFonts w:ascii="Arial" w:hAnsi="Arial" w:cs="Arial"/>
          <w:color w:val="000000" w:themeColor="text1"/>
        </w:rPr>
      </w:pPr>
      <w:r w:rsidRPr="00F92464">
        <w:rPr>
          <w:rFonts w:ascii="Arial" w:hAnsi="Arial" w:cs="Arial"/>
          <w:color w:val="000000" w:themeColor="text1"/>
        </w:rPr>
        <w:t>L</w:t>
      </w:r>
      <w:r w:rsidR="00256D3B" w:rsidRPr="00F92464">
        <w:rPr>
          <w:rFonts w:ascii="Arial" w:hAnsi="Arial" w:cs="Arial"/>
          <w:color w:val="000000" w:themeColor="text1"/>
        </w:rPr>
        <w:t>a crisis en el ámbito social se caracteriza por la presencia de desafíos significativos que afectan la estabilidad, cohesión y funcionamiento de una sociedad, con repercusiones que van más allá de lo meramente económico, abarcando aspectos políticos, culturales y sociales.</w:t>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t xml:space="preserve">Además las crisis que más afectan el desarrollo social son aquellas que se </w:t>
      </w:r>
      <w:r w:rsidR="004B358E" w:rsidRPr="00F92464">
        <w:rPr>
          <w:rFonts w:ascii="Arial" w:hAnsi="Arial" w:cs="Arial"/>
          <w:color w:val="000000" w:themeColor="text1"/>
        </w:rPr>
        <w:t>circunscriben</w:t>
      </w:r>
      <w:r w:rsidRPr="00F92464">
        <w:rPr>
          <w:rFonts w:ascii="Arial" w:hAnsi="Arial" w:cs="Arial"/>
          <w:color w:val="000000" w:themeColor="text1"/>
        </w:rPr>
        <w:t xml:space="preserve"> a lo </w:t>
      </w:r>
      <w:r w:rsidR="004B358E" w:rsidRPr="00F92464">
        <w:rPr>
          <w:rFonts w:ascii="Arial" w:hAnsi="Arial" w:cs="Arial"/>
          <w:color w:val="000000" w:themeColor="text1"/>
        </w:rPr>
        <w:t>valórico</w:t>
      </w:r>
      <w:r w:rsidRPr="00F92464">
        <w:rPr>
          <w:rFonts w:ascii="Arial" w:hAnsi="Arial" w:cs="Arial"/>
          <w:color w:val="000000" w:themeColor="text1"/>
        </w:rPr>
        <w:t>.</w:t>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lastRenderedPageBreak/>
        <w:t xml:space="preserve">Las crisis morales y </w:t>
      </w:r>
      <w:r w:rsidR="004B358E" w:rsidRPr="00F92464">
        <w:rPr>
          <w:rFonts w:ascii="Arial" w:hAnsi="Arial" w:cs="Arial"/>
          <w:color w:val="000000" w:themeColor="text1"/>
        </w:rPr>
        <w:t>valóricas</w:t>
      </w:r>
      <w:r w:rsidRPr="00F92464">
        <w:rPr>
          <w:rFonts w:ascii="Arial" w:hAnsi="Arial" w:cs="Arial"/>
          <w:color w:val="000000" w:themeColor="text1"/>
        </w:rPr>
        <w:t xml:space="preserve"> en la sociedad se refieren a periodos en los cuales las creencias éticas y los principios fundamentales que sustentan el comportamiento humano enfrentan desafíos significativos o </w:t>
      </w:r>
      <w:r w:rsidR="0024485E" w:rsidRPr="00F92464">
        <w:rPr>
          <w:rFonts w:ascii="Arial" w:hAnsi="Arial" w:cs="Arial"/>
          <w:color w:val="000000" w:themeColor="text1"/>
        </w:rPr>
        <w:t xml:space="preserve">los mismos </w:t>
      </w:r>
      <w:r w:rsidRPr="00F92464">
        <w:rPr>
          <w:rFonts w:ascii="Arial" w:hAnsi="Arial" w:cs="Arial"/>
          <w:color w:val="000000" w:themeColor="text1"/>
        </w:rPr>
        <w:t>se ven comprometidos. Estas crisis involucran la percepción generalizada de un declive</w:t>
      </w:r>
      <w:r w:rsidR="0024485E" w:rsidRPr="00F92464">
        <w:rPr>
          <w:rFonts w:ascii="Arial" w:hAnsi="Arial" w:cs="Arial"/>
          <w:color w:val="000000" w:themeColor="text1"/>
        </w:rPr>
        <w:t xml:space="preserve"> o degradación</w:t>
      </w:r>
      <w:r w:rsidRPr="00F92464">
        <w:rPr>
          <w:rFonts w:ascii="Arial" w:hAnsi="Arial" w:cs="Arial"/>
          <w:color w:val="000000" w:themeColor="text1"/>
        </w:rPr>
        <w:t xml:space="preserve"> en los valores éticos, la integridad y la cohesión social, lo que conlleva a una profunda preocupación sobre el estado moral de la sociedad.</w:t>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t xml:space="preserve">Una crisis </w:t>
      </w:r>
      <w:r w:rsidR="004B358E" w:rsidRPr="00F92464">
        <w:rPr>
          <w:rFonts w:ascii="Arial" w:hAnsi="Arial" w:cs="Arial"/>
          <w:color w:val="000000" w:themeColor="text1"/>
        </w:rPr>
        <w:t>en los valores de una sociedad</w:t>
      </w:r>
      <w:r w:rsidRPr="00F92464">
        <w:rPr>
          <w:rFonts w:ascii="Arial" w:hAnsi="Arial" w:cs="Arial"/>
          <w:color w:val="000000" w:themeColor="text1"/>
        </w:rPr>
        <w:t xml:space="preserve"> puede manifestarse en diversas formas, como la pérdida de confianza en las instituciones, la corrupción generalizada, la falta de responsabilidad social, el aumento de comportamientos antisociales y una disminución en la empatía y la solidaridad entre los individuos. Además, eventos traumáticos, como escándalos públicos, crisis económicas o conflictos sociales, a menudo desencadenan </w:t>
      </w:r>
      <w:r w:rsidR="002D71AF" w:rsidRPr="00F92464">
        <w:rPr>
          <w:rFonts w:ascii="Arial" w:hAnsi="Arial" w:cs="Arial"/>
          <w:color w:val="000000" w:themeColor="text1"/>
        </w:rPr>
        <w:t>e</w:t>
      </w:r>
      <w:r w:rsidRPr="00F92464">
        <w:rPr>
          <w:rFonts w:ascii="Arial" w:hAnsi="Arial" w:cs="Arial"/>
          <w:color w:val="000000" w:themeColor="text1"/>
        </w:rPr>
        <w:t xml:space="preserve"> </w:t>
      </w:r>
      <w:r w:rsidR="002D71AF" w:rsidRPr="00F92464">
        <w:rPr>
          <w:rFonts w:ascii="Arial" w:hAnsi="Arial" w:cs="Arial"/>
          <w:color w:val="000000" w:themeColor="text1"/>
        </w:rPr>
        <w:t>intensifican</w:t>
      </w:r>
      <w:r w:rsidRPr="00F92464">
        <w:rPr>
          <w:rFonts w:ascii="Arial" w:hAnsi="Arial" w:cs="Arial"/>
          <w:color w:val="000000" w:themeColor="text1"/>
        </w:rPr>
        <w:t xml:space="preserve"> estas crisis morales.</w:t>
      </w:r>
    </w:p>
    <w:p w:rsidR="00256D3B" w:rsidRPr="00F92464" w:rsidRDefault="00256D3B" w:rsidP="009B34ED">
      <w:pPr>
        <w:pStyle w:val="NormalWeb"/>
        <w:spacing w:line="480" w:lineRule="auto"/>
        <w:rPr>
          <w:rFonts w:ascii="Arial" w:hAnsi="Arial" w:cs="Arial"/>
          <w:color w:val="000000" w:themeColor="text1"/>
        </w:rPr>
      </w:pPr>
      <w:r w:rsidRPr="00F92464">
        <w:rPr>
          <w:rFonts w:ascii="Arial" w:hAnsi="Arial" w:cs="Arial"/>
          <w:color w:val="000000" w:themeColor="text1"/>
        </w:rPr>
        <w:t xml:space="preserve">Por otro lado, la crisis </w:t>
      </w:r>
      <w:proofErr w:type="spellStart"/>
      <w:r w:rsidRPr="00F92464">
        <w:rPr>
          <w:rFonts w:ascii="Arial" w:hAnsi="Arial" w:cs="Arial"/>
          <w:color w:val="000000" w:themeColor="text1"/>
        </w:rPr>
        <w:t>valorica</w:t>
      </w:r>
      <w:proofErr w:type="spellEnd"/>
      <w:r w:rsidRPr="00F92464">
        <w:rPr>
          <w:rFonts w:ascii="Arial" w:hAnsi="Arial" w:cs="Arial"/>
          <w:color w:val="000000" w:themeColor="text1"/>
        </w:rPr>
        <w:t xml:space="preserve"> se relaciona con la disminución de la importancia y el respeto hacia ciertos valores fundamentales en una sociedad. Esto podría incluir la pérdida de aprecio por la honestidad, la justicia, la igualdad, la tolerancia y otros principios éticos que son esenciales para el funcionamiento saludable de la comunidad.</w:t>
      </w:r>
      <w:r w:rsidR="00881B44">
        <w:rPr>
          <w:rStyle w:val="Refdenotaalfinal"/>
          <w:rFonts w:ascii="Arial" w:hAnsi="Arial" w:cs="Arial"/>
          <w:color w:val="000000" w:themeColor="text1"/>
        </w:rPr>
        <w:endnoteReference w:id="13"/>
      </w:r>
      <w:r w:rsidRPr="00F92464">
        <w:rPr>
          <w:rFonts w:ascii="Arial" w:hAnsi="Arial" w:cs="Arial"/>
          <w:color w:val="000000" w:themeColor="text1"/>
        </w:rPr>
        <w:t xml:space="preserve"> La aparición de conflictos éticos y la aceptación generalizada de comportamientos inmorales pueden ser indicadores de una crisis </w:t>
      </w:r>
      <w:proofErr w:type="spellStart"/>
      <w:r w:rsidRPr="00F92464">
        <w:rPr>
          <w:rFonts w:ascii="Arial" w:hAnsi="Arial" w:cs="Arial"/>
          <w:color w:val="000000" w:themeColor="text1"/>
        </w:rPr>
        <w:t>valorica</w:t>
      </w:r>
      <w:proofErr w:type="spellEnd"/>
      <w:r w:rsidR="002D71AF" w:rsidRPr="00F92464">
        <w:rPr>
          <w:rFonts w:ascii="Arial" w:hAnsi="Arial" w:cs="Arial"/>
          <w:color w:val="000000" w:themeColor="text1"/>
        </w:rPr>
        <w:t xml:space="preserve"> al interior de una sociedad o cultura.</w:t>
      </w:r>
    </w:p>
    <w:p w:rsidR="00256D3B" w:rsidRPr="00F92464" w:rsidRDefault="002D71AF" w:rsidP="009B34ED">
      <w:pPr>
        <w:pStyle w:val="NormalWeb"/>
        <w:spacing w:line="480" w:lineRule="auto"/>
        <w:rPr>
          <w:rFonts w:ascii="Arial" w:hAnsi="Arial" w:cs="Arial"/>
          <w:color w:val="000000" w:themeColor="text1"/>
        </w:rPr>
      </w:pPr>
      <w:r w:rsidRPr="00F92464">
        <w:rPr>
          <w:rFonts w:ascii="Arial" w:hAnsi="Arial" w:cs="Arial"/>
          <w:color w:val="000000" w:themeColor="text1"/>
        </w:rPr>
        <w:t xml:space="preserve">Este tipo de </w:t>
      </w:r>
      <w:r w:rsidR="00256D3B" w:rsidRPr="00F92464">
        <w:rPr>
          <w:rFonts w:ascii="Arial" w:hAnsi="Arial" w:cs="Arial"/>
          <w:color w:val="000000" w:themeColor="text1"/>
        </w:rPr>
        <w:t xml:space="preserve">crisis no solo afectan la conducta individual, sino que también influyen en las instituciones, las políticas gubernamentales y las interacciones sociales. La polarización política, la intolerancia hacia la diversidad y la falta de responsabilidad </w:t>
      </w:r>
      <w:r w:rsidR="00256D3B" w:rsidRPr="00F92464">
        <w:rPr>
          <w:rFonts w:ascii="Arial" w:hAnsi="Arial" w:cs="Arial"/>
          <w:color w:val="000000" w:themeColor="text1"/>
        </w:rPr>
        <w:lastRenderedPageBreak/>
        <w:t xml:space="preserve">ética en diversas esferas de la sociedad son ejemplos de cómo las crisis morales y </w:t>
      </w:r>
      <w:proofErr w:type="spellStart"/>
      <w:r w:rsidR="00256D3B" w:rsidRPr="00F92464">
        <w:rPr>
          <w:rFonts w:ascii="Arial" w:hAnsi="Arial" w:cs="Arial"/>
          <w:color w:val="000000" w:themeColor="text1"/>
        </w:rPr>
        <w:t>valoricas</w:t>
      </w:r>
      <w:proofErr w:type="spellEnd"/>
      <w:r w:rsidR="00256D3B" w:rsidRPr="00F92464">
        <w:rPr>
          <w:rFonts w:ascii="Arial" w:hAnsi="Arial" w:cs="Arial"/>
          <w:color w:val="000000" w:themeColor="text1"/>
        </w:rPr>
        <w:t xml:space="preserve"> pueden manifestarse a niveles </w:t>
      </w:r>
      <w:r w:rsidR="00F62F7F" w:rsidRPr="00F92464">
        <w:rPr>
          <w:rFonts w:ascii="Arial" w:hAnsi="Arial" w:cs="Arial"/>
          <w:color w:val="000000" w:themeColor="text1"/>
        </w:rPr>
        <w:t xml:space="preserve">sociales más </w:t>
      </w:r>
      <w:r w:rsidR="00256D3B" w:rsidRPr="00F92464">
        <w:rPr>
          <w:rFonts w:ascii="Arial" w:hAnsi="Arial" w:cs="Arial"/>
          <w:color w:val="000000" w:themeColor="text1"/>
        </w:rPr>
        <w:t>colectivos.</w:t>
      </w:r>
    </w:p>
    <w:p w:rsidR="00256D3B" w:rsidRPr="00F92464" w:rsidRDefault="002D71AF" w:rsidP="009B34ED">
      <w:pPr>
        <w:pStyle w:val="NormalWeb"/>
        <w:spacing w:line="480" w:lineRule="auto"/>
        <w:rPr>
          <w:rFonts w:ascii="Arial" w:hAnsi="Arial" w:cs="Arial"/>
          <w:color w:val="000000" w:themeColor="text1"/>
        </w:rPr>
      </w:pPr>
      <w:r w:rsidRPr="00F92464">
        <w:rPr>
          <w:rFonts w:ascii="Arial" w:hAnsi="Arial" w:cs="Arial"/>
          <w:color w:val="000000" w:themeColor="text1"/>
        </w:rPr>
        <w:t>Salir de este tipo de</w:t>
      </w:r>
      <w:r w:rsidR="00256D3B" w:rsidRPr="00F92464">
        <w:rPr>
          <w:rFonts w:ascii="Arial" w:hAnsi="Arial" w:cs="Arial"/>
          <w:color w:val="000000" w:themeColor="text1"/>
        </w:rPr>
        <w:t xml:space="preserve"> crisis implica abordar las causas </w:t>
      </w:r>
      <w:r w:rsidR="00F62F7F" w:rsidRPr="00F92464">
        <w:rPr>
          <w:rFonts w:ascii="Arial" w:hAnsi="Arial" w:cs="Arial"/>
          <w:color w:val="000000" w:themeColor="text1"/>
        </w:rPr>
        <w:t>que subyacen a la crisis</w:t>
      </w:r>
      <w:r w:rsidR="00256D3B" w:rsidRPr="00F92464">
        <w:rPr>
          <w:rFonts w:ascii="Arial" w:hAnsi="Arial" w:cs="Arial"/>
          <w:color w:val="000000" w:themeColor="text1"/>
        </w:rPr>
        <w:t>,</w:t>
      </w:r>
      <w:r w:rsidR="00F62F7F" w:rsidRPr="00F92464">
        <w:rPr>
          <w:rFonts w:ascii="Arial" w:hAnsi="Arial" w:cs="Arial"/>
          <w:color w:val="000000" w:themeColor="text1"/>
        </w:rPr>
        <w:t xml:space="preserve"> como por </w:t>
      </w:r>
      <w:proofErr w:type="spellStart"/>
      <w:r w:rsidR="00F62F7F" w:rsidRPr="00F92464">
        <w:rPr>
          <w:rFonts w:ascii="Arial" w:hAnsi="Arial" w:cs="Arial"/>
          <w:color w:val="000000" w:themeColor="text1"/>
        </w:rPr>
        <w:t>ejempo</w:t>
      </w:r>
      <w:proofErr w:type="spellEnd"/>
      <w:r w:rsidR="00256D3B" w:rsidRPr="00F92464">
        <w:rPr>
          <w:rFonts w:ascii="Arial" w:hAnsi="Arial" w:cs="Arial"/>
          <w:color w:val="000000" w:themeColor="text1"/>
        </w:rPr>
        <w:t xml:space="preserve"> fomentar la reflexión ética, fortalecer la educación en valores, promover la transparencia</w:t>
      </w:r>
      <w:r w:rsidR="00F62F7F" w:rsidRPr="00F92464">
        <w:rPr>
          <w:rFonts w:ascii="Arial" w:hAnsi="Arial" w:cs="Arial"/>
          <w:color w:val="000000" w:themeColor="text1"/>
        </w:rPr>
        <w:t xml:space="preserve">, </w:t>
      </w:r>
      <w:r w:rsidR="00256D3B" w:rsidRPr="00F92464">
        <w:rPr>
          <w:rFonts w:ascii="Arial" w:hAnsi="Arial" w:cs="Arial"/>
          <w:color w:val="000000" w:themeColor="text1"/>
        </w:rPr>
        <w:t>fomentar el diálogo y la comprensión mutua.</w:t>
      </w:r>
      <w:r w:rsidR="00C85762">
        <w:rPr>
          <w:rStyle w:val="Refdenotaalfinal"/>
          <w:rFonts w:ascii="Arial" w:hAnsi="Arial" w:cs="Arial"/>
          <w:color w:val="000000" w:themeColor="text1"/>
        </w:rPr>
        <w:endnoteReference w:id="14"/>
      </w:r>
      <w:r w:rsidR="00256D3B" w:rsidRPr="00F92464">
        <w:rPr>
          <w:rFonts w:ascii="Arial" w:hAnsi="Arial" w:cs="Arial"/>
          <w:color w:val="000000" w:themeColor="text1"/>
        </w:rPr>
        <w:t xml:space="preserve"> La construcción de una sociedad ética y valórica requiere un esfuerzo conjunto para restaurar la confianza y fortalecer los fundamentos morales que sustentan la convivencia humana.</w:t>
      </w:r>
    </w:p>
    <w:p w:rsidR="00F14B69" w:rsidRPr="00F92464" w:rsidRDefault="00F14B69" w:rsidP="009B34ED">
      <w:pPr>
        <w:spacing w:line="480" w:lineRule="auto"/>
        <w:rPr>
          <w:rFonts w:ascii="Arial" w:hAnsi="Arial" w:cs="Arial"/>
          <w:color w:val="000000" w:themeColor="text1"/>
        </w:rPr>
      </w:pPr>
      <w:r w:rsidRPr="00F92464">
        <w:rPr>
          <w:rFonts w:ascii="Arial" w:hAnsi="Arial" w:cs="Arial"/>
          <w:color w:val="000000" w:themeColor="text1"/>
        </w:rPr>
        <w:t>Enrique Medina López explora la noción de crisis de valores en el contexto del desarrollo humano y social, destacando que la crisis es una faceta inherente a dicho desarrollo.</w:t>
      </w:r>
      <w:r w:rsidR="00C85762">
        <w:rPr>
          <w:rStyle w:val="Refdenotaalfinal"/>
          <w:rFonts w:ascii="Arial" w:hAnsi="Arial" w:cs="Arial"/>
          <w:color w:val="000000" w:themeColor="text1"/>
        </w:rPr>
        <w:endnoteReference w:id="15"/>
      </w:r>
      <w:r w:rsidRPr="00F92464">
        <w:rPr>
          <w:rFonts w:ascii="Arial" w:hAnsi="Arial" w:cs="Arial"/>
          <w:color w:val="000000" w:themeColor="text1"/>
        </w:rPr>
        <w:t xml:space="preserve"> Se define el valor como una práctica apreciada por sus cualidades, y la crisis como un momento que revela contradicciones o problemas en la escala de valores de una sociedad, manifestándose como anomia </w:t>
      </w:r>
      <w:r w:rsidR="002D71AF" w:rsidRPr="00F92464">
        <w:rPr>
          <w:rFonts w:ascii="Arial" w:hAnsi="Arial" w:cs="Arial"/>
          <w:color w:val="000000" w:themeColor="text1"/>
        </w:rPr>
        <w:t>(</w:t>
      </w:r>
      <w:r w:rsidR="00F62F7F" w:rsidRPr="00F92464">
        <w:rPr>
          <w:rFonts w:ascii="Arial" w:hAnsi="Arial" w:cs="Arial"/>
          <w:color w:val="000000" w:themeColor="text1"/>
        </w:rPr>
        <w:t>f</w:t>
      </w:r>
      <w:r w:rsidR="002D71AF" w:rsidRPr="00F92464">
        <w:rPr>
          <w:rFonts w:ascii="Arial" w:hAnsi="Arial" w:cs="Arial"/>
          <w:color w:val="000000" w:themeColor="text1"/>
        </w:rPr>
        <w:t xml:space="preserve">alta de ley) </w:t>
      </w:r>
      <w:r w:rsidRPr="00F92464">
        <w:rPr>
          <w:rFonts w:ascii="Arial" w:hAnsi="Arial" w:cs="Arial"/>
          <w:color w:val="000000" w:themeColor="text1"/>
        </w:rPr>
        <w:t>en periodos de crisis social.</w:t>
      </w:r>
    </w:p>
    <w:p w:rsidR="00F14B69" w:rsidRPr="00F92464" w:rsidRDefault="00F14B69" w:rsidP="009B34ED">
      <w:pPr>
        <w:spacing w:line="480" w:lineRule="auto"/>
        <w:rPr>
          <w:rFonts w:ascii="Arial" w:hAnsi="Arial" w:cs="Arial"/>
          <w:color w:val="000000" w:themeColor="text1"/>
        </w:rPr>
      </w:pPr>
      <w:r w:rsidRPr="00F92464">
        <w:rPr>
          <w:rFonts w:ascii="Arial" w:hAnsi="Arial" w:cs="Arial"/>
          <w:color w:val="000000" w:themeColor="text1"/>
        </w:rPr>
        <w:t>El autor aborda la crisis de identidad, explicando que esta se experimenta de manera diferente en sociedades tradicionales, modernas y contemporáneas. La pérdida de valores implica un cambio en la construcción de la identidad y, a su vez, una desconexión con la historia personal y colectiva.</w:t>
      </w:r>
    </w:p>
    <w:p w:rsidR="00F62F7F" w:rsidRPr="00F92464" w:rsidRDefault="002D71AF" w:rsidP="009B34ED">
      <w:pPr>
        <w:spacing w:line="480" w:lineRule="auto"/>
        <w:rPr>
          <w:rFonts w:ascii="Arial" w:hAnsi="Arial" w:cs="Arial"/>
          <w:color w:val="000000" w:themeColor="text1"/>
        </w:rPr>
      </w:pPr>
      <w:r w:rsidRPr="00F92464">
        <w:rPr>
          <w:rFonts w:ascii="Arial" w:hAnsi="Arial" w:cs="Arial"/>
          <w:color w:val="000000" w:themeColor="text1"/>
        </w:rPr>
        <w:t xml:space="preserve">Además </w:t>
      </w:r>
      <w:r w:rsidR="00F14B69" w:rsidRPr="00F92464">
        <w:rPr>
          <w:rFonts w:ascii="Arial" w:hAnsi="Arial" w:cs="Arial"/>
          <w:color w:val="000000" w:themeColor="text1"/>
        </w:rPr>
        <w:t xml:space="preserve">se examina la crisis de pertenencia, </w:t>
      </w:r>
      <w:r w:rsidR="00F62F7F" w:rsidRPr="00F92464">
        <w:rPr>
          <w:rFonts w:ascii="Arial" w:hAnsi="Arial" w:cs="Arial"/>
          <w:color w:val="000000" w:themeColor="text1"/>
        </w:rPr>
        <w:t>como</w:t>
      </w:r>
      <w:r w:rsidR="00F62F7F" w:rsidRPr="00F92464">
        <w:rPr>
          <w:rFonts w:ascii="Arial" w:hAnsi="Arial" w:cs="Arial"/>
          <w:color w:val="000000" w:themeColor="text1"/>
        </w:rPr>
        <w:t xml:space="preserve"> un sentimiento de aislamiento, desconexión o rechazo que una persona puede experimentar cuando no se siente parte de un grupo o comunidad. Este sentimiento puede ser causado por una variedad de factores, como la migración, el cambio social o la pérdida de una relación significativa.</w:t>
      </w:r>
    </w:p>
    <w:p w:rsidR="00F62F7F" w:rsidRPr="00F62F7F" w:rsidRDefault="00F62F7F" w:rsidP="009B34ED">
      <w:pPr>
        <w:spacing w:line="480" w:lineRule="auto"/>
        <w:rPr>
          <w:rFonts w:ascii="Arial" w:hAnsi="Arial" w:cs="Arial"/>
          <w:color w:val="000000" w:themeColor="text1"/>
        </w:rPr>
      </w:pPr>
      <w:r w:rsidRPr="00F62F7F">
        <w:rPr>
          <w:rFonts w:ascii="Arial" w:hAnsi="Arial" w:cs="Arial"/>
          <w:color w:val="000000" w:themeColor="text1"/>
        </w:rPr>
        <w:lastRenderedPageBreak/>
        <w:t>Las personas que experimentan una crisis de pertenencia pueden sentir una variedad de emociones, como soledad, tristeza, ansiedad o incluso depresión. También pueden tener dificultades para establecer relaciones cercanas o sentirse conectados con su entorno.</w:t>
      </w:r>
      <w:r w:rsidR="00C85762">
        <w:rPr>
          <w:rStyle w:val="Refdenotaalfinal"/>
          <w:rFonts w:ascii="Arial" w:hAnsi="Arial" w:cs="Arial"/>
          <w:color w:val="000000" w:themeColor="text1"/>
        </w:rPr>
        <w:endnoteReference w:id="16"/>
      </w:r>
    </w:p>
    <w:p w:rsidR="00F62F7F" w:rsidRPr="00F62F7F" w:rsidRDefault="00F62F7F" w:rsidP="009B34ED">
      <w:pPr>
        <w:spacing w:line="480" w:lineRule="auto"/>
        <w:rPr>
          <w:rFonts w:ascii="Arial" w:hAnsi="Arial" w:cs="Arial"/>
          <w:color w:val="000000" w:themeColor="text1"/>
        </w:rPr>
      </w:pPr>
      <w:r w:rsidRPr="00F62F7F">
        <w:rPr>
          <w:rFonts w:ascii="Arial" w:hAnsi="Arial" w:cs="Arial"/>
          <w:color w:val="000000" w:themeColor="text1"/>
        </w:rPr>
        <w:t>La crisis de pertenencia puede tener un impacto negativo en la salud física y mental de las personas que la experimentan. También puede dificultar el éxito en el trabajo, la escuela o las relaciones personales.</w:t>
      </w:r>
    </w:p>
    <w:p w:rsidR="00F62F7F" w:rsidRPr="00F62F7F" w:rsidRDefault="00F62F7F" w:rsidP="009B34ED">
      <w:pPr>
        <w:spacing w:line="480" w:lineRule="auto"/>
        <w:rPr>
          <w:rFonts w:ascii="Arial" w:hAnsi="Arial" w:cs="Arial"/>
          <w:color w:val="000000" w:themeColor="text1"/>
        </w:rPr>
      </w:pPr>
      <w:r w:rsidRPr="00F62F7F">
        <w:rPr>
          <w:rFonts w:ascii="Arial" w:hAnsi="Arial" w:cs="Arial"/>
          <w:color w:val="000000" w:themeColor="text1"/>
        </w:rPr>
        <w:t>Los síntomas de la crisis de pertenencia pueden variar de una persona a otra, pero algunos de los más comunes incluyen</w:t>
      </w:r>
      <w:r w:rsidRPr="00F92464">
        <w:rPr>
          <w:rFonts w:ascii="Arial" w:hAnsi="Arial" w:cs="Arial"/>
          <w:color w:val="000000" w:themeColor="text1"/>
        </w:rPr>
        <w:t xml:space="preserve"> el s</w:t>
      </w:r>
      <w:r w:rsidRPr="00F62F7F">
        <w:rPr>
          <w:rFonts w:ascii="Arial" w:hAnsi="Arial" w:cs="Arial"/>
          <w:color w:val="000000" w:themeColor="text1"/>
        </w:rPr>
        <w:t>entimiento de aislamiento o desconectadas de los demás.</w:t>
      </w:r>
      <w:r w:rsidR="00C85762">
        <w:rPr>
          <w:rStyle w:val="Refdenotaalfinal"/>
          <w:rFonts w:ascii="Arial" w:hAnsi="Arial" w:cs="Arial"/>
          <w:color w:val="000000" w:themeColor="text1"/>
        </w:rPr>
        <w:endnoteReference w:id="17"/>
      </w:r>
    </w:p>
    <w:p w:rsidR="00F62F7F" w:rsidRPr="00F62F7F" w:rsidRDefault="00F62F7F" w:rsidP="009B34ED">
      <w:pPr>
        <w:tabs>
          <w:tab w:val="num" w:pos="720"/>
        </w:tabs>
        <w:spacing w:line="480" w:lineRule="auto"/>
        <w:rPr>
          <w:rFonts w:ascii="Arial" w:hAnsi="Arial" w:cs="Arial"/>
          <w:color w:val="000000" w:themeColor="text1"/>
        </w:rPr>
      </w:pPr>
      <w:r w:rsidRPr="00F92464">
        <w:rPr>
          <w:rFonts w:ascii="Arial" w:hAnsi="Arial" w:cs="Arial"/>
          <w:color w:val="000000" w:themeColor="text1"/>
        </w:rPr>
        <w:t xml:space="preserve">También el </w:t>
      </w:r>
      <w:r w:rsidRPr="00F62F7F">
        <w:rPr>
          <w:rFonts w:ascii="Arial" w:hAnsi="Arial" w:cs="Arial"/>
          <w:color w:val="000000" w:themeColor="text1"/>
        </w:rPr>
        <w:t>Sentimiento de desconexión</w:t>
      </w:r>
      <w:r w:rsidRPr="00F92464">
        <w:rPr>
          <w:rFonts w:ascii="Arial" w:hAnsi="Arial" w:cs="Arial"/>
          <w:color w:val="000000" w:themeColor="text1"/>
        </w:rPr>
        <w:t xml:space="preserve"> donde l</w:t>
      </w:r>
      <w:r w:rsidRPr="00F62F7F">
        <w:rPr>
          <w:rFonts w:ascii="Arial" w:hAnsi="Arial" w:cs="Arial"/>
          <w:color w:val="000000" w:themeColor="text1"/>
        </w:rPr>
        <w:t>a persona puede sentirse como si no perteneciera a ningún grupo o comunidad.</w:t>
      </w:r>
      <w:r w:rsidRPr="00F92464">
        <w:rPr>
          <w:rFonts w:ascii="Arial" w:hAnsi="Arial" w:cs="Arial"/>
          <w:color w:val="000000" w:themeColor="text1"/>
        </w:rPr>
        <w:t xml:space="preserve"> El s</w:t>
      </w:r>
      <w:r w:rsidRPr="00F62F7F">
        <w:rPr>
          <w:rFonts w:ascii="Arial" w:hAnsi="Arial" w:cs="Arial"/>
          <w:color w:val="000000" w:themeColor="text1"/>
        </w:rPr>
        <w:t>entimiento de rechazo</w:t>
      </w:r>
      <w:r w:rsidRPr="00F92464">
        <w:rPr>
          <w:rFonts w:ascii="Arial" w:hAnsi="Arial" w:cs="Arial"/>
          <w:color w:val="000000" w:themeColor="text1"/>
        </w:rPr>
        <w:t xml:space="preserve"> l</w:t>
      </w:r>
      <w:r w:rsidRPr="00F62F7F">
        <w:rPr>
          <w:rFonts w:ascii="Arial" w:hAnsi="Arial" w:cs="Arial"/>
          <w:color w:val="000000" w:themeColor="text1"/>
        </w:rPr>
        <w:t>a persona puede sentirse excluida por los demás.</w:t>
      </w:r>
      <w:r w:rsidRPr="00F92464">
        <w:rPr>
          <w:rFonts w:ascii="Arial" w:hAnsi="Arial" w:cs="Arial"/>
          <w:color w:val="000000" w:themeColor="text1"/>
        </w:rPr>
        <w:t xml:space="preserve"> Además la d</w:t>
      </w:r>
      <w:r w:rsidRPr="00F62F7F">
        <w:rPr>
          <w:rFonts w:ascii="Arial" w:hAnsi="Arial" w:cs="Arial"/>
          <w:color w:val="000000" w:themeColor="text1"/>
        </w:rPr>
        <w:t>ificultad para establecer relaciones cercanas</w:t>
      </w:r>
      <w:r w:rsidRPr="00F92464">
        <w:rPr>
          <w:rFonts w:ascii="Arial" w:hAnsi="Arial" w:cs="Arial"/>
          <w:color w:val="000000" w:themeColor="text1"/>
        </w:rPr>
        <w:t>, y la d</w:t>
      </w:r>
      <w:r w:rsidRPr="00F62F7F">
        <w:rPr>
          <w:rFonts w:ascii="Arial" w:hAnsi="Arial" w:cs="Arial"/>
          <w:color w:val="000000" w:themeColor="text1"/>
        </w:rPr>
        <w:t>ificultad para sentirse conectados con su entorno</w:t>
      </w:r>
      <w:r w:rsidRPr="00F92464">
        <w:rPr>
          <w:rFonts w:ascii="Arial" w:hAnsi="Arial" w:cs="Arial"/>
          <w:color w:val="000000" w:themeColor="text1"/>
        </w:rPr>
        <w:t>, donde</w:t>
      </w:r>
      <w:r w:rsidRPr="00F62F7F">
        <w:rPr>
          <w:rFonts w:ascii="Arial" w:hAnsi="Arial" w:cs="Arial"/>
          <w:color w:val="000000" w:themeColor="text1"/>
        </w:rPr>
        <w:t> </w:t>
      </w:r>
      <w:r w:rsidRPr="00F92464">
        <w:rPr>
          <w:rFonts w:ascii="Arial" w:hAnsi="Arial" w:cs="Arial"/>
          <w:color w:val="000000" w:themeColor="text1"/>
        </w:rPr>
        <w:t>l</w:t>
      </w:r>
      <w:r w:rsidRPr="00F62F7F">
        <w:rPr>
          <w:rFonts w:ascii="Arial" w:hAnsi="Arial" w:cs="Arial"/>
          <w:color w:val="000000" w:themeColor="text1"/>
        </w:rPr>
        <w:t>a persona puede tener dificultades para sentirse conectados con su comunidad, su cultura o su país.</w:t>
      </w:r>
    </w:p>
    <w:p w:rsidR="00F62F7F" w:rsidRPr="00F92464" w:rsidRDefault="00F62F7F" w:rsidP="009B34ED">
      <w:pPr>
        <w:spacing w:line="480" w:lineRule="auto"/>
        <w:rPr>
          <w:rFonts w:ascii="Arial" w:hAnsi="Arial" w:cs="Arial"/>
          <w:color w:val="000000" w:themeColor="text1"/>
        </w:rPr>
      </w:pPr>
    </w:p>
    <w:p w:rsidR="00E9249A" w:rsidRPr="00F92464" w:rsidRDefault="00E9249A" w:rsidP="009B34ED">
      <w:pPr>
        <w:spacing w:line="480" w:lineRule="auto"/>
        <w:rPr>
          <w:rFonts w:ascii="Arial" w:hAnsi="Arial" w:cs="Arial"/>
          <w:color w:val="000000" w:themeColor="text1"/>
        </w:rPr>
      </w:pPr>
      <w:r w:rsidRPr="00F92464">
        <w:rPr>
          <w:rFonts w:ascii="Arial" w:hAnsi="Arial" w:cs="Arial"/>
          <w:color w:val="000000" w:themeColor="text1"/>
        </w:rPr>
        <w:t xml:space="preserve">Además de </w:t>
      </w:r>
      <w:proofErr w:type="spellStart"/>
      <w:r w:rsidRPr="00F92464">
        <w:rPr>
          <w:rFonts w:ascii="Arial" w:hAnsi="Arial" w:cs="Arial"/>
          <w:color w:val="000000" w:themeColor="text1"/>
        </w:rPr>
        <w:t>lacrisis</w:t>
      </w:r>
      <w:proofErr w:type="spellEnd"/>
      <w:r w:rsidRPr="00F92464">
        <w:rPr>
          <w:rFonts w:ascii="Arial" w:hAnsi="Arial" w:cs="Arial"/>
          <w:color w:val="000000" w:themeColor="text1"/>
        </w:rPr>
        <w:t xml:space="preserve"> de pertenencia</w:t>
      </w:r>
      <w:r w:rsidR="00F14B69" w:rsidRPr="00F92464">
        <w:rPr>
          <w:rFonts w:ascii="Arial" w:hAnsi="Arial" w:cs="Arial"/>
          <w:color w:val="000000" w:themeColor="text1"/>
        </w:rPr>
        <w:t xml:space="preserve"> </w:t>
      </w:r>
      <w:r w:rsidRPr="00F92464">
        <w:rPr>
          <w:rFonts w:ascii="Arial" w:hAnsi="Arial" w:cs="Arial"/>
          <w:color w:val="000000" w:themeColor="text1"/>
        </w:rPr>
        <w:t>aparece la</w:t>
      </w:r>
      <w:r w:rsidRPr="00F92464">
        <w:rPr>
          <w:rFonts w:ascii="Arial" w:hAnsi="Arial" w:cs="Arial"/>
          <w:color w:val="000000" w:themeColor="text1"/>
        </w:rPr>
        <w:t xml:space="preserve"> exclusión social </w:t>
      </w:r>
      <w:r w:rsidRPr="00F92464">
        <w:rPr>
          <w:rFonts w:ascii="Arial" w:hAnsi="Arial" w:cs="Arial"/>
          <w:color w:val="000000" w:themeColor="text1"/>
        </w:rPr>
        <w:t>como</w:t>
      </w:r>
      <w:r w:rsidRPr="00F92464">
        <w:rPr>
          <w:rFonts w:ascii="Arial" w:hAnsi="Arial" w:cs="Arial"/>
          <w:color w:val="000000" w:themeColor="text1"/>
        </w:rPr>
        <w:t xml:space="preserve"> un fenómeno complejo que se caracteriza por la falta de participación de segmentos de la población en la vida cultural, económica y social de sus respectivas sociedades. </w:t>
      </w:r>
      <w:r w:rsidRPr="00F92464">
        <w:rPr>
          <w:rFonts w:ascii="Arial" w:hAnsi="Arial" w:cs="Arial"/>
          <w:color w:val="000000" w:themeColor="text1"/>
        </w:rPr>
        <w:t xml:space="preserve">LA </w:t>
      </w:r>
      <w:r w:rsidRPr="00F92464">
        <w:rPr>
          <w:rFonts w:ascii="Arial" w:hAnsi="Arial" w:cs="Arial"/>
          <w:color w:val="000000" w:themeColor="text1"/>
        </w:rPr>
        <w:t xml:space="preserve">falta de participación puede deberse a una variedad de factores, entre ellos la pobreza, la discriminación, la discapacidad o </w:t>
      </w:r>
      <w:r w:rsidRPr="00F92464">
        <w:rPr>
          <w:rFonts w:ascii="Arial" w:hAnsi="Arial" w:cs="Arial"/>
          <w:color w:val="000000" w:themeColor="text1"/>
        </w:rPr>
        <w:t xml:space="preserve">incluso </w:t>
      </w:r>
      <w:r w:rsidRPr="00F92464">
        <w:rPr>
          <w:rFonts w:ascii="Arial" w:hAnsi="Arial" w:cs="Arial"/>
          <w:color w:val="000000" w:themeColor="text1"/>
        </w:rPr>
        <w:t>la enfermedad mental.</w:t>
      </w:r>
    </w:p>
    <w:p w:rsidR="00E9249A" w:rsidRPr="00E9249A" w:rsidRDefault="00E9249A" w:rsidP="009B34ED">
      <w:pPr>
        <w:spacing w:line="480" w:lineRule="auto"/>
        <w:rPr>
          <w:rFonts w:ascii="Arial" w:hAnsi="Arial" w:cs="Arial"/>
          <w:color w:val="000000" w:themeColor="text1"/>
        </w:rPr>
      </w:pPr>
      <w:r w:rsidRPr="00E9249A">
        <w:rPr>
          <w:rFonts w:ascii="Arial" w:hAnsi="Arial" w:cs="Arial"/>
          <w:color w:val="000000" w:themeColor="text1"/>
        </w:rPr>
        <w:lastRenderedPageBreak/>
        <w:t>La exclusión social tiene una serie de consecuencias negativas, entre ellas el aumento de la pobreza, la desigualdad social y la delincuencia. También puede tener un impacto negativo en la salud física y mental de las personas.</w:t>
      </w:r>
    </w:p>
    <w:p w:rsidR="00E9249A" w:rsidRPr="00E9249A" w:rsidRDefault="00E9249A" w:rsidP="009B34ED">
      <w:pPr>
        <w:spacing w:line="480" w:lineRule="auto"/>
        <w:rPr>
          <w:rFonts w:ascii="Arial" w:hAnsi="Arial" w:cs="Arial"/>
          <w:color w:val="000000" w:themeColor="text1"/>
        </w:rPr>
      </w:pPr>
      <w:r w:rsidRPr="00E9249A">
        <w:rPr>
          <w:rFonts w:ascii="Arial" w:hAnsi="Arial" w:cs="Arial"/>
          <w:color w:val="000000" w:themeColor="text1"/>
        </w:rPr>
        <w:t>Para combatir la exclusión social es necesario abordar las causas que la originan.</w:t>
      </w:r>
      <w:r w:rsidR="006506E7">
        <w:rPr>
          <w:rStyle w:val="Refdenotaalfinal"/>
          <w:rFonts w:ascii="Arial" w:hAnsi="Arial" w:cs="Arial"/>
          <w:color w:val="000000" w:themeColor="text1"/>
        </w:rPr>
        <w:endnoteReference w:id="18"/>
      </w:r>
      <w:r w:rsidRPr="00E9249A">
        <w:rPr>
          <w:rFonts w:ascii="Arial" w:hAnsi="Arial" w:cs="Arial"/>
          <w:color w:val="000000" w:themeColor="text1"/>
        </w:rPr>
        <w:t xml:space="preserve"> Esto implica abordar la pobreza, la discriminación, la discapacidad, la enfermedad mental y otras causas que pueden conducir a la exclusión social.</w:t>
      </w:r>
    </w:p>
    <w:p w:rsidR="00F14B69" w:rsidRPr="00F92464" w:rsidRDefault="00F14B69" w:rsidP="009B34ED">
      <w:pPr>
        <w:spacing w:line="480" w:lineRule="auto"/>
        <w:rPr>
          <w:rFonts w:ascii="Arial" w:hAnsi="Arial" w:cs="Arial"/>
          <w:color w:val="000000" w:themeColor="text1"/>
        </w:rPr>
      </w:pPr>
      <w:r w:rsidRPr="006506E7">
        <w:rPr>
          <w:rFonts w:ascii="Arial" w:hAnsi="Arial" w:cs="Arial"/>
          <w:color w:val="000000" w:themeColor="text1"/>
        </w:rPr>
        <w:t>Finalmente, se explora la crisis de la cultura participativa</w:t>
      </w:r>
      <w:r w:rsidRPr="00F92464">
        <w:rPr>
          <w:rFonts w:ascii="Arial" w:hAnsi="Arial" w:cs="Arial"/>
          <w:color w:val="000000" w:themeColor="text1"/>
        </w:rPr>
        <w:t>, donde la solidaridad, responsabilidad y autoayuda se ven amenazadas por la pérdida de fe en la participación ciudadana.</w:t>
      </w:r>
      <w:r w:rsidR="006506E7">
        <w:rPr>
          <w:rStyle w:val="Refdenotaalfinal"/>
          <w:rFonts w:ascii="Arial" w:hAnsi="Arial" w:cs="Arial"/>
          <w:color w:val="000000" w:themeColor="text1"/>
        </w:rPr>
        <w:endnoteReference w:id="19"/>
      </w:r>
      <w:r w:rsidRPr="00F92464">
        <w:rPr>
          <w:rFonts w:ascii="Arial" w:hAnsi="Arial" w:cs="Arial"/>
          <w:color w:val="000000" w:themeColor="text1"/>
        </w:rPr>
        <w:t xml:space="preserve"> Se examinan acciones ciudadanas y modelos de participación social, subrayando el papel crucial del Estado en responder a las demandas sociales para prevenir la acción ciudadana.</w:t>
      </w:r>
      <w:r w:rsidR="00AC303A" w:rsidRPr="00F92464">
        <w:rPr>
          <w:rFonts w:ascii="Arial" w:hAnsi="Arial" w:cs="Arial"/>
          <w:color w:val="000000" w:themeColor="text1"/>
        </w:rPr>
        <w:t xml:space="preserve"> Podemos decir que la</w:t>
      </w:r>
      <w:r w:rsidR="00AC303A" w:rsidRPr="00F92464">
        <w:rPr>
          <w:rFonts w:ascii="Arial" w:hAnsi="Arial" w:cs="Arial"/>
          <w:color w:val="000000" w:themeColor="text1"/>
        </w:rPr>
        <w:t xml:space="preserve"> crisis de la cultura participativa es un fenómeno que se caracteriza por el declive de la participación ciudadana en la vida pública. Este declive tiene una serie de causas, entre ellas el individualismo, la desconfianza en las instituciones y la fragmentación social.</w:t>
      </w:r>
      <w:r w:rsidR="006506E7">
        <w:rPr>
          <w:rStyle w:val="Refdenotaalfinal"/>
          <w:rFonts w:ascii="Arial" w:hAnsi="Arial" w:cs="Arial"/>
          <w:color w:val="000000" w:themeColor="text1"/>
        </w:rPr>
        <w:endnoteReference w:id="20"/>
      </w:r>
      <w:r w:rsidR="00AC303A" w:rsidRPr="00F92464">
        <w:rPr>
          <w:rFonts w:ascii="Arial" w:hAnsi="Arial" w:cs="Arial"/>
          <w:color w:val="000000" w:themeColor="text1"/>
        </w:rPr>
        <w:t xml:space="preserve"> La crisis de la cultura participativa tiene una serie de consecuencias negativas, entre ellas el debilitamiento de la democracia, el aumento de la desigualdad social y el deterioro del medio ambiente. </w:t>
      </w:r>
    </w:p>
    <w:p w:rsidR="00F14B69" w:rsidRPr="00F92464" w:rsidRDefault="002022FD" w:rsidP="009B34ED">
      <w:pPr>
        <w:spacing w:line="480" w:lineRule="auto"/>
        <w:rPr>
          <w:rFonts w:ascii="Arial" w:hAnsi="Arial" w:cs="Arial"/>
          <w:color w:val="000000" w:themeColor="text1"/>
        </w:rPr>
      </w:pPr>
      <w:r w:rsidRPr="00F92464">
        <w:rPr>
          <w:rFonts w:ascii="Arial" w:hAnsi="Arial" w:cs="Arial"/>
          <w:color w:val="000000" w:themeColor="text1"/>
        </w:rPr>
        <w:t xml:space="preserve">Es cierto e innegable que vivimos en una sociedad con crisis de valores, donde la relatividad en todas las cosas a reemplazado las certezas y convicciones que permitían al hombre vivir con un sentido claro y un espíritu maduro en lo que se refiere a mantener una </w:t>
      </w:r>
      <w:r w:rsidR="00AC303A" w:rsidRPr="00F92464">
        <w:rPr>
          <w:rFonts w:ascii="Arial" w:hAnsi="Arial" w:cs="Arial"/>
          <w:color w:val="000000" w:themeColor="text1"/>
        </w:rPr>
        <w:t xml:space="preserve">cosmovisión </w:t>
      </w:r>
      <w:r w:rsidRPr="00F92464">
        <w:rPr>
          <w:rFonts w:ascii="Arial" w:hAnsi="Arial" w:cs="Arial"/>
          <w:color w:val="000000" w:themeColor="text1"/>
        </w:rPr>
        <w:t xml:space="preserve">de la vida. Prácticamente todo hoy en </w:t>
      </w:r>
      <w:r w:rsidR="00AC303A" w:rsidRPr="00F92464">
        <w:rPr>
          <w:rFonts w:ascii="Arial" w:hAnsi="Arial" w:cs="Arial"/>
          <w:color w:val="000000" w:themeColor="text1"/>
        </w:rPr>
        <w:t>día</w:t>
      </w:r>
      <w:r w:rsidRPr="00F92464">
        <w:rPr>
          <w:rFonts w:ascii="Arial" w:hAnsi="Arial" w:cs="Arial"/>
          <w:color w:val="000000" w:themeColor="text1"/>
        </w:rPr>
        <w:t xml:space="preserve"> se ha tornado falible, acomodable, relativo y desprovisto de propósitos claros.</w:t>
      </w:r>
      <w:r w:rsidR="006506E7">
        <w:rPr>
          <w:rStyle w:val="Refdenotaalfinal"/>
          <w:rFonts w:ascii="Arial" w:hAnsi="Arial" w:cs="Arial"/>
          <w:color w:val="000000" w:themeColor="text1"/>
        </w:rPr>
        <w:endnoteReference w:id="21"/>
      </w:r>
      <w:r w:rsidRPr="00F92464">
        <w:rPr>
          <w:rFonts w:ascii="Arial" w:hAnsi="Arial" w:cs="Arial"/>
          <w:color w:val="000000" w:themeColor="text1"/>
        </w:rPr>
        <w:t xml:space="preserve"> abordar</w:t>
      </w:r>
      <w:r w:rsidR="00F14B69" w:rsidRPr="00F92464">
        <w:rPr>
          <w:rFonts w:ascii="Arial" w:hAnsi="Arial" w:cs="Arial"/>
          <w:color w:val="000000" w:themeColor="text1"/>
        </w:rPr>
        <w:t xml:space="preserve"> </w:t>
      </w:r>
      <w:r w:rsidR="00B90434" w:rsidRPr="00F92464">
        <w:rPr>
          <w:rFonts w:ascii="Arial" w:hAnsi="Arial" w:cs="Arial"/>
          <w:color w:val="000000" w:themeColor="text1"/>
        </w:rPr>
        <w:t xml:space="preserve">de manera critica las </w:t>
      </w:r>
      <w:r w:rsidR="00F14B69" w:rsidRPr="00F92464">
        <w:rPr>
          <w:rFonts w:ascii="Arial" w:hAnsi="Arial" w:cs="Arial"/>
          <w:color w:val="000000" w:themeColor="text1"/>
        </w:rPr>
        <w:t xml:space="preserve">diversas crisis en valores, identidad, pertenencia, </w:t>
      </w:r>
      <w:r w:rsidR="00F14B69" w:rsidRPr="00F92464">
        <w:rPr>
          <w:rFonts w:ascii="Arial" w:hAnsi="Arial" w:cs="Arial"/>
          <w:color w:val="000000" w:themeColor="text1"/>
        </w:rPr>
        <w:lastRenderedPageBreak/>
        <w:t xml:space="preserve">exclusión social, política y cultura participativa, </w:t>
      </w:r>
      <w:r w:rsidRPr="00F92464">
        <w:rPr>
          <w:rFonts w:ascii="Arial" w:hAnsi="Arial" w:cs="Arial"/>
          <w:color w:val="000000" w:themeColor="text1"/>
        </w:rPr>
        <w:t>destaca</w:t>
      </w:r>
      <w:r w:rsidR="00F14B69" w:rsidRPr="00F92464">
        <w:rPr>
          <w:rFonts w:ascii="Arial" w:hAnsi="Arial" w:cs="Arial"/>
          <w:color w:val="000000" w:themeColor="text1"/>
        </w:rPr>
        <w:t xml:space="preserve"> la importancia de la acción conjunta del Estado y la sociedad civil para abordar estos desafíos.</w:t>
      </w:r>
    </w:p>
    <w:p w:rsidR="00F47C6D" w:rsidRPr="00F47C6D" w:rsidRDefault="00F47C6D" w:rsidP="009B34ED">
      <w:pPr>
        <w:spacing w:line="480" w:lineRule="auto"/>
        <w:rPr>
          <w:rFonts w:ascii="Arial" w:hAnsi="Arial" w:cs="Arial"/>
          <w:color w:val="000000" w:themeColor="text1"/>
        </w:rPr>
      </w:pPr>
      <w:r w:rsidRPr="00F47C6D">
        <w:rPr>
          <w:rFonts w:ascii="Arial" w:hAnsi="Arial" w:cs="Arial"/>
          <w:color w:val="000000" w:themeColor="text1"/>
        </w:rPr>
        <w:t>Una crisis de valores es una situación en la que los valores que se consideran fundamentales para una sociedad se cuestionan o pierden su vigencia. Esta crisis puede afectar a los valores individuales, como la honestidad, el respeto o la solidaridad, o a los valores sociales, como la justicia, la equidad o la paz.</w:t>
      </w:r>
    </w:p>
    <w:p w:rsidR="00F47C6D" w:rsidRPr="00F47C6D" w:rsidRDefault="00AC303A" w:rsidP="009B34ED">
      <w:pPr>
        <w:spacing w:line="480" w:lineRule="auto"/>
        <w:rPr>
          <w:rFonts w:ascii="Arial" w:hAnsi="Arial" w:cs="Arial"/>
          <w:color w:val="000000" w:themeColor="text1"/>
        </w:rPr>
      </w:pPr>
      <w:r w:rsidRPr="00F92464">
        <w:rPr>
          <w:rFonts w:ascii="Arial" w:hAnsi="Arial" w:cs="Arial"/>
          <w:color w:val="000000" w:themeColor="text1"/>
        </w:rPr>
        <w:t xml:space="preserve">Preguntémonos entonces, </w:t>
      </w:r>
      <w:r w:rsidR="00F47C6D" w:rsidRPr="00F47C6D">
        <w:rPr>
          <w:rFonts w:ascii="Arial" w:hAnsi="Arial" w:cs="Arial"/>
          <w:color w:val="000000" w:themeColor="text1"/>
        </w:rPr>
        <w:t>¿Cómo se originan las crisis de valores?</w:t>
      </w:r>
      <w:r w:rsidR="00B61D61">
        <w:rPr>
          <w:rStyle w:val="Refdenotaalfinal"/>
          <w:rFonts w:ascii="Arial" w:hAnsi="Arial" w:cs="Arial"/>
          <w:color w:val="000000" w:themeColor="text1"/>
        </w:rPr>
        <w:endnoteReference w:id="22"/>
      </w:r>
    </w:p>
    <w:p w:rsidR="00F47C6D" w:rsidRPr="00F47C6D" w:rsidRDefault="00F47C6D" w:rsidP="009B34ED">
      <w:pPr>
        <w:spacing w:line="480" w:lineRule="auto"/>
        <w:rPr>
          <w:rFonts w:ascii="Arial" w:hAnsi="Arial" w:cs="Arial"/>
          <w:color w:val="000000" w:themeColor="text1"/>
        </w:rPr>
      </w:pPr>
      <w:r w:rsidRPr="00F47C6D">
        <w:rPr>
          <w:rFonts w:ascii="Arial" w:hAnsi="Arial" w:cs="Arial"/>
          <w:color w:val="000000" w:themeColor="text1"/>
        </w:rPr>
        <w:t>Las crisis de valores pueden originarse por una serie de factores, entre ellos:</w:t>
      </w:r>
    </w:p>
    <w:p w:rsidR="00F47C6D" w:rsidRPr="00F47C6D" w:rsidRDefault="00F47C6D" w:rsidP="009B34ED">
      <w:pPr>
        <w:numPr>
          <w:ilvl w:val="0"/>
          <w:numId w:val="13"/>
        </w:numPr>
        <w:spacing w:line="480" w:lineRule="auto"/>
        <w:rPr>
          <w:rFonts w:ascii="Arial" w:hAnsi="Arial" w:cs="Arial"/>
          <w:color w:val="000000" w:themeColor="text1"/>
        </w:rPr>
      </w:pPr>
      <w:r w:rsidRPr="00F47C6D">
        <w:rPr>
          <w:rFonts w:ascii="Arial" w:hAnsi="Arial" w:cs="Arial"/>
          <w:color w:val="000000" w:themeColor="text1"/>
        </w:rPr>
        <w:t>Cambios sociales: Los cambios sociales, como la globalización, la tecnología o la migración, pueden provocar una crisis de valores al cuestionar los valores tradicionales.</w:t>
      </w:r>
    </w:p>
    <w:p w:rsidR="00F47C6D" w:rsidRPr="00F47C6D" w:rsidRDefault="00F47C6D" w:rsidP="009B34ED">
      <w:pPr>
        <w:numPr>
          <w:ilvl w:val="0"/>
          <w:numId w:val="13"/>
        </w:numPr>
        <w:spacing w:line="480" w:lineRule="auto"/>
        <w:rPr>
          <w:rFonts w:ascii="Arial" w:hAnsi="Arial" w:cs="Arial"/>
          <w:color w:val="000000" w:themeColor="text1"/>
        </w:rPr>
      </w:pPr>
      <w:r w:rsidRPr="00F47C6D">
        <w:rPr>
          <w:rFonts w:ascii="Arial" w:hAnsi="Arial" w:cs="Arial"/>
          <w:color w:val="000000" w:themeColor="text1"/>
        </w:rPr>
        <w:t>Conflictos políticos: Los conflictos políticos, como las guerras o las dictaduras, pueden destruir los valores democráticos y fomentar la violencia y la intolerancia.</w:t>
      </w:r>
    </w:p>
    <w:p w:rsidR="00F47C6D" w:rsidRPr="00F47C6D" w:rsidRDefault="00F47C6D" w:rsidP="009B34ED">
      <w:pPr>
        <w:numPr>
          <w:ilvl w:val="0"/>
          <w:numId w:val="13"/>
        </w:numPr>
        <w:spacing w:line="480" w:lineRule="auto"/>
        <w:rPr>
          <w:rFonts w:ascii="Arial" w:hAnsi="Arial" w:cs="Arial"/>
          <w:color w:val="000000" w:themeColor="text1"/>
        </w:rPr>
      </w:pPr>
      <w:r w:rsidRPr="00F47C6D">
        <w:rPr>
          <w:rFonts w:ascii="Arial" w:hAnsi="Arial" w:cs="Arial"/>
          <w:color w:val="000000" w:themeColor="text1"/>
        </w:rPr>
        <w:t>Desigualdad social: La desigualdad social puede generar una crisis de valores al crear un sentimiento de injusticia y frustración.</w:t>
      </w:r>
    </w:p>
    <w:p w:rsidR="00F47C6D" w:rsidRPr="00F47C6D" w:rsidRDefault="00F47C6D" w:rsidP="009B34ED">
      <w:pPr>
        <w:numPr>
          <w:ilvl w:val="0"/>
          <w:numId w:val="13"/>
        </w:numPr>
        <w:spacing w:line="480" w:lineRule="auto"/>
        <w:rPr>
          <w:rFonts w:ascii="Arial" w:hAnsi="Arial" w:cs="Arial"/>
          <w:color w:val="000000" w:themeColor="text1"/>
        </w:rPr>
      </w:pPr>
      <w:r w:rsidRPr="00F47C6D">
        <w:rPr>
          <w:rFonts w:ascii="Arial" w:hAnsi="Arial" w:cs="Arial"/>
          <w:color w:val="000000" w:themeColor="text1"/>
        </w:rPr>
        <w:t>Influencia de los medios de comunicación: Los medios de comunicación, a menudo, transmiten valores materialistas y hedonistas que pueden erosionar los valores tradicionales.</w:t>
      </w:r>
    </w:p>
    <w:p w:rsidR="00F47C6D" w:rsidRPr="00F47C6D" w:rsidRDefault="00AC303A" w:rsidP="009B34ED">
      <w:pPr>
        <w:spacing w:line="480" w:lineRule="auto"/>
        <w:rPr>
          <w:rFonts w:ascii="Arial" w:hAnsi="Arial" w:cs="Arial"/>
          <w:color w:val="000000" w:themeColor="text1"/>
        </w:rPr>
      </w:pPr>
      <w:r w:rsidRPr="00F92464">
        <w:rPr>
          <w:rFonts w:ascii="Arial" w:hAnsi="Arial" w:cs="Arial"/>
          <w:color w:val="000000" w:themeColor="text1"/>
        </w:rPr>
        <w:t xml:space="preserve">La crisis en los valores se ve reflejada  en la vida social </w:t>
      </w:r>
      <w:r w:rsidR="00F47C6D" w:rsidRPr="00F47C6D">
        <w:rPr>
          <w:rFonts w:ascii="Arial" w:hAnsi="Arial" w:cs="Arial"/>
          <w:color w:val="000000" w:themeColor="text1"/>
        </w:rPr>
        <w:t>como:</w:t>
      </w:r>
    </w:p>
    <w:p w:rsidR="00F47C6D" w:rsidRPr="00F47C6D" w:rsidRDefault="00F47C6D" w:rsidP="009B34ED">
      <w:pPr>
        <w:numPr>
          <w:ilvl w:val="0"/>
          <w:numId w:val="14"/>
        </w:numPr>
        <w:spacing w:line="480" w:lineRule="auto"/>
        <w:rPr>
          <w:rFonts w:ascii="Arial" w:hAnsi="Arial" w:cs="Arial"/>
          <w:color w:val="000000" w:themeColor="text1"/>
        </w:rPr>
      </w:pPr>
      <w:r w:rsidRPr="00F47C6D">
        <w:rPr>
          <w:rFonts w:ascii="Arial" w:hAnsi="Arial" w:cs="Arial"/>
          <w:color w:val="000000" w:themeColor="text1"/>
        </w:rPr>
        <w:t>La familia: La crisis de los valores puede provocar un aumento de la violencia doméstica, el divorcio y la delincuencia juvenil.</w:t>
      </w:r>
    </w:p>
    <w:p w:rsidR="00F47C6D" w:rsidRPr="00F47C6D" w:rsidRDefault="00F47C6D" w:rsidP="009B34ED">
      <w:pPr>
        <w:numPr>
          <w:ilvl w:val="0"/>
          <w:numId w:val="14"/>
        </w:numPr>
        <w:spacing w:line="480" w:lineRule="auto"/>
        <w:rPr>
          <w:rFonts w:ascii="Arial" w:hAnsi="Arial" w:cs="Arial"/>
          <w:color w:val="000000" w:themeColor="text1"/>
        </w:rPr>
      </w:pPr>
      <w:r w:rsidRPr="00F47C6D">
        <w:rPr>
          <w:rFonts w:ascii="Arial" w:hAnsi="Arial" w:cs="Arial"/>
          <w:color w:val="000000" w:themeColor="text1"/>
        </w:rPr>
        <w:t>La educación: La crisis de los valores puede dificultar la transmisión de valores a las nuevas generaciones.</w:t>
      </w:r>
    </w:p>
    <w:p w:rsidR="00F47C6D" w:rsidRPr="00F47C6D" w:rsidRDefault="00F47C6D" w:rsidP="009B34ED">
      <w:pPr>
        <w:numPr>
          <w:ilvl w:val="0"/>
          <w:numId w:val="14"/>
        </w:numPr>
        <w:spacing w:line="480" w:lineRule="auto"/>
        <w:rPr>
          <w:rFonts w:ascii="Arial" w:hAnsi="Arial" w:cs="Arial"/>
          <w:color w:val="000000" w:themeColor="text1"/>
        </w:rPr>
      </w:pPr>
      <w:r w:rsidRPr="00F47C6D">
        <w:rPr>
          <w:rFonts w:ascii="Arial" w:hAnsi="Arial" w:cs="Arial"/>
          <w:color w:val="000000" w:themeColor="text1"/>
        </w:rPr>
        <w:lastRenderedPageBreak/>
        <w:t>La política: La crisis de los valores puede favorecer la corrupción, el populismo y el autoritarismo.</w:t>
      </w:r>
    </w:p>
    <w:p w:rsidR="00F47C6D" w:rsidRPr="00F47C6D" w:rsidRDefault="00F47C6D" w:rsidP="009B34ED">
      <w:pPr>
        <w:numPr>
          <w:ilvl w:val="0"/>
          <w:numId w:val="14"/>
        </w:numPr>
        <w:spacing w:line="480" w:lineRule="auto"/>
        <w:rPr>
          <w:rFonts w:ascii="Arial" w:hAnsi="Arial" w:cs="Arial"/>
          <w:color w:val="000000" w:themeColor="text1"/>
        </w:rPr>
      </w:pPr>
      <w:r w:rsidRPr="00F47C6D">
        <w:rPr>
          <w:rFonts w:ascii="Arial" w:hAnsi="Arial" w:cs="Arial"/>
          <w:color w:val="000000" w:themeColor="text1"/>
        </w:rPr>
        <w:t>La economía: La crisis de los valores puede fomentar la especulación, la usura y la explotación laboral.</w:t>
      </w:r>
    </w:p>
    <w:p w:rsidR="00F47C6D" w:rsidRPr="00F47C6D" w:rsidRDefault="00F47C6D" w:rsidP="009B34ED">
      <w:pPr>
        <w:numPr>
          <w:ilvl w:val="0"/>
          <w:numId w:val="14"/>
        </w:numPr>
        <w:spacing w:line="480" w:lineRule="auto"/>
        <w:rPr>
          <w:rFonts w:ascii="Arial" w:hAnsi="Arial" w:cs="Arial"/>
          <w:color w:val="000000" w:themeColor="text1"/>
        </w:rPr>
      </w:pPr>
      <w:r w:rsidRPr="00F47C6D">
        <w:rPr>
          <w:rFonts w:ascii="Arial" w:hAnsi="Arial" w:cs="Arial"/>
          <w:color w:val="000000" w:themeColor="text1"/>
        </w:rPr>
        <w:t>El medio ambiente: La crisis de los valores puede provocar un aumento de la contaminación y la destrucción del medio ambiente.</w:t>
      </w:r>
    </w:p>
    <w:p w:rsidR="00F47C6D" w:rsidRPr="00F47C6D" w:rsidRDefault="00AC303A" w:rsidP="009B34ED">
      <w:pPr>
        <w:spacing w:line="480" w:lineRule="auto"/>
        <w:rPr>
          <w:rFonts w:ascii="Arial" w:hAnsi="Arial" w:cs="Arial"/>
          <w:color w:val="000000" w:themeColor="text1"/>
        </w:rPr>
      </w:pPr>
      <w:r w:rsidRPr="00F92464">
        <w:rPr>
          <w:rFonts w:ascii="Arial" w:hAnsi="Arial" w:cs="Arial"/>
          <w:color w:val="000000" w:themeColor="text1"/>
        </w:rPr>
        <w:t>Además l</w:t>
      </w:r>
      <w:r w:rsidR="00F47C6D" w:rsidRPr="00F47C6D">
        <w:rPr>
          <w:rFonts w:ascii="Arial" w:hAnsi="Arial" w:cs="Arial"/>
          <w:color w:val="000000" w:themeColor="text1"/>
        </w:rPr>
        <w:t>a falta de valores afecta negativamente al desarrollo educativo de una sociedad. Los valores son esenciales para el aprendizaje, ya que proporcionan un marco de referencia para la toma de decisiones y el comportamiento. Cuando los valores se pierden o se cuestionan, los estudiantes tienen más dificultades para aprender y desarrollarse como personas.</w:t>
      </w:r>
    </w:p>
    <w:p w:rsidR="00F47C6D" w:rsidRPr="00F92464" w:rsidRDefault="00F47C6D" w:rsidP="009B34ED">
      <w:pPr>
        <w:spacing w:line="480" w:lineRule="auto"/>
        <w:rPr>
          <w:rFonts w:ascii="Arial" w:hAnsi="Arial" w:cs="Arial"/>
          <w:color w:val="000000" w:themeColor="text1"/>
        </w:rPr>
      </w:pPr>
    </w:p>
    <w:p w:rsidR="00871151" w:rsidRPr="00F92464" w:rsidRDefault="00FD01F0" w:rsidP="009B34ED">
      <w:pPr>
        <w:spacing w:line="480" w:lineRule="auto"/>
        <w:rPr>
          <w:rFonts w:ascii="Arial" w:hAnsi="Arial" w:cs="Arial"/>
          <w:color w:val="000000" w:themeColor="text1"/>
          <w:sz w:val="20"/>
          <w:szCs w:val="20"/>
        </w:rPr>
      </w:pPr>
      <w:r w:rsidRPr="00B61D61">
        <w:rPr>
          <w:rFonts w:ascii="Arial" w:hAnsi="Arial" w:cs="Arial"/>
          <w:color w:val="000000" w:themeColor="text1"/>
        </w:rPr>
        <w:t xml:space="preserve">Tenemos además, a modo de reflexión crítica, </w:t>
      </w:r>
      <w:r w:rsidR="006E03D9" w:rsidRPr="00B61D61">
        <w:rPr>
          <w:rFonts w:ascii="Arial" w:hAnsi="Arial" w:cs="Arial"/>
          <w:color w:val="000000" w:themeColor="text1"/>
        </w:rPr>
        <w:t xml:space="preserve">la crítica al discurso científico pedagógico, </w:t>
      </w:r>
      <w:r w:rsidRPr="00B61D61">
        <w:rPr>
          <w:rFonts w:ascii="Arial" w:hAnsi="Arial" w:cs="Arial"/>
          <w:color w:val="000000" w:themeColor="text1"/>
        </w:rPr>
        <w:t xml:space="preserve">que </w:t>
      </w:r>
      <w:r w:rsidR="006E03D9" w:rsidRPr="00B61D61">
        <w:rPr>
          <w:rFonts w:ascii="Arial" w:hAnsi="Arial" w:cs="Arial"/>
          <w:color w:val="000000" w:themeColor="text1"/>
        </w:rPr>
        <w:t>explora conceptos como discurso,</w:t>
      </w:r>
      <w:r w:rsidR="006E03D9" w:rsidRPr="00F92464">
        <w:rPr>
          <w:rFonts w:ascii="Arial" w:hAnsi="Arial" w:cs="Arial"/>
          <w:color w:val="000000" w:themeColor="text1"/>
        </w:rPr>
        <w:t xml:space="preserve"> ciencia, paradigmas y tradiciones.</w:t>
      </w:r>
      <w:r w:rsidR="00B61D61">
        <w:rPr>
          <w:rStyle w:val="Refdenotaalfinal"/>
          <w:rFonts w:ascii="Arial" w:hAnsi="Arial" w:cs="Arial"/>
          <w:color w:val="000000" w:themeColor="text1"/>
        </w:rPr>
        <w:endnoteReference w:id="23"/>
      </w:r>
      <w:r w:rsidR="006E03D9" w:rsidRPr="00F92464">
        <w:rPr>
          <w:rFonts w:ascii="Arial" w:hAnsi="Arial" w:cs="Arial"/>
          <w:color w:val="000000" w:themeColor="text1"/>
        </w:rPr>
        <w:t xml:space="preserve"> Se destaca la influencia del contexto socio-cultural, histórico concreto y global en la transformación del proceso de enseñanza-aprendizaje. Además, se analiza la configuración de relaciones de dominio pedagógico y la centralidad de modelos culturales hegemónicos, así como los criterios de inclusión y exclusión de información. Se examina la relación entre Estado y censura educativa, resaltando la complejidad de la interacción entre poder, conocimiento y prácticas pedagógicas en el ámbito educativo.</w:t>
      </w:r>
      <w:r w:rsidR="00F12D4E">
        <w:rPr>
          <w:rStyle w:val="Refdenotaalfinal"/>
          <w:rFonts w:ascii="Arial" w:hAnsi="Arial" w:cs="Arial"/>
          <w:color w:val="000000" w:themeColor="text1"/>
        </w:rPr>
        <w:endnoteReference w:id="24"/>
      </w:r>
    </w:p>
    <w:p w:rsidR="00EB02A7" w:rsidRPr="00F92464" w:rsidRDefault="00F12D4E" w:rsidP="009B34ED">
      <w:pPr>
        <w:pStyle w:val="NormalWeb"/>
        <w:spacing w:line="480" w:lineRule="auto"/>
        <w:rPr>
          <w:rFonts w:ascii="Arial" w:hAnsi="Arial" w:cs="Arial"/>
          <w:color w:val="000000" w:themeColor="text1"/>
        </w:rPr>
      </w:pPr>
      <w:r>
        <w:rPr>
          <w:rFonts w:ascii="Arial" w:hAnsi="Arial" w:cs="Arial"/>
          <w:color w:val="000000" w:themeColor="text1"/>
        </w:rPr>
        <w:t>A</w:t>
      </w:r>
      <w:r w:rsidR="00EB02A7" w:rsidRPr="00F92464">
        <w:rPr>
          <w:rFonts w:ascii="Arial" w:hAnsi="Arial" w:cs="Arial"/>
          <w:color w:val="000000" w:themeColor="text1"/>
        </w:rPr>
        <w:t>demás</w:t>
      </w:r>
      <w:r w:rsidR="006E03D9" w:rsidRPr="00F92464">
        <w:rPr>
          <w:rFonts w:ascii="Arial" w:hAnsi="Arial" w:cs="Arial"/>
          <w:color w:val="000000" w:themeColor="text1"/>
        </w:rPr>
        <w:t xml:space="preserve"> se busca que el </w:t>
      </w:r>
      <w:r w:rsidR="00EB02A7" w:rsidRPr="00F92464">
        <w:rPr>
          <w:rFonts w:ascii="Arial" w:hAnsi="Arial" w:cs="Arial"/>
          <w:color w:val="000000" w:themeColor="text1"/>
        </w:rPr>
        <w:t>estudiante</w:t>
      </w:r>
      <w:r w:rsidR="006E03D9" w:rsidRPr="00F92464">
        <w:rPr>
          <w:rFonts w:ascii="Arial" w:hAnsi="Arial" w:cs="Arial"/>
          <w:color w:val="000000" w:themeColor="text1"/>
        </w:rPr>
        <w:t xml:space="preserve"> comprenda las críticas al discurso científico pedagógico. Se examinan elementos del proceso educativo, como el currículum y </w:t>
      </w:r>
      <w:r w:rsidR="006E03D9" w:rsidRPr="00F92464">
        <w:rPr>
          <w:rFonts w:ascii="Arial" w:hAnsi="Arial" w:cs="Arial"/>
          <w:color w:val="000000" w:themeColor="text1"/>
        </w:rPr>
        <w:lastRenderedPageBreak/>
        <w:t xml:space="preserve">su relación con el conocimiento. Se aborda la crítica histórica del discurso científico y pedagógico, explorando conceptos como </w:t>
      </w:r>
      <w:r w:rsidR="00EB02A7" w:rsidRPr="00F92464">
        <w:rPr>
          <w:rFonts w:ascii="Arial" w:hAnsi="Arial" w:cs="Arial"/>
          <w:color w:val="000000" w:themeColor="text1"/>
        </w:rPr>
        <w:t xml:space="preserve">el </w:t>
      </w:r>
      <w:r w:rsidR="006E03D9" w:rsidRPr="00F92464">
        <w:rPr>
          <w:rFonts w:ascii="Arial" w:hAnsi="Arial" w:cs="Arial"/>
          <w:color w:val="000000" w:themeColor="text1"/>
        </w:rPr>
        <w:t>discurso, ciencia, paradigmas y tradiciones. También se analiza la relación entre ciencia y poder, destacando la visión de Foucault sobre la ciencia monumental.</w:t>
      </w:r>
      <w:r w:rsidR="00673936">
        <w:rPr>
          <w:rStyle w:val="Refdenotaalfinal"/>
          <w:rFonts w:ascii="Arial" w:hAnsi="Arial" w:cs="Arial"/>
          <w:color w:val="000000" w:themeColor="text1"/>
        </w:rPr>
        <w:endnoteReference w:id="25"/>
      </w:r>
      <w:r w:rsidR="006E03D9" w:rsidRPr="00F92464">
        <w:rPr>
          <w:rFonts w:ascii="Arial" w:hAnsi="Arial" w:cs="Arial"/>
          <w:color w:val="000000" w:themeColor="text1"/>
        </w:rPr>
        <w:t xml:space="preserve"> Se explora el contexto socio-cultural </w:t>
      </w:r>
      <w:proofErr w:type="spellStart"/>
      <w:r w:rsidR="006E03D9" w:rsidRPr="00F92464">
        <w:rPr>
          <w:rFonts w:ascii="Arial" w:hAnsi="Arial" w:cs="Arial"/>
          <w:color w:val="000000" w:themeColor="text1"/>
        </w:rPr>
        <w:t>y</w:t>
      </w:r>
      <w:proofErr w:type="spellEnd"/>
      <w:r w:rsidR="006E03D9" w:rsidRPr="00F92464">
        <w:rPr>
          <w:rFonts w:ascii="Arial" w:hAnsi="Arial" w:cs="Arial"/>
          <w:color w:val="000000" w:themeColor="text1"/>
        </w:rPr>
        <w:t xml:space="preserve"> histórico, considerando la complejidad actual y desafíos educativos. Se abordan temas como globalización, modelos culturales hegemónicos, racionalidad y criterios de inclusión/exclusión. Finalmente, se examina el papel del Estado y la censura educativa en la configuración del discurso pedagógico.</w:t>
      </w:r>
      <w:r w:rsidR="0085162D">
        <w:rPr>
          <w:rStyle w:val="Refdenotaalfinal"/>
          <w:rFonts w:ascii="Arial" w:hAnsi="Arial" w:cs="Arial"/>
          <w:color w:val="000000" w:themeColor="text1"/>
        </w:rPr>
        <w:endnoteReference w:id="26"/>
      </w: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t>El discurso</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El discurso es un procedimiento que opera como una práctica estructurada y estructurante en un momento histórico. El término es anterior a lo lingüístico y lo extralingüístico es por lo tanto social por sus conexiones e implicaciones.</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Sobre el discurso actualmente se viene trabajando desde una perspectiva más amplia que se ha denominado como transdisciplinaria porque atraviesa las disciplinas, también se le llama como una nueva teoría social porque es válida para todas las ciencias sociales.</w:t>
      </w:r>
      <w:r w:rsidR="00932799">
        <w:rPr>
          <w:rStyle w:val="Refdenotaalfinal"/>
          <w:rFonts w:ascii="Arial" w:hAnsi="Arial" w:cs="Arial"/>
          <w:color w:val="000000" w:themeColor="text1"/>
        </w:rPr>
        <w:endnoteReference w:id="27"/>
      </w:r>
    </w:p>
    <w:p w:rsid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Esta característica transdisciplinaria o de teoría social es porque el lenguaje es común a todos las ciencias y por lo tanto este giro lingüístico es común a todas las disciplinas.</w:t>
      </w:r>
    </w:p>
    <w:p w:rsidR="00B61D61" w:rsidRPr="00EB02A7" w:rsidRDefault="00B61D61" w:rsidP="009B34ED">
      <w:pPr>
        <w:pStyle w:val="NormalWeb"/>
        <w:spacing w:line="480" w:lineRule="auto"/>
        <w:rPr>
          <w:rFonts w:ascii="Arial" w:hAnsi="Arial" w:cs="Arial"/>
          <w:color w:val="000000" w:themeColor="text1"/>
        </w:rPr>
      </w:pP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lastRenderedPageBreak/>
        <w:t>La ciencia</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 xml:space="preserve">La ciencia es una actividad que busca construir y sistematizar conocimientos </w:t>
      </w:r>
      <w:proofErr w:type="spellStart"/>
      <w:r w:rsidRPr="00EB02A7">
        <w:rPr>
          <w:rFonts w:ascii="Arial" w:hAnsi="Arial" w:cs="Arial"/>
          <w:color w:val="000000" w:themeColor="text1"/>
        </w:rPr>
        <w:t>mediantes</w:t>
      </w:r>
      <w:proofErr w:type="spellEnd"/>
      <w:r w:rsidRPr="00EB02A7">
        <w:rPr>
          <w:rFonts w:ascii="Arial" w:hAnsi="Arial" w:cs="Arial"/>
          <w:color w:val="000000" w:themeColor="text1"/>
        </w:rPr>
        <w:t xml:space="preserve"> diferentes procedimientos o metodologías.</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La ciencia tiene como función principal la de resolver problemas y también busca explicar cómo funciona la realidad; lo que la lleva también a criticar la realidad y buscar su transformación.</w:t>
      </w:r>
      <w:r w:rsidR="00932799">
        <w:rPr>
          <w:rStyle w:val="Refdenotaalfinal"/>
          <w:rFonts w:ascii="Arial" w:hAnsi="Arial" w:cs="Arial"/>
          <w:color w:val="000000" w:themeColor="text1"/>
        </w:rPr>
        <w:endnoteReference w:id="28"/>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 xml:space="preserve">La ciencia se ha visto dividida en varias clasificaciones dependiendo de sus objetos de estudio y de sus metodologías, pero sobre las diferencias lo </w:t>
      </w:r>
      <w:proofErr w:type="spellStart"/>
      <w:r w:rsidRPr="00EB02A7">
        <w:rPr>
          <w:rFonts w:ascii="Arial" w:hAnsi="Arial" w:cs="Arial"/>
          <w:color w:val="000000" w:themeColor="text1"/>
        </w:rPr>
        <w:t>importan</w:t>
      </w:r>
      <w:r w:rsidR="005B77C3" w:rsidRPr="00F92464">
        <w:rPr>
          <w:rFonts w:ascii="Arial" w:hAnsi="Arial" w:cs="Arial"/>
          <w:color w:val="000000" w:themeColor="text1"/>
        </w:rPr>
        <w:t>t</w:t>
      </w:r>
      <w:proofErr w:type="spellEnd"/>
      <w:r w:rsidRPr="00EB02A7">
        <w:rPr>
          <w:rFonts w:ascii="Arial" w:hAnsi="Arial" w:cs="Arial"/>
          <w:color w:val="000000" w:themeColor="text1"/>
        </w:rPr>
        <w:t xml:space="preserve"> a señalar es que se establecen diferentes procedimientos sobre el discurso científico.</w:t>
      </w: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t>El conocimiento científico</w:t>
      </w:r>
    </w:p>
    <w:p w:rsidR="00B61D61"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El conocimiento científico tiene varios niveles dependiendo de la manera en la que se proceda. Es en las diferentes maneras de proceder que este conocimiento se apoya en paradigmas o tradiciones</w:t>
      </w:r>
      <w:r w:rsidR="005B77C3" w:rsidRPr="00F92464">
        <w:rPr>
          <w:rFonts w:ascii="Arial" w:hAnsi="Arial" w:cs="Arial"/>
          <w:color w:val="000000" w:themeColor="text1"/>
        </w:rPr>
        <w:t xml:space="preserve"> que s</w:t>
      </w:r>
      <w:r w:rsidRPr="00EB02A7">
        <w:rPr>
          <w:rFonts w:ascii="Arial" w:hAnsi="Arial" w:cs="Arial"/>
          <w:color w:val="000000" w:themeColor="text1"/>
        </w:rPr>
        <w:t>on modelos explicativos que se mantienen o tienen éxito en la medida que funcionan como forma pre-establecidas (modelos) de explicación.</w:t>
      </w:r>
      <w:r w:rsidR="00932799">
        <w:rPr>
          <w:rStyle w:val="Refdenotaalfinal"/>
          <w:rFonts w:ascii="Arial" w:hAnsi="Arial" w:cs="Arial"/>
          <w:color w:val="000000" w:themeColor="text1"/>
        </w:rPr>
        <w:endnoteReference w:id="29"/>
      </w:r>
      <w:r w:rsidR="005B77C3" w:rsidRPr="00F92464">
        <w:rPr>
          <w:rFonts w:ascii="Arial" w:hAnsi="Arial" w:cs="Arial"/>
          <w:color w:val="000000" w:themeColor="text1"/>
        </w:rPr>
        <w:t xml:space="preserve"> Y por otro lado las tradiciones s</w:t>
      </w:r>
      <w:r w:rsidRPr="00EB02A7">
        <w:rPr>
          <w:rFonts w:ascii="Arial" w:hAnsi="Arial" w:cs="Arial"/>
          <w:color w:val="000000" w:themeColor="text1"/>
        </w:rPr>
        <w:t xml:space="preserve">on líneas de investigación compartidas por parte de quienes se adhieren. En la medida en que se adhieren y comparten el </w:t>
      </w:r>
      <w:r w:rsidR="005B77C3" w:rsidRPr="00F92464">
        <w:rPr>
          <w:rFonts w:ascii="Arial" w:hAnsi="Arial" w:cs="Arial"/>
          <w:color w:val="000000" w:themeColor="text1"/>
        </w:rPr>
        <w:t>perspectiva</w:t>
      </w:r>
      <w:r w:rsidRPr="00EB02A7">
        <w:rPr>
          <w:rFonts w:ascii="Arial" w:hAnsi="Arial" w:cs="Arial"/>
          <w:color w:val="000000" w:themeColor="text1"/>
        </w:rPr>
        <w:t xml:space="preserve"> es que se convierten en tradiciones que se continúan.</w:t>
      </w:r>
    </w:p>
    <w:p w:rsidR="00932799" w:rsidRPr="00EB02A7" w:rsidRDefault="00932799" w:rsidP="009B34ED">
      <w:pPr>
        <w:pStyle w:val="NormalWeb"/>
        <w:spacing w:line="480" w:lineRule="auto"/>
        <w:rPr>
          <w:rFonts w:ascii="Arial" w:hAnsi="Arial" w:cs="Arial"/>
          <w:color w:val="000000" w:themeColor="text1"/>
        </w:rPr>
      </w:pP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lastRenderedPageBreak/>
        <w:t>Ciencia e imposición</w:t>
      </w:r>
      <w:r w:rsidR="00B61D61">
        <w:rPr>
          <w:rFonts w:ascii="Arial" w:hAnsi="Arial" w:cs="Arial"/>
          <w:b/>
          <w:bCs/>
          <w:color w:val="000000" w:themeColor="text1"/>
        </w:rPr>
        <w:t>.</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¿La ciencia es un campo de poder? Ciertamente, pero lo importante es determinar hasta qué punto o en qué grado el poder compromete a la ciencia o cómo se compromete la ciencia con el poder.</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Existe una larga historia sobre la relación entre ciencia y poder pero en el pasado siglo destacan los trabajos de Karl Popper, de Max Horkheimer y T.W. Adorno, Jürgen Habermas (de la Escuela de Frankfurt) y de Mario Bunge, en el ámbito latinoamericano. En general esta discusión es abordada ampliamente por la epistemología y la teoría del conocimiento.</w:t>
      </w: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t>Foucault y la Ciencia monumental</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 xml:space="preserve">Michel Foucault </w:t>
      </w:r>
      <w:r w:rsidR="005B77C3" w:rsidRPr="00F92464">
        <w:rPr>
          <w:rFonts w:ascii="Arial" w:hAnsi="Arial" w:cs="Arial"/>
          <w:color w:val="000000" w:themeColor="text1"/>
        </w:rPr>
        <w:t>declaró</w:t>
      </w:r>
      <w:r w:rsidRPr="00EB02A7">
        <w:rPr>
          <w:rFonts w:ascii="Arial" w:hAnsi="Arial" w:cs="Arial"/>
          <w:color w:val="000000" w:themeColor="text1"/>
        </w:rPr>
        <w:t xml:space="preserve"> que la ciencia moderna se había convertido en una ciencia monumental que buscaba establecer líneas o genealogías de poder con las siguientes características:</w:t>
      </w:r>
      <w:r w:rsidR="004D502D">
        <w:rPr>
          <w:rStyle w:val="Refdenotaalfinal"/>
          <w:rFonts w:ascii="Arial" w:hAnsi="Arial" w:cs="Arial"/>
          <w:color w:val="000000" w:themeColor="text1"/>
        </w:rPr>
        <w:endnoteReference w:id="30"/>
      </w:r>
    </w:p>
    <w:p w:rsidR="00EB02A7" w:rsidRPr="00EB02A7" w:rsidRDefault="00EB02A7" w:rsidP="009B34ED">
      <w:pPr>
        <w:pStyle w:val="NormalWeb"/>
        <w:numPr>
          <w:ilvl w:val="0"/>
          <w:numId w:val="17"/>
        </w:numPr>
        <w:spacing w:line="480" w:lineRule="auto"/>
        <w:rPr>
          <w:rFonts w:ascii="Arial" w:hAnsi="Arial" w:cs="Arial"/>
          <w:color w:val="000000" w:themeColor="text1"/>
        </w:rPr>
      </w:pPr>
      <w:r w:rsidRPr="00EB02A7">
        <w:rPr>
          <w:rFonts w:ascii="Arial" w:hAnsi="Arial" w:cs="Arial"/>
          <w:color w:val="000000" w:themeColor="text1"/>
        </w:rPr>
        <w:t>La ciencia se establece como un discurso de poder e imposición.</w:t>
      </w:r>
    </w:p>
    <w:p w:rsidR="00EB02A7" w:rsidRPr="00EB02A7" w:rsidRDefault="00EB02A7" w:rsidP="009B34ED">
      <w:pPr>
        <w:pStyle w:val="NormalWeb"/>
        <w:numPr>
          <w:ilvl w:val="0"/>
          <w:numId w:val="17"/>
        </w:numPr>
        <w:spacing w:line="480" w:lineRule="auto"/>
        <w:rPr>
          <w:rFonts w:ascii="Arial" w:hAnsi="Arial" w:cs="Arial"/>
          <w:color w:val="000000" w:themeColor="text1"/>
        </w:rPr>
      </w:pPr>
      <w:r w:rsidRPr="00EB02A7">
        <w:rPr>
          <w:rFonts w:ascii="Arial" w:hAnsi="Arial" w:cs="Arial"/>
          <w:color w:val="000000" w:themeColor="text1"/>
        </w:rPr>
        <w:t>Hay genealogías y exclusión de aquello que no se considera ciencia.</w:t>
      </w:r>
    </w:p>
    <w:p w:rsidR="00EB02A7" w:rsidRPr="00EB02A7" w:rsidRDefault="00EB02A7" w:rsidP="009B34ED">
      <w:pPr>
        <w:pStyle w:val="NormalWeb"/>
        <w:numPr>
          <w:ilvl w:val="0"/>
          <w:numId w:val="17"/>
        </w:numPr>
        <w:spacing w:line="480" w:lineRule="auto"/>
        <w:rPr>
          <w:rFonts w:ascii="Arial" w:hAnsi="Arial" w:cs="Arial"/>
          <w:color w:val="000000" w:themeColor="text1"/>
        </w:rPr>
      </w:pPr>
      <w:r w:rsidRPr="00EB02A7">
        <w:rPr>
          <w:rFonts w:ascii="Arial" w:hAnsi="Arial" w:cs="Arial"/>
          <w:color w:val="000000" w:themeColor="text1"/>
        </w:rPr>
        <w:t>Se magnifica a la ciencia y se le adora como un monumento irrefutable.</w:t>
      </w: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t>La pedagogía y el discurso</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La pedagogía es una disciplina que se caracteriza por dedicarse a estudiar los caminos o discursos de la educación y sus instituciones, por lo tanto es una disciplina que se encuentra en una confrontación constante.</w:t>
      </w:r>
      <w:r w:rsidR="004D502D">
        <w:rPr>
          <w:rStyle w:val="Refdenotaalfinal"/>
          <w:rFonts w:ascii="Arial" w:hAnsi="Arial" w:cs="Arial"/>
          <w:color w:val="000000" w:themeColor="text1"/>
        </w:rPr>
        <w:endnoteReference w:id="31"/>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lastRenderedPageBreak/>
        <w:t>Las críticas y confrontaciones nos llevan a formular las siguientes preguntas:</w:t>
      </w:r>
    </w:p>
    <w:p w:rsidR="00EB02A7" w:rsidRPr="00EB02A7" w:rsidRDefault="00EB02A7" w:rsidP="009B34ED">
      <w:pPr>
        <w:pStyle w:val="NormalWeb"/>
        <w:numPr>
          <w:ilvl w:val="0"/>
          <w:numId w:val="18"/>
        </w:numPr>
        <w:spacing w:line="480" w:lineRule="auto"/>
        <w:rPr>
          <w:rFonts w:ascii="Arial" w:hAnsi="Arial" w:cs="Arial"/>
          <w:color w:val="000000" w:themeColor="text1"/>
        </w:rPr>
      </w:pPr>
      <w:r w:rsidRPr="00EB02A7">
        <w:rPr>
          <w:rFonts w:ascii="Arial" w:hAnsi="Arial" w:cs="Arial"/>
          <w:color w:val="000000" w:themeColor="text1"/>
        </w:rPr>
        <w:t>¿La educación reproduce fenómenos de poder?</w:t>
      </w:r>
    </w:p>
    <w:p w:rsidR="00EB02A7" w:rsidRPr="00EB02A7" w:rsidRDefault="00EB02A7" w:rsidP="009B34ED">
      <w:pPr>
        <w:pStyle w:val="NormalWeb"/>
        <w:numPr>
          <w:ilvl w:val="0"/>
          <w:numId w:val="18"/>
        </w:numPr>
        <w:spacing w:line="480" w:lineRule="auto"/>
        <w:rPr>
          <w:rFonts w:ascii="Arial" w:hAnsi="Arial" w:cs="Arial"/>
          <w:color w:val="000000" w:themeColor="text1"/>
        </w:rPr>
      </w:pPr>
      <w:r w:rsidRPr="00EB02A7">
        <w:rPr>
          <w:rFonts w:ascii="Arial" w:hAnsi="Arial" w:cs="Arial"/>
          <w:color w:val="000000" w:themeColor="text1"/>
        </w:rPr>
        <w:t>¿La pedagogía sirve a intereses de clase?</w:t>
      </w:r>
    </w:p>
    <w:p w:rsidR="00EB02A7" w:rsidRPr="00EB02A7" w:rsidRDefault="00EB02A7" w:rsidP="009B34ED">
      <w:pPr>
        <w:pStyle w:val="NormalWeb"/>
        <w:spacing w:line="480" w:lineRule="auto"/>
        <w:rPr>
          <w:rFonts w:ascii="Arial" w:hAnsi="Arial" w:cs="Arial"/>
          <w:b/>
          <w:bCs/>
          <w:color w:val="000000" w:themeColor="text1"/>
        </w:rPr>
      </w:pPr>
      <w:r w:rsidRPr="00EB02A7">
        <w:rPr>
          <w:rFonts w:ascii="Arial" w:hAnsi="Arial" w:cs="Arial"/>
          <w:b/>
          <w:bCs/>
          <w:color w:val="000000" w:themeColor="text1"/>
        </w:rPr>
        <w:t>Histórica del discurso científico y pedagógico</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“La Historia es escrita por lo vencedores”, esta es una máxima histórica que constantemente hemos escuchado al estudiar la Historia, pero la Historia sólo registra aquello que le es importante y también se dedica a examinar también aquello que se dice y lo que no se ha dicho, por lo tanto es una disciplina autocrítica.</w:t>
      </w:r>
    </w:p>
    <w:p w:rsidR="00EB02A7" w:rsidRPr="00EB02A7" w:rsidRDefault="00EB02A7" w:rsidP="009B34ED">
      <w:pPr>
        <w:pStyle w:val="NormalWeb"/>
        <w:spacing w:line="480" w:lineRule="auto"/>
        <w:rPr>
          <w:rFonts w:ascii="Arial" w:hAnsi="Arial" w:cs="Arial"/>
          <w:color w:val="000000" w:themeColor="text1"/>
        </w:rPr>
      </w:pPr>
      <w:r w:rsidRPr="00EB02A7">
        <w:rPr>
          <w:rFonts w:ascii="Arial" w:hAnsi="Arial" w:cs="Arial"/>
          <w:color w:val="000000" w:themeColor="text1"/>
        </w:rPr>
        <w:t>Algunas características del análisis del discurso científico y pedagógico son las siguientes:</w:t>
      </w:r>
    </w:p>
    <w:p w:rsidR="00EB02A7" w:rsidRPr="00EB02A7" w:rsidRDefault="00EB02A7" w:rsidP="009B34ED">
      <w:pPr>
        <w:pStyle w:val="NormalWeb"/>
        <w:numPr>
          <w:ilvl w:val="0"/>
          <w:numId w:val="19"/>
        </w:numPr>
        <w:spacing w:line="480" w:lineRule="auto"/>
        <w:rPr>
          <w:rFonts w:ascii="Arial" w:hAnsi="Arial" w:cs="Arial"/>
          <w:color w:val="000000" w:themeColor="text1"/>
        </w:rPr>
      </w:pPr>
      <w:r w:rsidRPr="00EB02A7">
        <w:rPr>
          <w:rFonts w:ascii="Arial" w:hAnsi="Arial" w:cs="Arial"/>
          <w:color w:val="000000" w:themeColor="text1"/>
        </w:rPr>
        <w:t>La historia de la ciencia es diferente a la historia de sus prácticas.</w:t>
      </w:r>
    </w:p>
    <w:p w:rsidR="00EB02A7" w:rsidRPr="00EB02A7" w:rsidRDefault="00EB02A7" w:rsidP="009B34ED">
      <w:pPr>
        <w:pStyle w:val="NormalWeb"/>
        <w:numPr>
          <w:ilvl w:val="0"/>
          <w:numId w:val="19"/>
        </w:numPr>
        <w:spacing w:line="480" w:lineRule="auto"/>
        <w:rPr>
          <w:rFonts w:ascii="Arial" w:hAnsi="Arial" w:cs="Arial"/>
          <w:color w:val="000000" w:themeColor="text1"/>
        </w:rPr>
      </w:pPr>
      <w:r w:rsidRPr="00EB02A7">
        <w:rPr>
          <w:rFonts w:ascii="Arial" w:hAnsi="Arial" w:cs="Arial"/>
          <w:color w:val="000000" w:themeColor="text1"/>
        </w:rPr>
        <w:t>La práctica de la ciencia como tal puede ser un discurso científico pero también es ideológico.</w:t>
      </w:r>
    </w:p>
    <w:p w:rsidR="00EB02A7" w:rsidRPr="00EB02A7" w:rsidRDefault="00EB02A7" w:rsidP="009B34ED">
      <w:pPr>
        <w:pStyle w:val="NormalWeb"/>
        <w:numPr>
          <w:ilvl w:val="0"/>
          <w:numId w:val="19"/>
        </w:numPr>
        <w:spacing w:line="480" w:lineRule="auto"/>
        <w:rPr>
          <w:rFonts w:ascii="Arial" w:hAnsi="Arial" w:cs="Arial"/>
          <w:color w:val="000000" w:themeColor="text1"/>
        </w:rPr>
      </w:pPr>
      <w:r w:rsidRPr="00EB02A7">
        <w:rPr>
          <w:rFonts w:ascii="Arial" w:hAnsi="Arial" w:cs="Arial"/>
          <w:color w:val="000000" w:themeColor="text1"/>
        </w:rPr>
        <w:t>La pedagogía y la ciencia deben auto-examinarse para ser conscientes de su discurso.</w:t>
      </w:r>
    </w:p>
    <w:p w:rsidR="00EB02A7" w:rsidRPr="00F92464" w:rsidRDefault="00255035" w:rsidP="009B34ED">
      <w:pPr>
        <w:pStyle w:val="NormalWeb"/>
        <w:spacing w:line="480" w:lineRule="auto"/>
        <w:rPr>
          <w:rFonts w:ascii="Arial" w:hAnsi="Arial" w:cs="Arial"/>
          <w:color w:val="000000" w:themeColor="text1"/>
        </w:rPr>
      </w:pPr>
      <w:r w:rsidRPr="00F92464">
        <w:rPr>
          <w:rFonts w:ascii="Arial" w:hAnsi="Arial" w:cs="Arial"/>
          <w:color w:val="000000" w:themeColor="text1"/>
        </w:rPr>
        <w:t>El discurso científico y pedagógico es una práctica social que está atravesada por relaciones de poder.</w:t>
      </w:r>
      <w:r w:rsidR="004D502D">
        <w:rPr>
          <w:rStyle w:val="Refdenotaalfinal"/>
          <w:rFonts w:ascii="Arial" w:hAnsi="Arial" w:cs="Arial"/>
          <w:color w:val="000000" w:themeColor="text1"/>
        </w:rPr>
        <w:endnoteReference w:id="32"/>
      </w:r>
      <w:r w:rsidRPr="00F92464">
        <w:rPr>
          <w:rFonts w:ascii="Arial" w:hAnsi="Arial" w:cs="Arial"/>
          <w:color w:val="000000" w:themeColor="text1"/>
        </w:rPr>
        <w:t xml:space="preserve"> La ciencia y la pedagogía, como discursos, pueden ser utilizados para legitimar intereses políticos y económicos. Por ello, es importante que sean autocríticos y reflexivos, cuestionando sus propios fundamentos y prácticas, y abriéndose a la pluralidad de perspectivas.</w:t>
      </w:r>
    </w:p>
    <w:p w:rsidR="009F2D6B" w:rsidRPr="009F2D6B" w:rsidRDefault="00602649" w:rsidP="009B34ED">
      <w:pPr>
        <w:pStyle w:val="NormalWeb"/>
        <w:spacing w:line="480" w:lineRule="auto"/>
        <w:rPr>
          <w:rFonts w:ascii="Arial" w:hAnsi="Arial" w:cs="Arial"/>
          <w:color w:val="000000" w:themeColor="text1"/>
        </w:rPr>
      </w:pPr>
      <w:r w:rsidRPr="00F92464">
        <w:rPr>
          <w:rFonts w:ascii="Arial" w:hAnsi="Arial" w:cs="Arial"/>
          <w:color w:val="000000" w:themeColor="text1"/>
        </w:rPr>
        <w:lastRenderedPageBreak/>
        <w:t>Por otro lado, l</w:t>
      </w:r>
      <w:r w:rsidR="009F2D6B" w:rsidRPr="009F2D6B">
        <w:rPr>
          <w:rFonts w:ascii="Arial" w:hAnsi="Arial" w:cs="Arial"/>
          <w:color w:val="000000" w:themeColor="text1"/>
        </w:rPr>
        <w:t xml:space="preserve">a </w:t>
      </w:r>
      <w:r w:rsidR="009F2D6B" w:rsidRPr="00F92464">
        <w:rPr>
          <w:rFonts w:ascii="Arial" w:hAnsi="Arial" w:cs="Arial"/>
          <w:color w:val="000000" w:themeColor="text1"/>
        </w:rPr>
        <w:t>unidad</w:t>
      </w:r>
      <w:r w:rsidR="009F2D6B" w:rsidRPr="009F2D6B">
        <w:rPr>
          <w:rFonts w:ascii="Arial" w:hAnsi="Arial" w:cs="Arial"/>
          <w:color w:val="000000" w:themeColor="text1"/>
        </w:rPr>
        <w:t xml:space="preserve"> "De las teorías tradicionales de la educación", tiene como objetivo principal proporcionar una comprensión profunda de los fundamentos inherentes a las teorías educativas tradicionales.</w:t>
      </w:r>
      <w:r w:rsidR="004D502D">
        <w:rPr>
          <w:rStyle w:val="Refdenotaalfinal"/>
          <w:rFonts w:ascii="Arial" w:hAnsi="Arial" w:cs="Arial"/>
          <w:color w:val="000000" w:themeColor="text1"/>
        </w:rPr>
        <w:endnoteReference w:id="33"/>
      </w:r>
      <w:r w:rsidR="009F2D6B" w:rsidRPr="009F2D6B">
        <w:rPr>
          <w:rFonts w:ascii="Arial" w:hAnsi="Arial" w:cs="Arial"/>
          <w:color w:val="000000" w:themeColor="text1"/>
        </w:rPr>
        <w:t xml:space="preserve"> La intención subyacente es sentar las bases conceptuales necesarias para posteriores ejercicios en la materia. La naturaleza intrínseca de esta unidad es tanto descriptiva como crítica, abordando críticamente las características fundamentales de la teoría tradicional de la educación.</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 xml:space="preserve">La Fundamentación en el Qué y Cómo: La Teoría Tradicional de la Educación </w:t>
      </w:r>
      <w:r w:rsidRPr="00F92464">
        <w:rPr>
          <w:rFonts w:ascii="Arial" w:hAnsi="Arial" w:cs="Arial"/>
          <w:color w:val="000000" w:themeColor="text1"/>
        </w:rPr>
        <w:t xml:space="preserve">está </w:t>
      </w:r>
      <w:r w:rsidRPr="009F2D6B">
        <w:rPr>
          <w:rFonts w:ascii="Arial" w:hAnsi="Arial" w:cs="Arial"/>
          <w:color w:val="000000" w:themeColor="text1"/>
        </w:rPr>
        <w:t>enraizada en una larga tradición que se remonta a los albores de la civilización, se caracteriza por suponer un estado receptivo, centrarse en la enseñanza y reproducir el conocimiento. Aunque sus rasgos, como las clases frontales, la ausencia de Tecnologías de la Información y Comunicación (</w:t>
      </w:r>
      <w:proofErr w:type="spellStart"/>
      <w:r w:rsidRPr="009F2D6B">
        <w:rPr>
          <w:rFonts w:ascii="Arial" w:hAnsi="Arial" w:cs="Arial"/>
          <w:color w:val="000000" w:themeColor="text1"/>
        </w:rPr>
        <w:t>TICs</w:t>
      </w:r>
      <w:proofErr w:type="spellEnd"/>
      <w:r w:rsidRPr="009F2D6B">
        <w:rPr>
          <w:rFonts w:ascii="Arial" w:hAnsi="Arial" w:cs="Arial"/>
          <w:color w:val="000000" w:themeColor="text1"/>
        </w:rPr>
        <w:t>), la figura del maestro como modelo, y su enfoque repetitivo y memorístico, eran comunes hasta mediados del siglo XX, se ha producido una transformación significativa posteriormente.</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El Qué: La educación tradicional persiste en centrarse en los contenidos en lugar de capacidades o competencias, manteniendo su relevancia en la actualidad a pesar de contradicciones evidentes con otros modelos educativos.</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 xml:space="preserve">El Cómo: La enseñanza ocupa un lugar central en el modelo tradicional, donde se prioriza la didáctica y se enfoca en el estudiante como receptor, no como </w:t>
      </w:r>
      <w:r w:rsidR="00602649" w:rsidRPr="00F92464">
        <w:rPr>
          <w:rFonts w:ascii="Arial" w:hAnsi="Arial" w:cs="Arial"/>
          <w:color w:val="000000" w:themeColor="text1"/>
        </w:rPr>
        <w:t>quien aprende</w:t>
      </w:r>
      <w:r w:rsidRPr="009F2D6B">
        <w:rPr>
          <w:rFonts w:ascii="Arial" w:hAnsi="Arial" w:cs="Arial"/>
          <w:color w:val="000000" w:themeColor="text1"/>
        </w:rPr>
        <w:t>.</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lastRenderedPageBreak/>
        <w:t>El Porqué: La falta de consideración del por qué en la educación tradicional se atribuye a una práctica a menudo irreflexiva arraigada en la costumbre, ideología y estructuras de poder que imponen un orden internalizado sin cuestionamiento.</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b/>
          <w:bCs/>
          <w:color w:val="000000" w:themeColor="text1"/>
        </w:rPr>
        <w:t>La Organización como Científica, Desinteresada y Técnica:</w:t>
      </w:r>
      <w:r w:rsidRPr="009F2D6B">
        <w:rPr>
          <w:rFonts w:ascii="Arial" w:hAnsi="Arial" w:cs="Arial"/>
          <w:color w:val="000000" w:themeColor="text1"/>
        </w:rPr>
        <w:t xml:space="preserve"> El mito educativo sugiere la separación ideal entre educación y poder, aunque en la práctica, ambas coexisten y la educación a menudo reproduce condiciones de poder. La educación se revela como una práctica social que responde a intereses de poder y se inserta en un discurso y campo de poder específico.</w:t>
      </w:r>
      <w:r w:rsidR="004D502D">
        <w:rPr>
          <w:rStyle w:val="Refdenotaalfinal"/>
          <w:rFonts w:ascii="Arial" w:hAnsi="Arial" w:cs="Arial"/>
          <w:color w:val="000000" w:themeColor="text1"/>
        </w:rPr>
        <w:endnoteReference w:id="34"/>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Educación y Desinterés: Contrariamente al mito de desinterés, las instituciones educativas responden a exigencias del discurso político y operan dentro de un marco de acción definido por el poder.</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Científica o Positivista: Aunque la educación busca ser científica, a menudo cae en el positivismo al identificar el progreso como evolución lineal y objetiva. Se destaca la distinción entre ciencia y positivismo, ya que este último no constituye ciencia, sino una visión evolucionista y teleológica de la historia.</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Los Estudiantes Procesados como Producto: Producción en Serie La Revolución Industrial del siglo XIX impulsó una revolución educativa para proporcionar una mano de obra calificada. La masificación educativa, reflejada en la producción en serie, requirió el control mediante uniformidad, disciplina y rituales, reproduciendo condiciones de poder.</w:t>
      </w:r>
    </w:p>
    <w:p w:rsidR="009F2D6B" w:rsidRPr="009F2D6B" w:rsidRDefault="009F2D6B" w:rsidP="009B34ED">
      <w:pPr>
        <w:pStyle w:val="NormalWeb"/>
        <w:spacing w:line="480" w:lineRule="auto"/>
        <w:rPr>
          <w:rFonts w:ascii="Arial" w:hAnsi="Arial" w:cs="Arial"/>
          <w:color w:val="000000" w:themeColor="text1"/>
        </w:rPr>
      </w:pPr>
      <w:r w:rsidRPr="009F2D6B">
        <w:rPr>
          <w:rFonts w:ascii="Arial" w:hAnsi="Arial" w:cs="Arial"/>
          <w:b/>
          <w:bCs/>
          <w:color w:val="000000" w:themeColor="text1"/>
        </w:rPr>
        <w:lastRenderedPageBreak/>
        <w:t>Conductismo Educativo y Métodos para la Obtención de Resultados:</w:t>
      </w:r>
      <w:r w:rsidRPr="009F2D6B">
        <w:rPr>
          <w:rFonts w:ascii="Arial" w:hAnsi="Arial" w:cs="Arial"/>
          <w:color w:val="000000" w:themeColor="text1"/>
        </w:rPr>
        <w:t xml:space="preserve"> El conductismo educativo, al enfocarse en el adiestramiento, plantea un dilema sobre si la educación busca controlar o emancipar a los individuos y grupos.</w:t>
      </w:r>
      <w:r w:rsidR="00AE7DB0">
        <w:rPr>
          <w:rStyle w:val="Refdenotaalfinal"/>
          <w:rFonts w:ascii="Arial" w:hAnsi="Arial" w:cs="Arial"/>
          <w:color w:val="000000" w:themeColor="text1"/>
        </w:rPr>
        <w:endnoteReference w:id="35"/>
      </w:r>
    </w:p>
    <w:p w:rsidR="009F2D6B" w:rsidRPr="00F92464" w:rsidRDefault="009F2D6B" w:rsidP="009B34ED">
      <w:pPr>
        <w:pStyle w:val="NormalWeb"/>
        <w:spacing w:line="480" w:lineRule="auto"/>
        <w:rPr>
          <w:rFonts w:ascii="Arial" w:hAnsi="Arial" w:cs="Arial"/>
          <w:color w:val="000000" w:themeColor="text1"/>
        </w:rPr>
      </w:pPr>
      <w:r w:rsidRPr="009F2D6B">
        <w:rPr>
          <w:rFonts w:ascii="Arial" w:hAnsi="Arial" w:cs="Arial"/>
          <w:color w:val="000000" w:themeColor="text1"/>
        </w:rPr>
        <w:t>Esta ampliación busca proporcionar una visión más detallada y académica de los conceptos presentados en la unidad, sirviendo como base para una comprensión más profunda de las teorías tradicionales de la educación.</w:t>
      </w:r>
    </w:p>
    <w:p w:rsidR="006E03D9" w:rsidRPr="00F92464" w:rsidRDefault="00602649" w:rsidP="009B34ED">
      <w:pPr>
        <w:pStyle w:val="NormalWeb"/>
        <w:spacing w:line="480" w:lineRule="auto"/>
        <w:rPr>
          <w:rFonts w:ascii="Arial" w:hAnsi="Arial" w:cs="Arial"/>
          <w:color w:val="000000" w:themeColor="text1"/>
        </w:rPr>
      </w:pPr>
      <w:r w:rsidRPr="00F92464">
        <w:rPr>
          <w:rFonts w:ascii="Arial" w:hAnsi="Arial" w:cs="Arial"/>
          <w:color w:val="000000" w:themeColor="text1"/>
        </w:rPr>
        <w:t>Podemos resumir que l</w:t>
      </w:r>
      <w:r w:rsidR="006E03D9" w:rsidRPr="00F92464">
        <w:rPr>
          <w:rFonts w:ascii="Arial" w:hAnsi="Arial" w:cs="Arial"/>
          <w:color w:val="000000" w:themeColor="text1"/>
        </w:rPr>
        <w:t>a teoría tradicional de la educación, arraigada en una práctica social antigua, se caracteriza por un enfoque centrado en la enseñanza, la reproducción del conocimiento y una estructura que incluye clases frontales y la ausencia de tecnologías de la información. Esta teoría se basa en la transmisión de contenidos, sin enfocarse en habilidades o competencias. El autor destaca que, a pesar de una revolución educativa en el siglo XX, la educación tradicional sigue presente.</w:t>
      </w:r>
      <w:r w:rsidR="00AE7DB0">
        <w:rPr>
          <w:rStyle w:val="Refdenotaalfinal"/>
          <w:rFonts w:ascii="Arial" w:hAnsi="Arial" w:cs="Arial"/>
          <w:color w:val="000000" w:themeColor="text1"/>
        </w:rPr>
        <w:endnoteReference w:id="36"/>
      </w:r>
      <w:r w:rsidR="006E03D9" w:rsidRPr="00F92464">
        <w:rPr>
          <w:rFonts w:ascii="Arial" w:hAnsi="Arial" w:cs="Arial"/>
          <w:color w:val="000000" w:themeColor="text1"/>
        </w:rPr>
        <w:t xml:space="preserve"> Además, se explora el mito educativo, que desafía la idea de que la educación y el poder están separados, argumentando que la educación es una práctica social que reproduce condiciones de poder. También se aborda el mito de la desinteresada educación institucional, revelando su conexión con el discurso político y de poder. Se discute la promesa de una educación científica, que a menudo se desvía hacia el positivismo, y se examina la relación entre la Revolución Industrial y la educación en serie, influenciando la uniformidad y la disciplina en las instituciones educativas.</w:t>
      </w:r>
      <w:r w:rsidR="00AE7DB0">
        <w:rPr>
          <w:rStyle w:val="Refdenotaalfinal"/>
          <w:rFonts w:ascii="Arial" w:hAnsi="Arial" w:cs="Arial"/>
          <w:color w:val="000000" w:themeColor="text1"/>
        </w:rPr>
        <w:endnoteReference w:id="37"/>
      </w:r>
      <w:r w:rsidR="006E03D9" w:rsidRPr="00F92464">
        <w:rPr>
          <w:rFonts w:ascii="Arial" w:hAnsi="Arial" w:cs="Arial"/>
          <w:color w:val="000000" w:themeColor="text1"/>
        </w:rPr>
        <w:t xml:space="preserve"> Finalmente, se explora el conductismo educativo, señalando cómo el Estado puede imponer condiciones que pueden contradecir los principios educativos, generando un dilema sobre si la educación se orienta hacia el control o la dominación.</w:t>
      </w:r>
    </w:p>
    <w:p w:rsidR="0035652D" w:rsidRPr="00F92464" w:rsidRDefault="0035652D" w:rsidP="009B34ED">
      <w:pPr>
        <w:pStyle w:val="NormalWeb"/>
        <w:spacing w:line="480" w:lineRule="auto"/>
        <w:rPr>
          <w:rFonts w:ascii="Arial" w:hAnsi="Arial" w:cs="Arial"/>
          <w:color w:val="000000" w:themeColor="text1"/>
        </w:rPr>
      </w:pPr>
      <w:r w:rsidRPr="00F92464">
        <w:rPr>
          <w:rFonts w:ascii="Arial" w:hAnsi="Arial" w:cs="Arial"/>
          <w:color w:val="000000" w:themeColor="text1"/>
        </w:rPr>
        <w:lastRenderedPageBreak/>
        <w:t xml:space="preserve">La perspectiva critica. </w:t>
      </w:r>
      <w:r w:rsidRPr="00F92464">
        <w:rPr>
          <w:rFonts w:ascii="Arial" w:hAnsi="Arial" w:cs="Arial"/>
          <w:color w:val="000000" w:themeColor="text1"/>
        </w:rPr>
        <w:t>los fundamentos de la educación</w:t>
      </w:r>
      <w:r w:rsidRPr="00F92464">
        <w:rPr>
          <w:rFonts w:ascii="Arial" w:hAnsi="Arial" w:cs="Arial"/>
          <w:color w:val="000000" w:themeColor="text1"/>
        </w:rPr>
        <w:t xml:space="preserve"> nos permite </w:t>
      </w:r>
      <w:r w:rsidRPr="00F92464">
        <w:rPr>
          <w:rFonts w:ascii="Arial" w:hAnsi="Arial" w:cs="Arial"/>
          <w:color w:val="000000" w:themeColor="text1"/>
        </w:rPr>
        <w:t>una visión crítica y reflexiva</w:t>
      </w:r>
      <w:r w:rsidRPr="00F92464">
        <w:rPr>
          <w:rFonts w:ascii="Arial" w:hAnsi="Arial" w:cs="Arial"/>
          <w:color w:val="000000" w:themeColor="text1"/>
        </w:rPr>
        <w:t xml:space="preserve"> </w:t>
      </w:r>
      <w:r w:rsidRPr="00F92464">
        <w:rPr>
          <w:rFonts w:ascii="Arial" w:hAnsi="Arial" w:cs="Arial"/>
          <w:color w:val="000000" w:themeColor="text1"/>
        </w:rPr>
        <w:t>destacando su complejidad, su relación con el Estado y la necesidad de una perspectiva crítica para abordar los desafíos contemporáneos en el ámbito educativo.</w:t>
      </w:r>
    </w:p>
    <w:p w:rsidR="006E03D9" w:rsidRPr="00F92464" w:rsidRDefault="006E03D9" w:rsidP="009B34ED">
      <w:pPr>
        <w:pStyle w:val="NormalWeb"/>
        <w:spacing w:line="480" w:lineRule="auto"/>
        <w:rPr>
          <w:rFonts w:ascii="Arial" w:hAnsi="Arial" w:cs="Arial"/>
          <w:color w:val="000000" w:themeColor="text1"/>
        </w:rPr>
      </w:pPr>
      <w:r w:rsidRPr="00F92464">
        <w:rPr>
          <w:rFonts w:ascii="Arial" w:hAnsi="Arial" w:cs="Arial"/>
          <w:color w:val="000000" w:themeColor="text1"/>
        </w:rPr>
        <w:t>La perspectiva crítica, aborda la importancia de reflexionar sobre los fundamentos para desarrollar una perspectiva crítica en el ámbito educativo. Se destaca que la crítica, a pesar de ser a veces malentendida como destructiva, puede ser un motor de cambio creativo y poderoso cuando se realiza de manera ponderada. Se argumenta que la crítica se basa en fundamentos y principios, y su perspectiva puede ser tanto positiva como negativa.</w:t>
      </w:r>
    </w:p>
    <w:p w:rsidR="006E03D9" w:rsidRPr="00F92464" w:rsidRDefault="006E03D9" w:rsidP="009B34ED">
      <w:pPr>
        <w:spacing w:line="480" w:lineRule="auto"/>
        <w:rPr>
          <w:rFonts w:ascii="Arial" w:hAnsi="Arial" w:cs="Arial"/>
          <w:color w:val="000000" w:themeColor="text1"/>
        </w:rPr>
      </w:pPr>
      <w:r w:rsidRPr="00F92464">
        <w:rPr>
          <w:rFonts w:ascii="Arial" w:hAnsi="Arial" w:cs="Arial"/>
          <w:color w:val="000000" w:themeColor="text1"/>
        </w:rPr>
        <w:t>Además, se explora la relación entre teoría, discurso y texto como representaciones de la realidad, destacando que la teoría no está separada de la práctica.</w:t>
      </w:r>
      <w:r w:rsidR="00AE7DB0">
        <w:rPr>
          <w:rStyle w:val="Refdenotaalfinal"/>
          <w:rFonts w:ascii="Arial" w:hAnsi="Arial" w:cs="Arial"/>
          <w:color w:val="000000" w:themeColor="text1"/>
        </w:rPr>
        <w:endnoteReference w:id="38"/>
      </w:r>
      <w:r w:rsidRPr="00F92464">
        <w:rPr>
          <w:rFonts w:ascii="Arial" w:hAnsi="Arial" w:cs="Arial"/>
          <w:color w:val="000000" w:themeColor="text1"/>
        </w:rPr>
        <w:t xml:space="preserve"> El artículo también aborda la educación en relación con la realidad, enfatizando que la educación no está divorciada de la realidad y es un recurso para el desarrollo y el cambio.</w:t>
      </w:r>
    </w:p>
    <w:p w:rsidR="006E03D9" w:rsidRPr="00F92464" w:rsidRDefault="006E03D9" w:rsidP="009B34ED">
      <w:pPr>
        <w:spacing w:line="480" w:lineRule="auto"/>
        <w:rPr>
          <w:rFonts w:ascii="Arial" w:hAnsi="Arial" w:cs="Arial"/>
          <w:color w:val="000000" w:themeColor="text1"/>
        </w:rPr>
      </w:pPr>
      <w:r w:rsidRPr="00F92464">
        <w:rPr>
          <w:rFonts w:ascii="Arial" w:hAnsi="Arial" w:cs="Arial"/>
          <w:color w:val="000000" w:themeColor="text1"/>
        </w:rPr>
        <w:t>El currículum se presenta como una cuestión de poder, ya que su estructura refleja un discurso de poder que selecciona y disciplina. Se destaca la importancia del currículum como documento histórico e historiográfico,</w:t>
      </w:r>
      <w:r w:rsidR="00AE7DB0">
        <w:rPr>
          <w:rStyle w:val="Refdenotaalfinal"/>
          <w:rFonts w:ascii="Arial" w:hAnsi="Arial" w:cs="Arial"/>
          <w:color w:val="000000" w:themeColor="text1"/>
        </w:rPr>
        <w:endnoteReference w:id="39"/>
      </w:r>
      <w:r w:rsidRPr="00F92464">
        <w:rPr>
          <w:rFonts w:ascii="Arial" w:hAnsi="Arial" w:cs="Arial"/>
          <w:color w:val="000000" w:themeColor="text1"/>
        </w:rPr>
        <w:t xml:space="preserve"> y se menciona la sociología educativa, que estudia el "currículum oculto", aquel que no se muestra oficialmente.</w:t>
      </w:r>
      <w:r w:rsidR="00AE7DB0">
        <w:rPr>
          <w:rStyle w:val="Refdenotaalfinal"/>
          <w:rFonts w:ascii="Arial" w:hAnsi="Arial" w:cs="Arial"/>
          <w:color w:val="000000" w:themeColor="text1"/>
        </w:rPr>
        <w:endnoteReference w:id="40"/>
      </w:r>
    </w:p>
    <w:p w:rsidR="006E03D9" w:rsidRPr="00F92464" w:rsidRDefault="0035652D" w:rsidP="009B34ED">
      <w:pPr>
        <w:spacing w:line="480" w:lineRule="auto"/>
        <w:rPr>
          <w:rFonts w:ascii="Arial" w:hAnsi="Arial" w:cs="Arial"/>
          <w:color w:val="000000" w:themeColor="text1"/>
        </w:rPr>
      </w:pPr>
      <w:r w:rsidRPr="00F92464">
        <w:rPr>
          <w:rFonts w:ascii="Arial" w:hAnsi="Arial" w:cs="Arial"/>
          <w:color w:val="000000" w:themeColor="text1"/>
        </w:rPr>
        <w:t>Se</w:t>
      </w:r>
      <w:r w:rsidR="006E03D9" w:rsidRPr="00F92464">
        <w:rPr>
          <w:rFonts w:ascii="Arial" w:hAnsi="Arial" w:cs="Arial"/>
          <w:color w:val="000000" w:themeColor="text1"/>
        </w:rPr>
        <w:t xml:space="preserve"> aborda el currículum como un debate epistemológico y socio-político, discutiendo la difícil relación entre la educación y el Estado, así como las tensiones entre la educación como práctica crítica y su dependencia del Estado. </w:t>
      </w:r>
      <w:r w:rsidR="006E03D9" w:rsidRPr="00F92464">
        <w:rPr>
          <w:rFonts w:ascii="Arial" w:hAnsi="Arial" w:cs="Arial"/>
          <w:color w:val="000000" w:themeColor="text1"/>
        </w:rPr>
        <w:lastRenderedPageBreak/>
        <w:t>Se señala que la educación puede cambiar su naturaleza de dependiente a autónoma, pero la relación sigue siendo tensa y compleja.</w:t>
      </w:r>
    </w:p>
    <w:p w:rsidR="0035652D" w:rsidRPr="00F92464" w:rsidRDefault="0035652D" w:rsidP="009B34ED">
      <w:pPr>
        <w:spacing w:line="480" w:lineRule="auto"/>
        <w:rPr>
          <w:rFonts w:ascii="Arial" w:hAnsi="Arial" w:cs="Arial"/>
          <w:color w:val="000000" w:themeColor="text1"/>
        </w:rPr>
      </w:pPr>
    </w:p>
    <w:p w:rsidR="0035652D" w:rsidRPr="0035652D" w:rsidRDefault="0035652D" w:rsidP="009B34ED">
      <w:pPr>
        <w:spacing w:line="480" w:lineRule="auto"/>
        <w:rPr>
          <w:rFonts w:ascii="Arial" w:hAnsi="Arial" w:cs="Arial"/>
          <w:color w:val="000000" w:themeColor="text1"/>
        </w:rPr>
      </w:pPr>
      <w:r w:rsidRPr="00F92464">
        <w:rPr>
          <w:rFonts w:ascii="Arial" w:hAnsi="Arial" w:cs="Arial"/>
          <w:color w:val="000000" w:themeColor="text1"/>
        </w:rPr>
        <w:t>Es necesario</w:t>
      </w:r>
      <w:r w:rsidRPr="0035652D">
        <w:rPr>
          <w:rFonts w:ascii="Arial" w:hAnsi="Arial" w:cs="Arial"/>
          <w:color w:val="000000" w:themeColor="text1"/>
        </w:rPr>
        <w:t xml:space="preserve"> reflexionar sobre los fundamentos </w:t>
      </w:r>
      <w:r w:rsidRPr="00F92464">
        <w:rPr>
          <w:rFonts w:ascii="Arial" w:hAnsi="Arial" w:cs="Arial"/>
          <w:color w:val="000000" w:themeColor="text1"/>
        </w:rPr>
        <w:t xml:space="preserve">de la educación </w:t>
      </w:r>
      <w:r w:rsidRPr="0035652D">
        <w:rPr>
          <w:rFonts w:ascii="Arial" w:hAnsi="Arial" w:cs="Arial"/>
          <w:color w:val="000000" w:themeColor="text1"/>
        </w:rPr>
        <w:t>con el propósito de cultivar una perspectiva crítica en el individuo. La crítica, a menudo malinterpretada como destructiva, se presenta como un motor creativo y poderoso para el cambio, siempre que se ejerza con ponderación y fundamentación. Est</w:t>
      </w:r>
      <w:r w:rsidRPr="00F92464">
        <w:rPr>
          <w:rFonts w:ascii="Arial" w:hAnsi="Arial" w:cs="Arial"/>
          <w:color w:val="000000" w:themeColor="text1"/>
        </w:rPr>
        <w:t>e aspecto</w:t>
      </w:r>
      <w:r w:rsidRPr="0035652D">
        <w:rPr>
          <w:rFonts w:ascii="Arial" w:hAnsi="Arial" w:cs="Arial"/>
          <w:color w:val="000000" w:themeColor="text1"/>
        </w:rPr>
        <w:t>, por ende, se centra en desentrañar la naturaleza y la utilidad de la crítica en el ámbito educativo.</w:t>
      </w: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t xml:space="preserve">Las Preguntas Fundamentales: ¿Para qué, por qué, de quién? </w:t>
      </w:r>
    </w:p>
    <w:p w:rsidR="0035652D" w:rsidRPr="0035652D" w:rsidRDefault="0035652D" w:rsidP="009B34ED">
      <w:pPr>
        <w:spacing w:line="480" w:lineRule="auto"/>
        <w:rPr>
          <w:rFonts w:ascii="Arial" w:hAnsi="Arial" w:cs="Arial"/>
          <w:color w:val="000000" w:themeColor="text1"/>
        </w:rPr>
      </w:pPr>
      <w:r w:rsidRPr="0035652D">
        <w:rPr>
          <w:rFonts w:ascii="Arial" w:hAnsi="Arial" w:cs="Arial"/>
          <w:color w:val="000000" w:themeColor="text1"/>
        </w:rPr>
        <w:t>Los fundamentos, actuando simultáneamente como principios y bases, plantean preguntas cruciales sobre la educación. El propósito de la educación, analizado desde perspectivas históricas, revela su evolución desde la Revolución Industrial, consolidándose como un derecho democrático en el proyecto moderno.</w:t>
      </w:r>
      <w:r w:rsidR="006604B4">
        <w:rPr>
          <w:rStyle w:val="Refdenotaalfinal"/>
          <w:rFonts w:ascii="Arial" w:hAnsi="Arial" w:cs="Arial"/>
          <w:color w:val="000000" w:themeColor="text1"/>
        </w:rPr>
        <w:endnoteReference w:id="41"/>
      </w:r>
      <w:r w:rsidRPr="0035652D">
        <w:rPr>
          <w:rFonts w:ascii="Arial" w:hAnsi="Arial" w:cs="Arial"/>
          <w:color w:val="000000" w:themeColor="text1"/>
        </w:rPr>
        <w:t xml:space="preserve"> Sin embargo, la dualidad entre ser una práctica libre y una práctica estatal plantea un dilema sin resolver, marcado por una tendencia socio-histórica que persiste y desafía las propuestas de liberación de la educación del tutelaje estatal.</w:t>
      </w: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t>Educación ¿Por qué?</w:t>
      </w:r>
      <w:r w:rsidRPr="0035652D">
        <w:rPr>
          <w:rFonts w:ascii="Arial" w:hAnsi="Arial" w:cs="Arial"/>
          <w:color w:val="000000" w:themeColor="text1"/>
        </w:rPr>
        <w:t xml:space="preserve"> La dedicación a la educación, enmarcada en la convicción, se enfrenta a las condiciones socio-históricas del discurso estatal. Este dilema, delineado por Max Weber, destaca la responsabilidad sobre las convicciones cuando se toman decisiones que afectan a otros.</w:t>
      </w:r>
      <w:r w:rsidR="006604B4">
        <w:rPr>
          <w:rStyle w:val="Refdenotaalfinal"/>
          <w:rFonts w:ascii="Arial" w:hAnsi="Arial" w:cs="Arial"/>
          <w:color w:val="000000" w:themeColor="text1"/>
        </w:rPr>
        <w:endnoteReference w:id="42"/>
      </w:r>
      <w:r w:rsidRPr="0035652D">
        <w:rPr>
          <w:rFonts w:ascii="Arial" w:hAnsi="Arial" w:cs="Arial"/>
          <w:color w:val="000000" w:themeColor="text1"/>
        </w:rPr>
        <w:t xml:space="preserve"> La educación, entendida como una práctica de responsabilidad, plantea interrogantes éticos y filosóficos que la sitúan en la encrucijada entre las convicciones personales y las imposiciones socio-políticas.</w:t>
      </w: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lastRenderedPageBreak/>
        <w:t>Educación ¿Para quién?</w:t>
      </w:r>
      <w:r w:rsidRPr="0035652D">
        <w:rPr>
          <w:rFonts w:ascii="Arial" w:hAnsi="Arial" w:cs="Arial"/>
          <w:color w:val="000000" w:themeColor="text1"/>
        </w:rPr>
        <w:t xml:space="preserve"> El cuestionamiento sobre si la educación reproduce las condiciones de desigualdad, siendo tanto un instrumento estatal como una herramienta de socialización dominante, revela la dualidad de su carácter. La educación, dirigida hacia la sociedad, se convierte en un punto de encuentro entre el aprendizaje de los valores societarios y la práctica para una integración estructurante. Proyectos educativos socialmente comprometidos amplían los alcances más allá de lo escolar, contribuyendo a un desarrollo más productivo y social.</w:t>
      </w: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t>Teoría, Discurso y Texto como Representaciones de la Realidad</w:t>
      </w:r>
    </w:p>
    <w:p w:rsidR="0035652D" w:rsidRPr="0035652D" w:rsidRDefault="0035652D" w:rsidP="009B34ED">
      <w:pPr>
        <w:spacing w:line="480" w:lineRule="auto"/>
        <w:rPr>
          <w:rFonts w:ascii="Arial" w:hAnsi="Arial" w:cs="Arial"/>
          <w:color w:val="000000" w:themeColor="text1"/>
        </w:rPr>
      </w:pPr>
      <w:r w:rsidRPr="0035652D">
        <w:rPr>
          <w:rFonts w:ascii="Arial" w:hAnsi="Arial" w:cs="Arial"/>
          <w:color w:val="000000" w:themeColor="text1"/>
        </w:rPr>
        <w:t xml:space="preserve">La teoría, lejos de ser ajena a la realidad, surge como una compañera inseparable de la acción, como se evidencia en el contexto del teatro griego. El texto, entendido como la trama que une elementos de manera significativa, y el discurso, como una constelación que articula acciones y objetos, se posicionan como representaciones complejas de la realidad. La relación entre teoría, texto y discurso se revela como esencial para una comprensión </w:t>
      </w:r>
      <w:r w:rsidR="00176DAA" w:rsidRPr="00F92464">
        <w:rPr>
          <w:rFonts w:ascii="Arial" w:hAnsi="Arial" w:cs="Arial"/>
          <w:color w:val="000000" w:themeColor="text1"/>
        </w:rPr>
        <w:t>clara</w:t>
      </w:r>
      <w:r w:rsidRPr="0035652D">
        <w:rPr>
          <w:rFonts w:ascii="Arial" w:hAnsi="Arial" w:cs="Arial"/>
          <w:color w:val="000000" w:themeColor="text1"/>
        </w:rPr>
        <w:t xml:space="preserve"> de la realidad.</w:t>
      </w:r>
      <w:r w:rsidR="006604B4">
        <w:rPr>
          <w:rStyle w:val="Refdenotaalfinal"/>
          <w:rFonts w:ascii="Arial" w:hAnsi="Arial" w:cs="Arial"/>
          <w:color w:val="000000" w:themeColor="text1"/>
        </w:rPr>
        <w:endnoteReference w:id="43"/>
      </w:r>
    </w:p>
    <w:p w:rsidR="00AE7DB0" w:rsidRDefault="00AE7DB0" w:rsidP="009B34ED">
      <w:pPr>
        <w:spacing w:line="480" w:lineRule="auto"/>
        <w:rPr>
          <w:rFonts w:ascii="Arial" w:hAnsi="Arial" w:cs="Arial"/>
          <w:b/>
          <w:bCs/>
          <w:color w:val="000000" w:themeColor="text1"/>
        </w:rPr>
      </w:pP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t>La Educación y sus Efectos sobre la Realidad: Educación Vs Realidad</w:t>
      </w:r>
    </w:p>
    <w:p w:rsidR="0035652D" w:rsidRPr="0035652D" w:rsidRDefault="0035652D" w:rsidP="009B34ED">
      <w:pPr>
        <w:spacing w:line="480" w:lineRule="auto"/>
        <w:rPr>
          <w:rFonts w:ascii="Arial" w:hAnsi="Arial" w:cs="Arial"/>
          <w:color w:val="000000" w:themeColor="text1"/>
        </w:rPr>
      </w:pPr>
      <w:r w:rsidRPr="0035652D">
        <w:rPr>
          <w:rFonts w:ascii="Arial" w:hAnsi="Arial" w:cs="Arial"/>
          <w:color w:val="000000" w:themeColor="text1"/>
        </w:rPr>
        <w:t>Contrariamente a considerar la educación como una ingeniería social, se destaca su papel como recurso para el desarrollo y agente de cambio. La educación no está divorciada de la realidad, y su impacto va más allá de una simple modelación social. La perspectiva crítica emerge como una necesidad moderna, desafiando las visiones utópicas y reivindicando la educación como un recurso renovable para el progreso.</w:t>
      </w:r>
      <w:r w:rsidR="006604B4">
        <w:rPr>
          <w:rStyle w:val="Refdenotaalfinal"/>
          <w:rFonts w:ascii="Arial" w:hAnsi="Arial" w:cs="Arial"/>
          <w:color w:val="000000" w:themeColor="text1"/>
        </w:rPr>
        <w:endnoteReference w:id="44"/>
      </w:r>
    </w:p>
    <w:p w:rsidR="00AE7DB0" w:rsidRDefault="00AE7DB0" w:rsidP="009B34ED">
      <w:pPr>
        <w:spacing w:line="480" w:lineRule="auto"/>
        <w:rPr>
          <w:rFonts w:ascii="Arial" w:hAnsi="Arial" w:cs="Arial"/>
          <w:b/>
          <w:bCs/>
          <w:color w:val="000000" w:themeColor="text1"/>
        </w:rPr>
      </w:pP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lastRenderedPageBreak/>
        <w:t>El Currículum como una Cuestión de Poder: Currículum y Poder</w:t>
      </w:r>
    </w:p>
    <w:p w:rsidR="0035652D" w:rsidRPr="0035652D" w:rsidRDefault="0035652D" w:rsidP="009B34ED">
      <w:pPr>
        <w:spacing w:line="480" w:lineRule="auto"/>
        <w:rPr>
          <w:rFonts w:ascii="Arial" w:hAnsi="Arial" w:cs="Arial"/>
          <w:color w:val="000000" w:themeColor="text1"/>
        </w:rPr>
      </w:pPr>
      <w:r w:rsidRPr="0035652D">
        <w:rPr>
          <w:rFonts w:ascii="Arial" w:hAnsi="Arial" w:cs="Arial"/>
          <w:color w:val="000000" w:themeColor="text1"/>
        </w:rPr>
        <w:t>La estructura de los planes educativos se presenta como un discurso de poder al establecer selecciones históricas y someter el proceso educativo a prácticas disciplinares. El currículum, considerado como un documento histórico e historiográfico, registra eventos y enfoques históricos, convirtiéndose en un objeto de estudio para la sociología educativa. Esta disciplina se propone analizar el "currículum oculto", explorando lo no oficialmente aprendido y las prácticas sociales que acompañan al currículum oficial.</w:t>
      </w:r>
    </w:p>
    <w:p w:rsidR="0035652D" w:rsidRPr="0035652D" w:rsidRDefault="0035652D" w:rsidP="009B34ED">
      <w:pPr>
        <w:spacing w:line="480" w:lineRule="auto"/>
        <w:rPr>
          <w:rFonts w:ascii="Arial" w:hAnsi="Arial" w:cs="Arial"/>
          <w:color w:val="000000" w:themeColor="text1"/>
        </w:rPr>
      </w:pPr>
      <w:r w:rsidRPr="0035652D">
        <w:rPr>
          <w:rFonts w:ascii="Arial" w:hAnsi="Arial" w:cs="Arial"/>
          <w:b/>
          <w:bCs/>
          <w:color w:val="000000" w:themeColor="text1"/>
        </w:rPr>
        <w:t>El Currículum como Debate Epistemológico y Socio-político:</w:t>
      </w:r>
      <w:r w:rsidR="006604B4">
        <w:rPr>
          <w:rStyle w:val="Refdenotaalfinal"/>
          <w:rFonts w:ascii="Arial" w:hAnsi="Arial" w:cs="Arial"/>
          <w:b/>
          <w:bCs/>
          <w:color w:val="000000" w:themeColor="text1"/>
        </w:rPr>
        <w:endnoteReference w:id="45"/>
      </w:r>
      <w:r w:rsidRPr="0035652D">
        <w:rPr>
          <w:rFonts w:ascii="Arial" w:hAnsi="Arial" w:cs="Arial"/>
          <w:b/>
          <w:bCs/>
          <w:color w:val="000000" w:themeColor="text1"/>
        </w:rPr>
        <w:t xml:space="preserve"> Currículum ¿Ciencia o Política?</w:t>
      </w:r>
    </w:p>
    <w:p w:rsidR="0035652D" w:rsidRPr="0035652D" w:rsidRDefault="0035652D" w:rsidP="009B34ED">
      <w:pPr>
        <w:spacing w:line="480" w:lineRule="auto"/>
        <w:rPr>
          <w:rFonts w:ascii="Arial" w:hAnsi="Arial" w:cs="Arial"/>
          <w:color w:val="000000" w:themeColor="text1"/>
        </w:rPr>
      </w:pPr>
      <w:r w:rsidRPr="0035652D">
        <w:rPr>
          <w:rFonts w:ascii="Arial" w:hAnsi="Arial" w:cs="Arial"/>
          <w:color w:val="000000" w:themeColor="text1"/>
        </w:rPr>
        <w:t>La educación se debate en una delicada tensión con el Estado, siendo tanto una práctica libertaria como un proceso de socialización y dominación estatal. La objetividad, como ideal para la investigación científica, se cuestiona en el contexto de la educación, donde la subjetividad y los juicios políticos desempeñan un papel significativo. La relación entre educación y Estado se revela como compleja y tensionada, donde la educación se presenta como un recurso para el desarrollo, pero al mismo tiempo, sujeta a las políticas y cambios del Estado.</w:t>
      </w:r>
    </w:p>
    <w:p w:rsidR="0035652D" w:rsidRPr="00F92464" w:rsidRDefault="0035652D" w:rsidP="009B34ED">
      <w:pPr>
        <w:spacing w:line="480" w:lineRule="auto"/>
        <w:rPr>
          <w:rFonts w:ascii="Arial" w:hAnsi="Arial" w:cs="Arial"/>
          <w:color w:val="000000" w:themeColor="text1"/>
        </w:rPr>
      </w:pPr>
    </w:p>
    <w:p w:rsidR="006E03D9" w:rsidRPr="00F92464" w:rsidRDefault="000B6613" w:rsidP="009B34ED">
      <w:pPr>
        <w:spacing w:line="480" w:lineRule="auto"/>
        <w:rPr>
          <w:rFonts w:ascii="Arial" w:hAnsi="Arial" w:cs="Arial"/>
          <w:color w:val="000000" w:themeColor="text1"/>
        </w:rPr>
      </w:pPr>
      <w:r w:rsidRPr="00F92464">
        <w:rPr>
          <w:rFonts w:ascii="Arial" w:hAnsi="Arial" w:cs="Arial"/>
          <w:color w:val="000000" w:themeColor="text1"/>
        </w:rPr>
        <w:t xml:space="preserve">Otro aspecto a tener en cuenta es la educación como factor d reproducción, mirando la educación y su relación con la ideología </w:t>
      </w:r>
      <w:r w:rsidR="006E03D9" w:rsidRPr="00F92464">
        <w:rPr>
          <w:rFonts w:ascii="Arial" w:hAnsi="Arial" w:cs="Arial"/>
          <w:color w:val="000000" w:themeColor="text1"/>
        </w:rPr>
        <w:t xml:space="preserve">y su papel en las prácticas sociales y en el Estado. Los contenidos ideológicos y educativos son examinados, destacando fenómenos como enajenación, alienación, cosificación y pseudo-concreción. Se discute la transmisión de la ideología a través de diferentes canales, como los Aparatos de Estado y los Aparatos Ideológicos del Estado. La </w:t>
      </w:r>
      <w:r w:rsidR="006E03D9" w:rsidRPr="00F92464">
        <w:rPr>
          <w:rFonts w:ascii="Arial" w:hAnsi="Arial" w:cs="Arial"/>
          <w:color w:val="000000" w:themeColor="text1"/>
        </w:rPr>
        <w:lastRenderedPageBreak/>
        <w:t>conciencia de clase, la conciencia real y la conciencia posible son conceptos explorados en el contexto educativo. Se analiza la ideología del Estado, que incluye elementos como civismo, nacionalismo, símbolos y héroes. La reproducción social y cultural se discute en términos de cómo se perpetúan las condiciones desiguales a través de mecanismos como la introyección, la ideología y la pseudo-concreción. La conexión entre la reproducción social y cultural se establece al considerar la cultura como el cultivo de prácticas sociales que definen una sociedad.</w:t>
      </w:r>
    </w:p>
    <w:p w:rsidR="000B6613" w:rsidRPr="00F92464" w:rsidRDefault="000B6613" w:rsidP="009B34ED">
      <w:pPr>
        <w:spacing w:line="480" w:lineRule="auto"/>
        <w:rPr>
          <w:rFonts w:ascii="Arial" w:hAnsi="Arial" w:cs="Arial"/>
          <w:color w:val="000000" w:themeColor="text1"/>
        </w:rPr>
      </w:pPr>
    </w:p>
    <w:p w:rsidR="000B6613" w:rsidRPr="000B6613" w:rsidRDefault="000B6613" w:rsidP="009B34ED">
      <w:pPr>
        <w:spacing w:line="480" w:lineRule="auto"/>
        <w:rPr>
          <w:rFonts w:ascii="Arial" w:hAnsi="Arial" w:cs="Arial"/>
          <w:color w:val="000000" w:themeColor="text1"/>
        </w:rPr>
      </w:pPr>
      <w:r w:rsidRPr="000B6613">
        <w:rPr>
          <w:rFonts w:ascii="Arial" w:hAnsi="Arial" w:cs="Arial"/>
          <w:color w:val="000000" w:themeColor="text1"/>
        </w:rPr>
        <w:t xml:space="preserve">La </w:t>
      </w:r>
      <w:r w:rsidRPr="00F92464">
        <w:rPr>
          <w:rFonts w:ascii="Arial" w:hAnsi="Arial" w:cs="Arial"/>
          <w:color w:val="000000" w:themeColor="text1"/>
        </w:rPr>
        <w:t>educación como factor de producción aborda</w:t>
      </w:r>
      <w:r w:rsidRPr="000B6613">
        <w:rPr>
          <w:rFonts w:ascii="Arial" w:hAnsi="Arial" w:cs="Arial"/>
          <w:color w:val="000000" w:themeColor="text1"/>
        </w:rPr>
        <w:t xml:space="preserve"> la relación entre educación e ideología, destacando la importancia de los contenidos educativos y la transmisión de la ideología en la sociedad. Se exploran </w:t>
      </w:r>
      <w:r w:rsidRPr="00F92464">
        <w:rPr>
          <w:rFonts w:ascii="Arial" w:hAnsi="Arial" w:cs="Arial"/>
          <w:color w:val="000000" w:themeColor="text1"/>
        </w:rPr>
        <w:t xml:space="preserve">aquí </w:t>
      </w:r>
      <w:r w:rsidRPr="000B6613">
        <w:rPr>
          <w:rFonts w:ascii="Arial" w:hAnsi="Arial" w:cs="Arial"/>
          <w:color w:val="000000" w:themeColor="text1"/>
        </w:rPr>
        <w:t>diversas definiciones de ideología, desde un sistema de ideas funcionales hasta un conjunto de falsas creencias. La educación, a menudo acusada de reproducir la ideología y servir como instrumento de dominación, se analiza a través de la teoría de Althusser y los Aparatos Ideológicos del Estado (AIE), que incluyen la escuela y los medios de comunicación.</w:t>
      </w:r>
      <w:r w:rsidR="00AC6AE4">
        <w:rPr>
          <w:rStyle w:val="Refdenotaalfinal"/>
          <w:rFonts w:ascii="Arial" w:hAnsi="Arial" w:cs="Arial"/>
          <w:color w:val="000000" w:themeColor="text1"/>
        </w:rPr>
        <w:endnoteReference w:id="46"/>
      </w:r>
    </w:p>
    <w:p w:rsidR="000B6613" w:rsidRPr="000B6613" w:rsidRDefault="000B6613" w:rsidP="009B34ED">
      <w:pPr>
        <w:spacing w:line="480" w:lineRule="auto"/>
        <w:rPr>
          <w:rFonts w:ascii="Arial" w:hAnsi="Arial" w:cs="Arial"/>
          <w:color w:val="000000" w:themeColor="text1"/>
        </w:rPr>
      </w:pPr>
      <w:r w:rsidRPr="000B6613">
        <w:rPr>
          <w:rFonts w:ascii="Arial" w:hAnsi="Arial" w:cs="Arial"/>
          <w:color w:val="000000" w:themeColor="text1"/>
        </w:rPr>
        <w:t>El papel de los contenidos ideológicos se examina en profundidad, destacando fenómenos como la enajenación, alienación, cosificación y pseudo-concreción. Marx propuso estos conceptos en el contexto de la producción social, relacionándolos con la jornada laboral y la generación de plusvalía. La educación, como parte de la estructura ideológica,</w:t>
      </w:r>
      <w:r w:rsidR="00AC6AE4">
        <w:rPr>
          <w:rStyle w:val="Refdenotaalfinal"/>
          <w:rFonts w:ascii="Arial" w:hAnsi="Arial" w:cs="Arial"/>
          <w:color w:val="000000" w:themeColor="text1"/>
        </w:rPr>
        <w:endnoteReference w:id="47"/>
      </w:r>
      <w:r w:rsidRPr="000B6613">
        <w:rPr>
          <w:rFonts w:ascii="Arial" w:hAnsi="Arial" w:cs="Arial"/>
          <w:color w:val="000000" w:themeColor="text1"/>
        </w:rPr>
        <w:t xml:space="preserve"> también contribuye a estos contenidos, sirviendo como un registro histórico y un discurso que refleja el poder en la sociedad.</w:t>
      </w:r>
    </w:p>
    <w:p w:rsidR="000B6613" w:rsidRPr="000B6613" w:rsidRDefault="000B6613" w:rsidP="009B34ED">
      <w:pPr>
        <w:spacing w:line="480" w:lineRule="auto"/>
        <w:rPr>
          <w:rFonts w:ascii="Arial" w:hAnsi="Arial" w:cs="Arial"/>
          <w:color w:val="000000" w:themeColor="text1"/>
        </w:rPr>
      </w:pPr>
      <w:r w:rsidRPr="000B6613">
        <w:rPr>
          <w:rFonts w:ascii="Arial" w:hAnsi="Arial" w:cs="Arial"/>
          <w:color w:val="000000" w:themeColor="text1"/>
        </w:rPr>
        <w:lastRenderedPageBreak/>
        <w:t>La transmisión de la ideología se realiza a través de diferentes canales, como los Aparatos de Estado, los AIE y las prácticas sociales. Marx sostiene que las ideas dominantes reflejan los intereses de las clases dominantes. La conciencia de clase, conciencia real y conciencia posible son conceptos introducidos por Lukács para entender la transformación de la conciencia frente a problemas ideológicos.</w:t>
      </w:r>
    </w:p>
    <w:p w:rsidR="000B6613" w:rsidRPr="000B6613" w:rsidRDefault="000B6613" w:rsidP="009B34ED">
      <w:pPr>
        <w:spacing w:line="480" w:lineRule="auto"/>
        <w:rPr>
          <w:rFonts w:ascii="Arial" w:hAnsi="Arial" w:cs="Arial"/>
          <w:color w:val="000000" w:themeColor="text1"/>
        </w:rPr>
      </w:pPr>
      <w:r w:rsidRPr="000B6613">
        <w:rPr>
          <w:rFonts w:ascii="Arial" w:hAnsi="Arial" w:cs="Arial"/>
          <w:color w:val="000000" w:themeColor="text1"/>
        </w:rPr>
        <w:t xml:space="preserve">La ideología del Estado busca uniformar a la sociedad mediante elementos como el civismo, nacionalismo, símbolos y héroes, discurso educativo </w:t>
      </w:r>
      <w:r w:rsidR="00387E5D" w:rsidRPr="00F92464">
        <w:rPr>
          <w:rFonts w:ascii="Arial" w:hAnsi="Arial" w:cs="Arial"/>
          <w:color w:val="000000" w:themeColor="text1"/>
        </w:rPr>
        <w:t>y la historia de la patria (historia patria)</w:t>
      </w:r>
      <w:r w:rsidRPr="000B6613">
        <w:rPr>
          <w:rFonts w:ascii="Arial" w:hAnsi="Arial" w:cs="Arial"/>
          <w:color w:val="000000" w:themeColor="text1"/>
        </w:rPr>
        <w:t>. Se destaca la reproducción social como la perpetuación de condiciones desiguales que benefician al Estado-Nación y a las clases privilegiadas. Los mecanismos de reproducción social incluyen la introyección, ideología y pseudo-concreción.</w:t>
      </w:r>
      <w:r w:rsidR="00AC6AE4">
        <w:rPr>
          <w:rStyle w:val="Refdenotaalfinal"/>
          <w:rFonts w:ascii="Arial" w:hAnsi="Arial" w:cs="Arial"/>
          <w:color w:val="000000" w:themeColor="text1"/>
        </w:rPr>
        <w:endnoteReference w:id="48"/>
      </w:r>
    </w:p>
    <w:p w:rsidR="000B6613" w:rsidRPr="000B6613" w:rsidRDefault="00387E5D" w:rsidP="009B34ED">
      <w:pPr>
        <w:spacing w:line="480" w:lineRule="auto"/>
        <w:rPr>
          <w:rFonts w:ascii="Arial" w:hAnsi="Arial" w:cs="Arial"/>
          <w:color w:val="000000" w:themeColor="text1"/>
        </w:rPr>
      </w:pPr>
      <w:r w:rsidRPr="00F92464">
        <w:rPr>
          <w:rFonts w:ascii="Arial" w:hAnsi="Arial" w:cs="Arial"/>
          <w:color w:val="000000" w:themeColor="text1"/>
        </w:rPr>
        <w:t>Podemos decir a modo de resumen que</w:t>
      </w:r>
      <w:r w:rsidR="000B6613" w:rsidRPr="000B6613">
        <w:rPr>
          <w:rFonts w:ascii="Arial" w:hAnsi="Arial" w:cs="Arial"/>
          <w:color w:val="000000" w:themeColor="text1"/>
        </w:rPr>
        <w:t xml:space="preserve"> la educación no solo transmite conocimientos, sino también ideologías que pueden perpetuar la desigualdad. Comprender los contenidos ideológicos y los mecanismos de reproducción social es esencial para analizar críticamente el papel de la educación en la sociedad.</w:t>
      </w:r>
    </w:p>
    <w:p w:rsidR="000B6613" w:rsidRPr="00F92464" w:rsidRDefault="000B6613" w:rsidP="009B34ED">
      <w:pPr>
        <w:spacing w:line="480" w:lineRule="auto"/>
        <w:rPr>
          <w:rFonts w:ascii="Arial" w:hAnsi="Arial" w:cs="Arial"/>
          <w:color w:val="000000" w:themeColor="text1"/>
        </w:rPr>
      </w:pPr>
    </w:p>
    <w:p w:rsidR="00D52F4E" w:rsidRPr="00D52F4E" w:rsidRDefault="00D52F4E" w:rsidP="009B34ED">
      <w:pPr>
        <w:spacing w:line="480" w:lineRule="auto"/>
        <w:rPr>
          <w:rFonts w:ascii="Arial" w:hAnsi="Arial" w:cs="Arial"/>
          <w:color w:val="000000" w:themeColor="text1"/>
        </w:rPr>
      </w:pPr>
      <w:r w:rsidRPr="00F92464">
        <w:rPr>
          <w:rFonts w:ascii="Arial" w:hAnsi="Arial" w:cs="Arial"/>
          <w:color w:val="000000" w:themeColor="text1"/>
        </w:rPr>
        <w:t xml:space="preserve">Otro elemento a considerar es </w:t>
      </w:r>
      <w:r w:rsidRPr="00D52F4E">
        <w:rPr>
          <w:rFonts w:ascii="Arial" w:hAnsi="Arial" w:cs="Arial"/>
          <w:color w:val="000000" w:themeColor="text1"/>
        </w:rPr>
        <w:t xml:space="preserve"> "La Educación Global, Intercultural y Emancipatoria"</w:t>
      </w:r>
      <w:r w:rsidR="00B06F03" w:rsidRPr="00F92464">
        <w:rPr>
          <w:rFonts w:ascii="Arial" w:hAnsi="Arial" w:cs="Arial"/>
          <w:color w:val="000000" w:themeColor="text1"/>
        </w:rPr>
        <w:t xml:space="preserve">. </w:t>
      </w:r>
      <w:r w:rsidRPr="00D52F4E">
        <w:rPr>
          <w:rFonts w:ascii="Arial" w:hAnsi="Arial" w:cs="Arial"/>
          <w:color w:val="000000" w:themeColor="text1"/>
        </w:rPr>
        <w:t xml:space="preserve">El </w:t>
      </w:r>
      <w:r w:rsidRPr="00F92464">
        <w:rPr>
          <w:rFonts w:ascii="Arial" w:hAnsi="Arial" w:cs="Arial"/>
          <w:color w:val="000000" w:themeColor="text1"/>
        </w:rPr>
        <w:t>relevante papel que juega la globalidad en la dinámica de la educación intercultural</w:t>
      </w:r>
      <w:r w:rsidR="00B06F03" w:rsidRPr="00F92464">
        <w:rPr>
          <w:rFonts w:ascii="Arial" w:hAnsi="Arial" w:cs="Arial"/>
          <w:color w:val="000000" w:themeColor="text1"/>
        </w:rPr>
        <w:t xml:space="preserve"> y emancipadora</w:t>
      </w:r>
      <w:r w:rsidRPr="00D52F4E">
        <w:rPr>
          <w:rFonts w:ascii="Arial" w:hAnsi="Arial" w:cs="Arial"/>
          <w:color w:val="000000" w:themeColor="text1"/>
        </w:rPr>
        <w:t>, así como los beneficios de la interculturalidad en contraposición al entorno neoliberal.</w:t>
      </w:r>
      <w:r w:rsidR="009B34ED" w:rsidRPr="00F92464">
        <w:rPr>
          <w:rFonts w:ascii="Arial" w:hAnsi="Arial" w:cs="Arial"/>
          <w:color w:val="000000" w:themeColor="text1"/>
        </w:rPr>
        <w:t xml:space="preserve"> </w:t>
      </w:r>
      <w:r w:rsidR="00B06F03" w:rsidRPr="00F92464">
        <w:rPr>
          <w:rFonts w:ascii="Arial" w:hAnsi="Arial" w:cs="Arial"/>
          <w:color w:val="000000" w:themeColor="text1"/>
        </w:rPr>
        <w:t>L</w:t>
      </w:r>
      <w:r w:rsidRPr="00D52F4E">
        <w:rPr>
          <w:rFonts w:ascii="Arial" w:hAnsi="Arial" w:cs="Arial"/>
          <w:color w:val="000000" w:themeColor="text1"/>
        </w:rPr>
        <w:t>a globalidad como un fenómeno de interacción generalizado, marcado por mayores conexiones y flujos migratorios. La educación se presenta como un recurso de cambio en este contexto, y se mencionan propuestas como el Bachillerato Internacional para abordar la globalidad educativa.</w:t>
      </w:r>
    </w:p>
    <w:p w:rsidR="00D52F4E" w:rsidRPr="00D52F4E" w:rsidRDefault="00D52F4E" w:rsidP="009B34ED">
      <w:pPr>
        <w:spacing w:line="480" w:lineRule="auto"/>
        <w:rPr>
          <w:rFonts w:ascii="Arial" w:hAnsi="Arial" w:cs="Arial"/>
          <w:color w:val="000000" w:themeColor="text1"/>
        </w:rPr>
      </w:pPr>
      <w:r w:rsidRPr="00D52F4E">
        <w:rPr>
          <w:rFonts w:ascii="Arial" w:hAnsi="Arial" w:cs="Arial"/>
          <w:color w:val="000000" w:themeColor="text1"/>
        </w:rPr>
        <w:lastRenderedPageBreak/>
        <w:t xml:space="preserve">El "Proyecto Moderno", </w:t>
      </w:r>
      <w:r w:rsidR="00B06F03" w:rsidRPr="00F92464">
        <w:rPr>
          <w:rFonts w:ascii="Arial" w:hAnsi="Arial" w:cs="Arial"/>
          <w:color w:val="000000" w:themeColor="text1"/>
        </w:rPr>
        <w:t>cuyo</w:t>
      </w:r>
      <w:r w:rsidRPr="00D52F4E">
        <w:rPr>
          <w:rFonts w:ascii="Arial" w:hAnsi="Arial" w:cs="Arial"/>
          <w:color w:val="000000" w:themeColor="text1"/>
        </w:rPr>
        <w:t xml:space="preserve">  origen </w:t>
      </w:r>
      <w:r w:rsidR="00B06F03" w:rsidRPr="00F92464">
        <w:rPr>
          <w:rFonts w:ascii="Arial" w:hAnsi="Arial" w:cs="Arial"/>
          <w:color w:val="000000" w:themeColor="text1"/>
        </w:rPr>
        <w:t xml:space="preserve">fue </w:t>
      </w:r>
      <w:r w:rsidRPr="00D52F4E">
        <w:rPr>
          <w:rFonts w:ascii="Arial" w:hAnsi="Arial" w:cs="Arial"/>
          <w:color w:val="000000" w:themeColor="text1"/>
        </w:rPr>
        <w:t>en Europa y su búsqueda de emancipación a través de la educación. Sin embargo, se señala que la globalidad presenta desafíos al proyecto moderno al mostrar coincidencias y diferencias culturales.</w:t>
      </w:r>
    </w:p>
    <w:p w:rsidR="00D52F4E" w:rsidRPr="00D52F4E" w:rsidRDefault="009B34ED" w:rsidP="009B34ED">
      <w:pPr>
        <w:spacing w:line="480" w:lineRule="auto"/>
        <w:rPr>
          <w:rFonts w:ascii="Arial" w:hAnsi="Arial" w:cs="Arial"/>
          <w:color w:val="000000" w:themeColor="text1"/>
        </w:rPr>
      </w:pPr>
      <w:r w:rsidRPr="00F92464">
        <w:rPr>
          <w:rFonts w:ascii="Arial" w:hAnsi="Arial" w:cs="Arial"/>
          <w:color w:val="000000" w:themeColor="text1"/>
        </w:rPr>
        <w:t>El autor</w:t>
      </w:r>
      <w:r w:rsidR="00D52F4E" w:rsidRPr="00D52F4E">
        <w:rPr>
          <w:rFonts w:ascii="Arial" w:hAnsi="Arial" w:cs="Arial"/>
          <w:color w:val="000000" w:themeColor="text1"/>
        </w:rPr>
        <w:t xml:space="preserve"> introduce el pensamiento neoliberal, marcado por la competencia individual, la retirada del Estado en favor de la meritocracia y la ley del más fuerte. Se contrasta con la posmodernidad, caracterizada por el desencanto, el cambio hacia una economía del consumo y la importancia de los medios de masas.</w:t>
      </w:r>
    </w:p>
    <w:p w:rsidR="00D52F4E" w:rsidRPr="00D52F4E" w:rsidRDefault="009B34ED" w:rsidP="009B34ED">
      <w:pPr>
        <w:spacing w:line="480" w:lineRule="auto"/>
        <w:rPr>
          <w:rFonts w:ascii="Arial" w:hAnsi="Arial" w:cs="Arial"/>
          <w:color w:val="000000" w:themeColor="text1"/>
        </w:rPr>
      </w:pPr>
      <w:r w:rsidRPr="00F92464">
        <w:rPr>
          <w:rFonts w:ascii="Arial" w:hAnsi="Arial" w:cs="Arial"/>
          <w:color w:val="000000" w:themeColor="text1"/>
        </w:rPr>
        <w:t>Por su parte, l</w:t>
      </w:r>
      <w:r w:rsidR="00D52F4E" w:rsidRPr="00D52F4E">
        <w:rPr>
          <w:rFonts w:ascii="Arial" w:hAnsi="Arial" w:cs="Arial"/>
          <w:color w:val="000000" w:themeColor="text1"/>
        </w:rPr>
        <w:t>a "Generación X" se menciona como una consecuencia cultural de la posmodernidad, marcada por el infantilismo y la dependencia tecnológica. El neoliberalismo se presenta como un desafío para esta generación.</w:t>
      </w:r>
      <w:r w:rsidR="00AC6AE4">
        <w:rPr>
          <w:rStyle w:val="Refdenotaalfinal"/>
          <w:rFonts w:ascii="Arial" w:hAnsi="Arial" w:cs="Arial"/>
          <w:color w:val="000000" w:themeColor="text1"/>
        </w:rPr>
        <w:endnoteReference w:id="49"/>
      </w:r>
    </w:p>
    <w:p w:rsidR="00D52F4E" w:rsidRPr="00D52F4E" w:rsidRDefault="009B34ED" w:rsidP="009B34ED">
      <w:pPr>
        <w:spacing w:line="480" w:lineRule="auto"/>
        <w:rPr>
          <w:rFonts w:ascii="Arial" w:hAnsi="Arial" w:cs="Arial"/>
          <w:color w:val="000000" w:themeColor="text1"/>
        </w:rPr>
      </w:pPr>
      <w:r w:rsidRPr="00F92464">
        <w:rPr>
          <w:rFonts w:ascii="Arial" w:hAnsi="Arial" w:cs="Arial"/>
          <w:color w:val="000000" w:themeColor="text1"/>
        </w:rPr>
        <w:t>Además, s</w:t>
      </w:r>
      <w:r w:rsidR="00D52F4E" w:rsidRPr="00D52F4E">
        <w:rPr>
          <w:rFonts w:ascii="Arial" w:hAnsi="Arial" w:cs="Arial"/>
          <w:color w:val="000000" w:themeColor="text1"/>
        </w:rPr>
        <w:t>e aborda la redistribución cultural, discutiendo cómo los sistemas de información contribuyen a comprender la diversidad cultural. Se señala la polémica de este proceso y su relación con las políticas de inclusión y diversidad.</w:t>
      </w:r>
    </w:p>
    <w:p w:rsidR="00D52F4E" w:rsidRPr="00D52F4E" w:rsidRDefault="009B34ED" w:rsidP="009B34ED">
      <w:pPr>
        <w:spacing w:line="480" w:lineRule="auto"/>
        <w:rPr>
          <w:rFonts w:ascii="Arial" w:hAnsi="Arial" w:cs="Arial"/>
          <w:color w:val="000000" w:themeColor="text1"/>
        </w:rPr>
      </w:pPr>
      <w:r w:rsidRPr="00F92464">
        <w:rPr>
          <w:rFonts w:ascii="Arial" w:hAnsi="Arial" w:cs="Arial"/>
          <w:color w:val="000000" w:themeColor="text1"/>
        </w:rPr>
        <w:t xml:space="preserve">Existen problemas respecto de la educación </w:t>
      </w:r>
      <w:r w:rsidR="00D52F4E" w:rsidRPr="00D52F4E">
        <w:rPr>
          <w:rFonts w:ascii="Arial" w:hAnsi="Arial" w:cs="Arial"/>
          <w:color w:val="000000" w:themeColor="text1"/>
        </w:rPr>
        <w:t>emancipatoria y para el desarrollo. Se destaca la complejidad de educar y transformar en un nuevo modelo educativo que busque la emancipación y el desarrollo. Se menciona la importancia de la cooperación internacional y la necesidad de entender la educación como un proceso de desarrollo sustentable y justicia social.</w:t>
      </w:r>
    </w:p>
    <w:p w:rsidR="0039245E" w:rsidRDefault="009B34ED" w:rsidP="009B34ED">
      <w:pPr>
        <w:spacing w:line="480" w:lineRule="auto"/>
        <w:rPr>
          <w:rFonts w:ascii="Arial" w:hAnsi="Arial" w:cs="Arial"/>
          <w:color w:val="000000" w:themeColor="text1"/>
        </w:rPr>
      </w:pPr>
      <w:r w:rsidRPr="00F92464">
        <w:rPr>
          <w:rFonts w:ascii="Arial" w:hAnsi="Arial" w:cs="Arial"/>
          <w:color w:val="000000" w:themeColor="text1"/>
        </w:rPr>
        <w:t>Como</w:t>
      </w:r>
      <w:r w:rsidR="00D52F4E" w:rsidRPr="00D52F4E">
        <w:rPr>
          <w:rFonts w:ascii="Arial" w:hAnsi="Arial" w:cs="Arial"/>
          <w:color w:val="000000" w:themeColor="text1"/>
        </w:rPr>
        <w:t xml:space="preserve"> cierre, se destaca la importancia de ser crítico de la educación y se menciona la tensión entre la oposición a la educación tradicional y el apoyo a la educación emancipatoria como fuente de crítica y propuestas educativas.</w:t>
      </w:r>
    </w:p>
    <w:p w:rsidR="00F92464" w:rsidRDefault="00F92464" w:rsidP="009B34ED">
      <w:pPr>
        <w:spacing w:line="480" w:lineRule="auto"/>
        <w:rPr>
          <w:rFonts w:ascii="Arial" w:hAnsi="Arial" w:cs="Arial"/>
          <w:color w:val="000000" w:themeColor="text1"/>
        </w:rPr>
      </w:pPr>
    </w:p>
    <w:p w:rsidR="00AC6AE4" w:rsidRPr="00F92464" w:rsidRDefault="00AC6AE4" w:rsidP="009B34ED">
      <w:pPr>
        <w:spacing w:line="480" w:lineRule="auto"/>
        <w:rPr>
          <w:rFonts w:ascii="Arial" w:hAnsi="Arial" w:cs="Arial"/>
          <w:color w:val="000000" w:themeColor="text1"/>
        </w:rPr>
      </w:pPr>
    </w:p>
    <w:p w:rsidR="00836B4F" w:rsidRPr="00F92464" w:rsidRDefault="0039245E" w:rsidP="009B34ED">
      <w:pPr>
        <w:spacing w:line="480" w:lineRule="auto"/>
        <w:rPr>
          <w:rFonts w:ascii="Arial" w:hAnsi="Arial" w:cs="Arial"/>
          <w:b/>
          <w:bCs/>
          <w:color w:val="000000" w:themeColor="text1"/>
        </w:rPr>
      </w:pPr>
      <w:r w:rsidRPr="00F92464">
        <w:rPr>
          <w:rFonts w:ascii="Arial" w:hAnsi="Arial" w:cs="Arial"/>
          <w:b/>
          <w:bCs/>
          <w:color w:val="000000" w:themeColor="text1"/>
        </w:rPr>
        <w:lastRenderedPageBreak/>
        <w:t>Resumen Crítico</w:t>
      </w:r>
      <w:r w:rsidR="00836B4F" w:rsidRPr="00F92464">
        <w:rPr>
          <w:rFonts w:ascii="Arial" w:hAnsi="Arial" w:cs="Arial"/>
          <w:b/>
          <w:bCs/>
          <w:color w:val="000000" w:themeColor="text1"/>
        </w:rPr>
        <w:t>.</w:t>
      </w:r>
    </w:p>
    <w:p w:rsidR="0039245E" w:rsidRPr="00F92464" w:rsidRDefault="0039245E" w:rsidP="009B34ED">
      <w:pPr>
        <w:spacing w:line="480" w:lineRule="auto"/>
        <w:rPr>
          <w:rFonts w:ascii="Arial" w:hAnsi="Arial" w:cs="Arial"/>
          <w:color w:val="000000" w:themeColor="text1"/>
        </w:rPr>
      </w:pPr>
      <w:r w:rsidRPr="00F92464">
        <w:rPr>
          <w:rFonts w:ascii="Arial" w:hAnsi="Arial" w:cs="Arial"/>
          <w:color w:val="000000" w:themeColor="text1"/>
        </w:rPr>
        <w:t>El artículo proporciona una visión integral de la educación en el contexto global actual, explorando temas relevantes como la influencia de la globalización, los desafíos del neoliberalismo, la redistribución cultural y la necesidad de un nuevo modelo educativo. Sin embargo, se observa cierta inclinación hacia una perspectiva crítica de la educación tradicional a favor de un enfoque emancipatorio, lo que puede limitar la objetividad del análisis. Además, la complejidad de los temas tratados podría requerir un enfoque más detallado para una comprensión más profunda.</w:t>
      </w:r>
    </w:p>
    <w:p w:rsidR="0039245E" w:rsidRDefault="0039245E" w:rsidP="009B34ED">
      <w:pPr>
        <w:spacing w:line="480" w:lineRule="auto"/>
        <w:rPr>
          <w:rFonts w:ascii="Arial" w:hAnsi="Arial" w:cs="Arial"/>
          <w:color w:val="000000" w:themeColor="text1"/>
        </w:rPr>
      </w:pPr>
    </w:p>
    <w:p w:rsidR="00AC6AE4" w:rsidRPr="00AC6AE4" w:rsidRDefault="00AC6AE4" w:rsidP="009B34ED">
      <w:pPr>
        <w:spacing w:line="480" w:lineRule="auto"/>
        <w:rPr>
          <w:rFonts w:ascii="Arial" w:hAnsi="Arial" w:cs="Arial"/>
          <w:b/>
          <w:bCs/>
          <w:color w:val="000000" w:themeColor="text1"/>
        </w:rPr>
      </w:pPr>
      <w:r w:rsidRPr="00AC6AE4">
        <w:rPr>
          <w:rFonts w:ascii="Arial" w:hAnsi="Arial" w:cs="Arial"/>
          <w:b/>
          <w:bCs/>
          <w:color w:val="000000" w:themeColor="text1"/>
        </w:rPr>
        <w:t>Bibliografía.</w:t>
      </w:r>
    </w:p>
    <w:p w:rsidR="00871151" w:rsidRPr="00F92464" w:rsidRDefault="00871151" w:rsidP="009B34ED">
      <w:pPr>
        <w:spacing w:line="480" w:lineRule="auto"/>
        <w:rPr>
          <w:rFonts w:ascii="Arial" w:hAnsi="Arial" w:cs="Arial"/>
          <w:color w:val="000000" w:themeColor="text1"/>
        </w:rPr>
      </w:pPr>
    </w:p>
    <w:sectPr w:rsidR="00871151" w:rsidRPr="00F92464">
      <w:footerReference w:type="even" r:id="rId9"/>
      <w:footerReference w:type="default" r:id="rId10"/>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7A87" w:rsidRDefault="00157A87" w:rsidP="009B34ED">
      <w:r>
        <w:separator/>
      </w:r>
    </w:p>
  </w:endnote>
  <w:endnote w:type="continuationSeparator" w:id="0">
    <w:p w:rsidR="00157A87" w:rsidRDefault="00157A87" w:rsidP="009B34ED">
      <w:r>
        <w:continuationSeparator/>
      </w:r>
    </w:p>
  </w:endnote>
  <w:endnote w:id="1">
    <w:p w:rsidR="00214C75" w:rsidRPr="00214C75" w:rsidRDefault="00214C75">
      <w:pPr>
        <w:pStyle w:val="Textonotaalfinal"/>
        <w:rPr>
          <w:lang w:val="es-ES_tradnl"/>
        </w:rPr>
      </w:pPr>
      <w:r>
        <w:rPr>
          <w:rStyle w:val="Refdenotaalfinal"/>
        </w:rPr>
        <w:endnoteRef/>
      </w:r>
      <w:r>
        <w:t xml:space="preserve"> </w:t>
      </w:r>
      <w:r>
        <w:rPr>
          <w:rFonts w:ascii="Arial" w:hAnsi="Arial" w:cs="Arial"/>
          <w:color w:val="000000"/>
          <w:sz w:val="18"/>
          <w:szCs w:val="18"/>
        </w:rPr>
        <w:t>Calzadilla, Ramón. (2010). La crisis humana como una crisis en la formación de valores. </w:t>
      </w:r>
      <w:r>
        <w:rPr>
          <w:rFonts w:ascii="Arial" w:hAnsi="Arial" w:cs="Arial"/>
          <w:i/>
          <w:iCs/>
          <w:color w:val="000000"/>
          <w:sz w:val="18"/>
          <w:szCs w:val="18"/>
        </w:rPr>
        <w:t>SAPIENS</w:t>
      </w:r>
      <w:r>
        <w:rPr>
          <w:rFonts w:ascii="Arial" w:hAnsi="Arial" w:cs="Arial"/>
          <w:color w:val="000000"/>
          <w:sz w:val="18"/>
          <w:szCs w:val="18"/>
        </w:rPr>
        <w:t>, </w:t>
      </w:r>
      <w:r>
        <w:rPr>
          <w:rFonts w:ascii="Arial" w:hAnsi="Arial" w:cs="Arial"/>
          <w:i/>
          <w:iCs/>
          <w:color w:val="000000"/>
          <w:sz w:val="18"/>
          <w:szCs w:val="18"/>
        </w:rPr>
        <w:t>11</w:t>
      </w:r>
      <w:r>
        <w:rPr>
          <w:rFonts w:ascii="Arial" w:hAnsi="Arial" w:cs="Arial"/>
          <w:color w:val="000000"/>
          <w:sz w:val="18"/>
          <w:szCs w:val="18"/>
        </w:rPr>
        <w:t>(2), 23-28. Recuperado en 19 de diciembre de 2023, de http://ve.scielo.org/scielo.php?script=sci_arttext&amp;pid=S1317-58152010000200005&amp;lng=es&amp;tlng=es.</w:t>
      </w:r>
    </w:p>
  </w:endnote>
  <w:endnote w:id="2">
    <w:p w:rsidR="00214C75" w:rsidRPr="00214C75" w:rsidRDefault="00214C75">
      <w:pPr>
        <w:pStyle w:val="Textonotaalfinal"/>
        <w:rPr>
          <w:lang w:val="es-ES_tradnl"/>
        </w:rPr>
      </w:pPr>
      <w:r>
        <w:rPr>
          <w:rStyle w:val="Refdenotaalfinal"/>
        </w:rPr>
        <w:endnoteRef/>
      </w:r>
      <w:r>
        <w:t xml:space="preserve"> </w:t>
      </w:r>
      <w:r>
        <w:rPr>
          <w:rFonts w:ascii="Arial" w:hAnsi="Arial" w:cs="Arial"/>
          <w:color w:val="000000"/>
          <w:sz w:val="18"/>
          <w:szCs w:val="18"/>
        </w:rPr>
        <w:t>Rodríguez de Contreras, Cruz María. (2013). Crisis en la sociedad actual: Agoniza la esperanza. </w:t>
      </w:r>
      <w:r>
        <w:rPr>
          <w:rFonts w:ascii="Arial" w:hAnsi="Arial" w:cs="Arial"/>
          <w:i/>
          <w:iCs/>
          <w:color w:val="000000"/>
          <w:sz w:val="18"/>
          <w:szCs w:val="18"/>
        </w:rPr>
        <w:t>SAPIENS</w:t>
      </w:r>
      <w:r>
        <w:rPr>
          <w:rFonts w:ascii="Arial" w:hAnsi="Arial" w:cs="Arial"/>
          <w:color w:val="000000"/>
          <w:sz w:val="18"/>
          <w:szCs w:val="18"/>
        </w:rPr>
        <w:t>, </w:t>
      </w:r>
      <w:r>
        <w:rPr>
          <w:rFonts w:ascii="Arial" w:hAnsi="Arial" w:cs="Arial"/>
          <w:i/>
          <w:iCs/>
          <w:color w:val="000000"/>
          <w:sz w:val="18"/>
          <w:szCs w:val="18"/>
        </w:rPr>
        <w:t>14</w:t>
      </w:r>
      <w:r>
        <w:rPr>
          <w:rFonts w:ascii="Arial" w:hAnsi="Arial" w:cs="Arial"/>
          <w:color w:val="000000"/>
          <w:sz w:val="18"/>
          <w:szCs w:val="18"/>
        </w:rPr>
        <w:t>(1), 009-012. Recuperado en 19 de diciembre de 2023, de http://ve.scielo.org/scielo.php?script=sci_arttext&amp;pid=S1317-58152013000100001&amp;lng=es&amp;tlng=es.</w:t>
      </w:r>
    </w:p>
  </w:endnote>
  <w:endnote w:id="3">
    <w:p w:rsidR="00214C75" w:rsidRPr="00214C75" w:rsidRDefault="00214C75">
      <w:pPr>
        <w:pStyle w:val="Textonotaalfinal"/>
        <w:rPr>
          <w:lang w:val="es-ES_tradnl"/>
        </w:rPr>
      </w:pPr>
      <w:r>
        <w:rPr>
          <w:rStyle w:val="Refdenotaalfinal"/>
        </w:rPr>
        <w:endnoteRef/>
      </w:r>
      <w:r>
        <w:t xml:space="preserve"> </w:t>
      </w:r>
      <w:r>
        <w:rPr>
          <w:rFonts w:ascii="Arial" w:hAnsi="Arial" w:cs="Arial"/>
          <w:color w:val="000000"/>
          <w:sz w:val="18"/>
          <w:szCs w:val="18"/>
        </w:rPr>
        <w:t xml:space="preserve">Díaz-Perera Fernández, Georgia, &amp; </w:t>
      </w:r>
      <w:proofErr w:type="spellStart"/>
      <w:r>
        <w:rPr>
          <w:rFonts w:ascii="Arial" w:hAnsi="Arial" w:cs="Arial"/>
          <w:color w:val="000000"/>
          <w:sz w:val="18"/>
          <w:szCs w:val="18"/>
        </w:rPr>
        <w:t>Alemañy</w:t>
      </w:r>
      <w:proofErr w:type="spellEnd"/>
      <w:r>
        <w:rPr>
          <w:rFonts w:ascii="Arial" w:hAnsi="Arial" w:cs="Arial"/>
          <w:color w:val="000000"/>
          <w:sz w:val="18"/>
          <w:szCs w:val="18"/>
        </w:rPr>
        <w:t xml:space="preserve"> Pérez, Eduardo. (2011). Enfoque de la desigualdad social en periodo de crisis: experiencia cubana. </w:t>
      </w:r>
      <w:r>
        <w:rPr>
          <w:rFonts w:ascii="Arial" w:hAnsi="Arial" w:cs="Arial"/>
          <w:i/>
          <w:iCs/>
          <w:color w:val="000000"/>
          <w:sz w:val="18"/>
          <w:szCs w:val="18"/>
        </w:rPr>
        <w:t>Revista Habanera de Ciencias Médicas</w:t>
      </w:r>
      <w:r>
        <w:rPr>
          <w:rFonts w:ascii="Arial" w:hAnsi="Arial" w:cs="Arial"/>
          <w:color w:val="000000"/>
          <w:sz w:val="18"/>
          <w:szCs w:val="18"/>
        </w:rPr>
        <w:t>, </w:t>
      </w:r>
      <w:r>
        <w:rPr>
          <w:rFonts w:ascii="Arial" w:hAnsi="Arial" w:cs="Arial"/>
          <w:i/>
          <w:iCs/>
          <w:color w:val="000000"/>
          <w:sz w:val="18"/>
          <w:szCs w:val="18"/>
        </w:rPr>
        <w:t>10</w:t>
      </w:r>
      <w:r>
        <w:rPr>
          <w:rFonts w:ascii="Arial" w:hAnsi="Arial" w:cs="Arial"/>
          <w:color w:val="000000"/>
          <w:sz w:val="18"/>
          <w:szCs w:val="18"/>
        </w:rPr>
        <w:t>(1), 145-154. Recuperado en 19 de diciembre de 2023, de http://scielo.sld.cu/scielo.php?script=sci_arttext&amp;pid=S1729-519X2011000100019&amp;lng=es&amp;tlng=es.</w:t>
      </w:r>
    </w:p>
  </w:endnote>
  <w:endnote w:id="4">
    <w:p w:rsidR="00214C75" w:rsidRPr="00214C75" w:rsidRDefault="00214C75">
      <w:pPr>
        <w:pStyle w:val="Textonotaalfinal"/>
        <w:rPr>
          <w:lang w:val="es-ES_tradnl"/>
        </w:rPr>
      </w:pPr>
      <w:r>
        <w:rPr>
          <w:rStyle w:val="Refdenotaalfinal"/>
        </w:rPr>
        <w:endnoteRef/>
      </w:r>
      <w:r>
        <w:t xml:space="preserve"> </w:t>
      </w:r>
      <w:r>
        <w:rPr>
          <w:rFonts w:ascii="Arial" w:hAnsi="Arial" w:cs="Arial"/>
          <w:color w:val="000000"/>
          <w:sz w:val="18"/>
          <w:szCs w:val="18"/>
        </w:rPr>
        <w:t>Tortosa, José María. (2010). Violencias, crisis y culturas. </w:t>
      </w:r>
      <w:r>
        <w:rPr>
          <w:rFonts w:ascii="Arial" w:hAnsi="Arial" w:cs="Arial"/>
          <w:i/>
          <w:iCs/>
          <w:color w:val="000000"/>
          <w:sz w:val="18"/>
          <w:szCs w:val="18"/>
        </w:rPr>
        <w:t>Convergencia</w:t>
      </w:r>
      <w:r>
        <w:rPr>
          <w:rFonts w:ascii="Arial" w:hAnsi="Arial" w:cs="Arial"/>
          <w:color w:val="000000"/>
          <w:sz w:val="18"/>
          <w:szCs w:val="18"/>
        </w:rPr>
        <w:t>, </w:t>
      </w:r>
      <w:r>
        <w:rPr>
          <w:rFonts w:ascii="Arial" w:hAnsi="Arial" w:cs="Arial"/>
          <w:i/>
          <w:iCs/>
          <w:color w:val="000000"/>
          <w:sz w:val="18"/>
          <w:szCs w:val="18"/>
        </w:rPr>
        <w:t>17</w:t>
      </w:r>
      <w:r>
        <w:rPr>
          <w:rFonts w:ascii="Arial" w:hAnsi="Arial" w:cs="Arial"/>
          <w:color w:val="000000"/>
          <w:sz w:val="18"/>
          <w:szCs w:val="18"/>
        </w:rPr>
        <w:t>(53), 69-89. Recuperado en 19 de diciembre de 2023, de http://www.scielo.org.mx/scielo.php?script=sci_arttext&amp;pid=S1405-14352010000200004&amp;lng=es&amp;tlng=es.</w:t>
      </w:r>
    </w:p>
  </w:endnote>
  <w:endnote w:id="5">
    <w:p w:rsidR="00214C75" w:rsidRPr="00214C75" w:rsidRDefault="00214C75">
      <w:pPr>
        <w:pStyle w:val="Textonotaalfinal"/>
        <w:rPr>
          <w:lang w:val="es-ES_tradnl"/>
        </w:rPr>
      </w:pPr>
      <w:r>
        <w:rPr>
          <w:rStyle w:val="Refdenotaalfinal"/>
        </w:rPr>
        <w:endnoteRef/>
      </w:r>
      <w:r>
        <w:t xml:space="preserve"> </w:t>
      </w:r>
      <w:r w:rsidRPr="00214C75">
        <w:t>Calzadilla Ramón. "La crisis humana como una crisis en la formación de valores." Sapiens. Revista Universitaria de Investigación, vol. 11, no. 2, 2010, pp.57-74. Redalyc,  https://www.redalyc.org/articulo.oa?id=41028422005</w:t>
      </w:r>
    </w:p>
  </w:endnote>
  <w:endnote w:id="6">
    <w:p w:rsidR="003D09A2" w:rsidRPr="003D09A2" w:rsidRDefault="003D09A2">
      <w:pPr>
        <w:pStyle w:val="Textonotaalfinal"/>
        <w:rPr>
          <w:lang w:val="es-ES_tradnl"/>
        </w:rPr>
      </w:pPr>
      <w:r>
        <w:rPr>
          <w:rStyle w:val="Refdenotaalfinal"/>
        </w:rPr>
        <w:endnoteRef/>
      </w:r>
      <w:r>
        <w:t xml:space="preserve"> </w:t>
      </w:r>
      <w:proofErr w:type="spellStart"/>
      <w:r>
        <w:rPr>
          <w:lang w:val="es-ES_tradnl"/>
        </w:rPr>
        <w:t>Rodriguez</w:t>
      </w:r>
      <w:proofErr w:type="spellEnd"/>
      <w:r>
        <w:rPr>
          <w:lang w:val="es-ES_tradnl"/>
        </w:rPr>
        <w:t xml:space="preserve">, Pablo. (2004). </w:t>
      </w:r>
      <w:r>
        <w:t>¿Crisis moral o subversión de los valores?</w:t>
      </w:r>
      <w:r>
        <w:t xml:space="preserve">. </w:t>
      </w:r>
      <w:r>
        <w:t>Revista ACTUALIDAD JURIDICA N 10 - Julio 2004</w:t>
      </w:r>
      <w:r>
        <w:t xml:space="preserve">. </w:t>
      </w:r>
      <w:r>
        <w:t>Universidad del Desarrollo</w:t>
      </w:r>
      <w:r>
        <w:t xml:space="preserve">. </w:t>
      </w:r>
      <w:r w:rsidRPr="003D09A2">
        <w:t>https://derecho.udd.cl/actualidad-juridica/files/2021/01/AJ-Num-10-P13.pdf</w:t>
      </w:r>
    </w:p>
  </w:endnote>
  <w:endnote w:id="7">
    <w:p w:rsidR="00F30879" w:rsidRPr="00F30879" w:rsidRDefault="00F30879">
      <w:pPr>
        <w:pStyle w:val="Textonotaalfinal"/>
        <w:rPr>
          <w:lang w:val="es-ES_tradnl"/>
        </w:rPr>
      </w:pPr>
      <w:r>
        <w:rPr>
          <w:rStyle w:val="Refdenotaalfinal"/>
        </w:rPr>
        <w:endnoteRef/>
      </w:r>
      <w:r>
        <w:t xml:space="preserve"> </w:t>
      </w:r>
      <w:r w:rsidRPr="00F30879">
        <w:t xml:space="preserve">Pinto-Archundia, R.,  (2016). LA IMPORTANCIA DE PROMOVER LOS VALORES DEL HOGAR HACIA LAS ESCUELAS PRIMARIAS. Ra </w:t>
      </w:r>
      <w:proofErr w:type="spellStart"/>
      <w:r w:rsidRPr="00F30879">
        <w:t>Ximhai</w:t>
      </w:r>
      <w:proofErr w:type="spellEnd"/>
      <w:r w:rsidRPr="00F30879">
        <w:t>, 12(3), 271-283.</w:t>
      </w:r>
    </w:p>
  </w:endnote>
  <w:endnote w:id="8">
    <w:p w:rsidR="00F30879" w:rsidRPr="00F30879" w:rsidRDefault="00F30879">
      <w:pPr>
        <w:pStyle w:val="Textonotaalfinal"/>
        <w:rPr>
          <w:lang w:val="es-ES_tradnl"/>
        </w:rPr>
      </w:pPr>
      <w:r>
        <w:rPr>
          <w:rStyle w:val="Refdenotaalfinal"/>
        </w:rPr>
        <w:endnoteRef/>
      </w:r>
      <w:r>
        <w:t xml:space="preserve"> </w:t>
      </w:r>
      <w:r>
        <w:rPr>
          <w:lang w:val="es-ES_tradnl"/>
        </w:rPr>
        <w:t xml:space="preserve">Mazorco, Graciela. (2010). </w:t>
      </w:r>
      <w:r w:rsidR="000E2E10">
        <w:rPr>
          <w:lang w:val="es-ES_tradnl"/>
        </w:rPr>
        <w:t xml:space="preserve">Educación en crisis. </w:t>
      </w:r>
      <w:r w:rsidR="000E2E10">
        <w:t xml:space="preserve">Revista de la Universidad Bolivariana, Volumen 9, </w:t>
      </w:r>
      <w:proofErr w:type="spellStart"/>
      <w:r w:rsidR="000E2E10">
        <w:t>Nº</w:t>
      </w:r>
      <w:proofErr w:type="spellEnd"/>
      <w:r w:rsidR="000E2E10">
        <w:t xml:space="preserve"> 25, 2010, p. 269-288</w:t>
      </w:r>
      <w:r w:rsidR="000E2E10">
        <w:t xml:space="preserve">. </w:t>
      </w:r>
      <w:r w:rsidR="000E2E10" w:rsidRPr="000E2E10">
        <w:t>https://www.scielo.cl/pdf/polis/v9n25/art16.pdf</w:t>
      </w:r>
    </w:p>
  </w:endnote>
  <w:endnote w:id="9">
    <w:p w:rsidR="000E2E10" w:rsidRPr="000E2E10" w:rsidRDefault="000E2E10">
      <w:pPr>
        <w:pStyle w:val="Textonotaalfinal"/>
        <w:rPr>
          <w:lang w:val="es-ES_tradnl"/>
        </w:rPr>
      </w:pPr>
      <w:r>
        <w:rPr>
          <w:rStyle w:val="Refdenotaalfinal"/>
        </w:rPr>
        <w:endnoteRef/>
      </w:r>
      <w:r>
        <w:t xml:space="preserve"> </w:t>
      </w:r>
      <w:r>
        <w:rPr>
          <w:rFonts w:ascii="Arial" w:hAnsi="Arial" w:cs="Arial"/>
          <w:color w:val="000000"/>
          <w:sz w:val="18"/>
          <w:szCs w:val="18"/>
        </w:rPr>
        <w:t>Puerta Riera, María Isabel. (2016). Crisis de la democracia: Un recorrido por el debate en la teoría política contemporánea. </w:t>
      </w:r>
      <w:r>
        <w:rPr>
          <w:rFonts w:ascii="Arial" w:hAnsi="Arial" w:cs="Arial"/>
          <w:i/>
          <w:iCs/>
          <w:color w:val="000000"/>
          <w:sz w:val="18"/>
          <w:szCs w:val="18"/>
        </w:rPr>
        <w:t>Espiral (Guadalajara)</w:t>
      </w:r>
      <w:r>
        <w:rPr>
          <w:rFonts w:ascii="Arial" w:hAnsi="Arial" w:cs="Arial"/>
          <w:color w:val="000000"/>
          <w:sz w:val="18"/>
          <w:szCs w:val="18"/>
        </w:rPr>
        <w:t>, </w:t>
      </w:r>
      <w:r>
        <w:rPr>
          <w:rFonts w:ascii="Arial" w:hAnsi="Arial" w:cs="Arial"/>
          <w:i/>
          <w:iCs/>
          <w:color w:val="000000"/>
          <w:sz w:val="18"/>
          <w:szCs w:val="18"/>
        </w:rPr>
        <w:t>23</w:t>
      </w:r>
      <w:r>
        <w:rPr>
          <w:rFonts w:ascii="Arial" w:hAnsi="Arial" w:cs="Arial"/>
          <w:color w:val="000000"/>
          <w:sz w:val="18"/>
          <w:szCs w:val="18"/>
        </w:rPr>
        <w:t>(65), 09-43. Recuperado en 19 de diciembre de 2023, de http://www.scielo.org.mx/scielo.php?script=sci_arttext&amp;pid=S1665-05652016000100001&amp;lng=es&amp;tlng=es.</w:t>
      </w:r>
    </w:p>
  </w:endnote>
  <w:endnote w:id="10">
    <w:p w:rsidR="000E2E10" w:rsidRPr="000E2E10" w:rsidRDefault="000E2E10">
      <w:pPr>
        <w:pStyle w:val="Textonotaalfinal"/>
        <w:rPr>
          <w:lang w:val="es-ES_tradnl"/>
        </w:rPr>
      </w:pPr>
      <w:r>
        <w:rPr>
          <w:rStyle w:val="Refdenotaalfinal"/>
        </w:rPr>
        <w:endnoteRef/>
      </w:r>
      <w:r>
        <w:t xml:space="preserve"> </w:t>
      </w:r>
      <w:r>
        <w:rPr>
          <w:rFonts w:ascii="Arial" w:hAnsi="Arial" w:cs="Arial"/>
          <w:color w:val="000000"/>
          <w:sz w:val="18"/>
          <w:szCs w:val="18"/>
        </w:rPr>
        <w:t>Calzadilla, Ramón. (2010). La crisis humana como una crisis en la formación de valores. </w:t>
      </w:r>
      <w:r>
        <w:rPr>
          <w:rFonts w:ascii="Arial" w:hAnsi="Arial" w:cs="Arial"/>
          <w:i/>
          <w:iCs/>
          <w:color w:val="000000"/>
          <w:sz w:val="18"/>
          <w:szCs w:val="18"/>
        </w:rPr>
        <w:t>SAPIENS</w:t>
      </w:r>
      <w:r>
        <w:rPr>
          <w:rFonts w:ascii="Arial" w:hAnsi="Arial" w:cs="Arial"/>
          <w:color w:val="000000"/>
          <w:sz w:val="18"/>
          <w:szCs w:val="18"/>
        </w:rPr>
        <w:t>, </w:t>
      </w:r>
      <w:r>
        <w:rPr>
          <w:rFonts w:ascii="Arial" w:hAnsi="Arial" w:cs="Arial"/>
          <w:i/>
          <w:iCs/>
          <w:color w:val="000000"/>
          <w:sz w:val="18"/>
          <w:szCs w:val="18"/>
        </w:rPr>
        <w:t>11</w:t>
      </w:r>
      <w:r>
        <w:rPr>
          <w:rFonts w:ascii="Arial" w:hAnsi="Arial" w:cs="Arial"/>
          <w:color w:val="000000"/>
          <w:sz w:val="18"/>
          <w:szCs w:val="18"/>
        </w:rPr>
        <w:t>(2), 23-28. Recuperado en 19 de diciembre de 2023, de http://ve.scielo.org/scielo.php?script=sci_arttext&amp;pid=S1317-58152010000200005&amp;lng=es&amp;tlng=es.</w:t>
      </w:r>
    </w:p>
  </w:endnote>
  <w:endnote w:id="11">
    <w:p w:rsidR="000E2E10" w:rsidRPr="000E2E10" w:rsidRDefault="000E2E10">
      <w:pPr>
        <w:pStyle w:val="Textonotaalfinal"/>
        <w:rPr>
          <w:lang w:val="es-ES_tradnl"/>
        </w:rPr>
      </w:pPr>
      <w:r>
        <w:rPr>
          <w:rStyle w:val="Refdenotaalfinal"/>
        </w:rPr>
        <w:endnoteRef/>
      </w:r>
      <w:r>
        <w:t xml:space="preserve"> </w:t>
      </w:r>
      <w:r>
        <w:rPr>
          <w:lang w:val="es-ES_tradnl"/>
        </w:rPr>
        <w:t xml:space="preserve">Calzadilla, Ramón. (2010). </w:t>
      </w:r>
      <w:r>
        <w:t>La crisis humana como una crisis en la formación de valores</w:t>
      </w:r>
      <w:r>
        <w:t xml:space="preserve">. </w:t>
      </w:r>
      <w:r>
        <w:t>UPEL- Instituto Pedagógico de Miranda</w:t>
      </w:r>
      <w:r>
        <w:t xml:space="preserve">. </w:t>
      </w:r>
      <w:r w:rsidRPr="000E2E10">
        <w:t>https://ve.scielo.org/pdf/sp/v11n2/art05.pdf</w:t>
      </w:r>
    </w:p>
  </w:endnote>
  <w:endnote w:id="12">
    <w:p w:rsidR="00881B44" w:rsidRPr="00881B44" w:rsidRDefault="00881B44">
      <w:pPr>
        <w:pStyle w:val="Textonotaalfinal"/>
        <w:rPr>
          <w:lang w:val="es-ES_tradnl"/>
        </w:rPr>
      </w:pPr>
      <w:r>
        <w:rPr>
          <w:rStyle w:val="Refdenotaalfinal"/>
        </w:rPr>
        <w:endnoteRef/>
      </w:r>
      <w:r>
        <w:t xml:space="preserve"> </w:t>
      </w:r>
      <w:r>
        <w:rPr>
          <w:rFonts w:ascii="Arial" w:hAnsi="Arial" w:cs="Arial"/>
          <w:color w:val="000000"/>
          <w:sz w:val="18"/>
          <w:szCs w:val="18"/>
        </w:rPr>
        <w:t xml:space="preserve">Molina, </w:t>
      </w:r>
      <w:proofErr w:type="spellStart"/>
      <w:r>
        <w:rPr>
          <w:rFonts w:ascii="Arial" w:hAnsi="Arial" w:cs="Arial"/>
          <w:color w:val="000000"/>
          <w:sz w:val="18"/>
          <w:szCs w:val="18"/>
        </w:rPr>
        <w:t>Luzcarin</w:t>
      </w:r>
      <w:proofErr w:type="spellEnd"/>
      <w:r>
        <w:rPr>
          <w:rFonts w:ascii="Arial" w:hAnsi="Arial" w:cs="Arial"/>
          <w:color w:val="000000"/>
          <w:sz w:val="18"/>
          <w:szCs w:val="18"/>
        </w:rPr>
        <w:t xml:space="preserve">, Pérez Pellín, </w:t>
      </w:r>
      <w:proofErr w:type="spellStart"/>
      <w:r>
        <w:rPr>
          <w:rFonts w:ascii="Arial" w:hAnsi="Arial" w:cs="Arial"/>
          <w:color w:val="000000"/>
          <w:sz w:val="18"/>
          <w:szCs w:val="18"/>
        </w:rPr>
        <w:t>Siulbel</w:t>
      </w:r>
      <w:proofErr w:type="spellEnd"/>
      <w:r>
        <w:rPr>
          <w:rFonts w:ascii="Arial" w:hAnsi="Arial" w:cs="Arial"/>
          <w:color w:val="000000"/>
          <w:sz w:val="18"/>
          <w:szCs w:val="18"/>
        </w:rPr>
        <w:t xml:space="preserve">, Suárez, </w:t>
      </w:r>
      <w:proofErr w:type="spellStart"/>
      <w:r>
        <w:rPr>
          <w:rFonts w:ascii="Arial" w:hAnsi="Arial" w:cs="Arial"/>
          <w:color w:val="000000"/>
          <w:sz w:val="18"/>
          <w:szCs w:val="18"/>
        </w:rPr>
        <w:t>Auxifrantys</w:t>
      </w:r>
      <w:proofErr w:type="spellEnd"/>
      <w:r>
        <w:rPr>
          <w:rFonts w:ascii="Arial" w:hAnsi="Arial" w:cs="Arial"/>
          <w:color w:val="000000"/>
          <w:sz w:val="18"/>
          <w:szCs w:val="18"/>
        </w:rPr>
        <w:t xml:space="preserve">, &amp; Rodríguez G, William A. (2008). La importancia de formar en valores  en la </w:t>
      </w:r>
      <w:proofErr w:type="spellStart"/>
      <w:r>
        <w:rPr>
          <w:rFonts w:ascii="Arial" w:hAnsi="Arial" w:cs="Arial"/>
          <w:color w:val="000000"/>
          <w:sz w:val="18"/>
          <w:szCs w:val="18"/>
        </w:rPr>
        <w:t>educacion</w:t>
      </w:r>
      <w:proofErr w:type="spellEnd"/>
      <w:r>
        <w:rPr>
          <w:rFonts w:ascii="Arial" w:hAnsi="Arial" w:cs="Arial"/>
          <w:color w:val="000000"/>
          <w:sz w:val="18"/>
          <w:szCs w:val="18"/>
        </w:rPr>
        <w:t xml:space="preserve"> superior. </w:t>
      </w:r>
      <w:r>
        <w:rPr>
          <w:rFonts w:ascii="Arial" w:hAnsi="Arial" w:cs="Arial"/>
          <w:i/>
          <w:iCs/>
          <w:color w:val="000000"/>
          <w:sz w:val="18"/>
          <w:szCs w:val="18"/>
        </w:rPr>
        <w:t>Acta Odontológica Venezolana</w:t>
      </w:r>
      <w:r>
        <w:rPr>
          <w:rFonts w:ascii="Arial" w:hAnsi="Arial" w:cs="Arial"/>
          <w:color w:val="000000"/>
          <w:sz w:val="18"/>
          <w:szCs w:val="18"/>
        </w:rPr>
        <w:t>, </w:t>
      </w:r>
      <w:r>
        <w:rPr>
          <w:rFonts w:ascii="Arial" w:hAnsi="Arial" w:cs="Arial"/>
          <w:i/>
          <w:iCs/>
          <w:color w:val="000000"/>
          <w:sz w:val="18"/>
          <w:szCs w:val="18"/>
        </w:rPr>
        <w:t>46</w:t>
      </w:r>
      <w:r>
        <w:rPr>
          <w:rFonts w:ascii="Arial" w:hAnsi="Arial" w:cs="Arial"/>
          <w:color w:val="000000"/>
          <w:sz w:val="18"/>
          <w:szCs w:val="18"/>
        </w:rPr>
        <w:t>(1), 41-51. Recuperado en 19 de diciembre de 2023, de http://ve.scielo.org/scielo.php?script=sci_arttext&amp;pid=S0001-63652008000100009&amp;lng=es&amp;tlng=es.</w:t>
      </w:r>
    </w:p>
  </w:endnote>
  <w:endnote w:id="13">
    <w:p w:rsidR="00881B44" w:rsidRPr="00881B44" w:rsidRDefault="00881B44">
      <w:pPr>
        <w:pStyle w:val="Textonotaalfinal"/>
        <w:rPr>
          <w:lang w:val="es-ES_tradnl"/>
        </w:rPr>
      </w:pPr>
      <w:r>
        <w:rPr>
          <w:rStyle w:val="Refdenotaalfinal"/>
        </w:rPr>
        <w:endnoteRef/>
      </w:r>
      <w:r>
        <w:t xml:space="preserve"> </w:t>
      </w:r>
      <w:r>
        <w:rPr>
          <w:rFonts w:ascii="Arial" w:hAnsi="Arial" w:cs="Arial"/>
          <w:color w:val="000000"/>
          <w:sz w:val="18"/>
          <w:szCs w:val="18"/>
        </w:rPr>
        <w:t>Zuleta Garcés, Ruby Verónica, &amp; Zapata Serna, Víctor. (2021). Revivir para vivir la experiencia: dilemas éticos y emociones políticas que se presentan en el Trabajo Social, en los procesos de restablecimiento de derechos de los Niños, Niñas y Adolescentes.. </w:t>
      </w:r>
      <w:r>
        <w:rPr>
          <w:rFonts w:ascii="Arial" w:hAnsi="Arial" w:cs="Arial"/>
          <w:i/>
          <w:iCs/>
          <w:color w:val="000000"/>
          <w:sz w:val="18"/>
          <w:szCs w:val="18"/>
        </w:rPr>
        <w:t>Revista gestión de las personas y tecnología</w:t>
      </w:r>
      <w:r>
        <w:rPr>
          <w:rFonts w:ascii="Arial" w:hAnsi="Arial" w:cs="Arial"/>
          <w:color w:val="000000"/>
          <w:sz w:val="18"/>
          <w:szCs w:val="18"/>
        </w:rPr>
        <w:t>, </w:t>
      </w:r>
      <w:r>
        <w:rPr>
          <w:rFonts w:ascii="Arial" w:hAnsi="Arial" w:cs="Arial"/>
          <w:i/>
          <w:iCs/>
          <w:color w:val="000000"/>
          <w:sz w:val="18"/>
          <w:szCs w:val="18"/>
        </w:rPr>
        <w:t>14</w:t>
      </w:r>
      <w:r>
        <w:rPr>
          <w:rFonts w:ascii="Arial" w:hAnsi="Arial" w:cs="Arial"/>
          <w:color w:val="000000"/>
          <w:sz w:val="18"/>
          <w:szCs w:val="18"/>
        </w:rPr>
        <w:t>(41), 20-43. </w:t>
      </w:r>
      <w:hyperlink r:id="rId1" w:history="1">
        <w:r>
          <w:rPr>
            <w:rStyle w:val="Hipervnculo"/>
            <w:rFonts w:ascii="Arial" w:hAnsi="Arial" w:cs="Arial"/>
            <w:color w:val="555555"/>
            <w:sz w:val="18"/>
            <w:szCs w:val="18"/>
          </w:rPr>
          <w:t>https://dx.doi.org/10.35588/gpt.v14i41.5064</w:t>
        </w:r>
      </w:hyperlink>
    </w:p>
  </w:endnote>
  <w:endnote w:id="14">
    <w:p w:rsidR="00C85762" w:rsidRPr="00C85762" w:rsidRDefault="00C85762">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Feito</w:t>
      </w:r>
      <w:proofErr w:type="spellEnd"/>
      <w:r>
        <w:rPr>
          <w:rFonts w:ascii="Arial" w:hAnsi="Arial" w:cs="Arial"/>
          <w:color w:val="000000"/>
          <w:sz w:val="18"/>
          <w:szCs w:val="18"/>
        </w:rPr>
        <w:t>, L.. (2007). Vulnerabilidad. </w:t>
      </w:r>
      <w:r>
        <w:rPr>
          <w:rFonts w:ascii="Arial" w:hAnsi="Arial" w:cs="Arial"/>
          <w:i/>
          <w:iCs/>
          <w:color w:val="000000"/>
          <w:sz w:val="18"/>
          <w:szCs w:val="18"/>
        </w:rPr>
        <w:t>Anales del Sistema Sanitario de Navarra</w:t>
      </w:r>
      <w:r>
        <w:rPr>
          <w:rFonts w:ascii="Arial" w:hAnsi="Arial" w:cs="Arial"/>
          <w:color w:val="000000"/>
          <w:sz w:val="18"/>
          <w:szCs w:val="18"/>
        </w:rPr>
        <w:t>, </w:t>
      </w:r>
      <w:r>
        <w:rPr>
          <w:rFonts w:ascii="Arial" w:hAnsi="Arial" w:cs="Arial"/>
          <w:i/>
          <w:iCs/>
          <w:color w:val="000000"/>
          <w:sz w:val="18"/>
          <w:szCs w:val="18"/>
        </w:rPr>
        <w:t>30</w:t>
      </w:r>
      <w:r>
        <w:rPr>
          <w:rFonts w:ascii="Arial" w:hAnsi="Arial" w:cs="Arial"/>
          <w:color w:val="000000"/>
          <w:sz w:val="18"/>
          <w:szCs w:val="18"/>
        </w:rPr>
        <w:t>(</w:t>
      </w:r>
      <w:proofErr w:type="spellStart"/>
      <w:r>
        <w:rPr>
          <w:rFonts w:ascii="Arial" w:hAnsi="Arial" w:cs="Arial"/>
          <w:color w:val="000000"/>
          <w:sz w:val="18"/>
          <w:szCs w:val="18"/>
        </w:rPr>
        <w:t>Supl</w:t>
      </w:r>
      <w:proofErr w:type="spellEnd"/>
      <w:r>
        <w:rPr>
          <w:rFonts w:ascii="Arial" w:hAnsi="Arial" w:cs="Arial"/>
          <w:color w:val="000000"/>
          <w:sz w:val="18"/>
          <w:szCs w:val="18"/>
        </w:rPr>
        <w:t>. 3), 07-22. Recuperado en 19 de diciembre de 2023, de http://scielo.isciii.es/scielo.php?script=sci_arttext&amp;pid=S1137-66272007000600002&amp;lng=es&amp;tlng=es.</w:t>
      </w:r>
    </w:p>
  </w:endnote>
  <w:endnote w:id="15">
    <w:p w:rsidR="00C85762" w:rsidRPr="00C85762" w:rsidRDefault="00C85762">
      <w:pPr>
        <w:pStyle w:val="Textonotaalfinal"/>
        <w:rPr>
          <w:lang w:val="es-ES_tradnl"/>
        </w:rPr>
      </w:pPr>
      <w:r>
        <w:rPr>
          <w:rStyle w:val="Refdenotaalfinal"/>
        </w:rPr>
        <w:endnoteRef/>
      </w:r>
      <w:r>
        <w:t xml:space="preserve"> </w:t>
      </w:r>
      <w:r>
        <w:rPr>
          <w:rFonts w:ascii="Arial" w:hAnsi="Arial" w:cs="Arial"/>
          <w:color w:val="000000"/>
          <w:sz w:val="18"/>
          <w:szCs w:val="18"/>
        </w:rPr>
        <w:t xml:space="preserve">Mujica Chirinos, </w:t>
      </w:r>
      <w:proofErr w:type="spellStart"/>
      <w:r>
        <w:rPr>
          <w:rFonts w:ascii="Arial" w:hAnsi="Arial" w:cs="Arial"/>
          <w:color w:val="000000"/>
          <w:sz w:val="18"/>
          <w:szCs w:val="18"/>
        </w:rPr>
        <w:t>Norbis</w:t>
      </w:r>
      <w:proofErr w:type="spellEnd"/>
      <w:r>
        <w:rPr>
          <w:rFonts w:ascii="Arial" w:hAnsi="Arial" w:cs="Arial"/>
          <w:color w:val="000000"/>
          <w:sz w:val="18"/>
          <w:szCs w:val="18"/>
        </w:rPr>
        <w:t xml:space="preserve">, &amp; Rincón González, </w:t>
      </w:r>
      <w:proofErr w:type="spellStart"/>
      <w:r>
        <w:rPr>
          <w:rFonts w:ascii="Arial" w:hAnsi="Arial" w:cs="Arial"/>
          <w:color w:val="000000"/>
          <w:sz w:val="18"/>
          <w:szCs w:val="18"/>
        </w:rPr>
        <w:t>Sorayda</w:t>
      </w:r>
      <w:proofErr w:type="spellEnd"/>
      <w:r>
        <w:rPr>
          <w:rFonts w:ascii="Arial" w:hAnsi="Arial" w:cs="Arial"/>
          <w:color w:val="000000"/>
          <w:sz w:val="18"/>
          <w:szCs w:val="18"/>
        </w:rPr>
        <w:t>. (2010). El concepto de desarrollo: posiciones teóricas más relevantes. </w:t>
      </w:r>
      <w:r>
        <w:rPr>
          <w:rFonts w:ascii="Arial" w:hAnsi="Arial" w:cs="Arial"/>
          <w:i/>
          <w:iCs/>
          <w:color w:val="000000"/>
          <w:sz w:val="18"/>
          <w:szCs w:val="18"/>
        </w:rPr>
        <w:t>Revista Venezolana de Gerencia</w:t>
      </w:r>
      <w:r>
        <w:rPr>
          <w:rFonts w:ascii="Arial" w:hAnsi="Arial" w:cs="Arial"/>
          <w:color w:val="000000"/>
          <w:sz w:val="18"/>
          <w:szCs w:val="18"/>
        </w:rPr>
        <w:t>, </w:t>
      </w:r>
      <w:r>
        <w:rPr>
          <w:rFonts w:ascii="Arial" w:hAnsi="Arial" w:cs="Arial"/>
          <w:i/>
          <w:iCs/>
          <w:color w:val="000000"/>
          <w:sz w:val="18"/>
          <w:szCs w:val="18"/>
        </w:rPr>
        <w:t>15</w:t>
      </w:r>
      <w:r>
        <w:rPr>
          <w:rFonts w:ascii="Arial" w:hAnsi="Arial" w:cs="Arial"/>
          <w:color w:val="000000"/>
          <w:sz w:val="18"/>
          <w:szCs w:val="18"/>
        </w:rPr>
        <w:t>(50), 294-320. Recuperado en 19 de diciembre de 2023, de http://ve.scielo.org/scielo.php?script=sci_arttext&amp;pid=S1315-99842010000200007&amp;lng=es&amp;tlng=es.</w:t>
      </w:r>
    </w:p>
  </w:endnote>
  <w:endnote w:id="16">
    <w:p w:rsidR="00C85762" w:rsidRPr="00C85762" w:rsidRDefault="00C85762">
      <w:pPr>
        <w:pStyle w:val="Textonotaalfinal"/>
        <w:rPr>
          <w:lang w:val="es-ES_tradnl"/>
        </w:rPr>
      </w:pPr>
      <w:r>
        <w:rPr>
          <w:rStyle w:val="Refdenotaalfinal"/>
        </w:rPr>
        <w:endnoteRef/>
      </w:r>
      <w:r>
        <w:t xml:space="preserve"> </w:t>
      </w:r>
      <w:r>
        <w:rPr>
          <w:rFonts w:ascii="Arial" w:hAnsi="Arial" w:cs="Arial"/>
          <w:color w:val="000000"/>
          <w:sz w:val="18"/>
          <w:szCs w:val="18"/>
        </w:rPr>
        <w:t>Huerta Orozco, Alfredo. (2018). El sentido de pertenencia y la identidad como determinante de la conducta, una perspectiva desde el pensamiento complejo. </w:t>
      </w:r>
      <w:r>
        <w:rPr>
          <w:rFonts w:ascii="Arial" w:hAnsi="Arial" w:cs="Arial"/>
          <w:i/>
          <w:iCs/>
          <w:color w:val="000000"/>
          <w:sz w:val="18"/>
          <w:szCs w:val="18"/>
        </w:rPr>
        <w:t>IE Revista de investigación educativa de la REDIECH</w:t>
      </w:r>
      <w:r>
        <w:rPr>
          <w:rFonts w:ascii="Arial" w:hAnsi="Arial" w:cs="Arial"/>
          <w:color w:val="000000"/>
          <w:sz w:val="18"/>
          <w:szCs w:val="18"/>
        </w:rPr>
        <w:t>, </w:t>
      </w:r>
      <w:r>
        <w:rPr>
          <w:rFonts w:ascii="Arial" w:hAnsi="Arial" w:cs="Arial"/>
          <w:i/>
          <w:iCs/>
          <w:color w:val="000000"/>
          <w:sz w:val="18"/>
          <w:szCs w:val="18"/>
        </w:rPr>
        <w:t>9</w:t>
      </w:r>
      <w:r>
        <w:rPr>
          <w:rFonts w:ascii="Arial" w:hAnsi="Arial" w:cs="Arial"/>
          <w:color w:val="000000"/>
          <w:sz w:val="18"/>
          <w:szCs w:val="18"/>
        </w:rPr>
        <w:t>(16), 83-97. Recuperado en 19 de diciembre de 2023, de http://www.scielo.org.mx/scielo.php?script=sci_arttext&amp;pid=S2448-85502018000100083&amp;lng=es&amp;tlng=es.</w:t>
      </w:r>
    </w:p>
  </w:endnote>
  <w:endnote w:id="17">
    <w:p w:rsidR="00C85762" w:rsidRPr="00C85762" w:rsidRDefault="00C85762">
      <w:pPr>
        <w:pStyle w:val="Textonotaalfinal"/>
        <w:rPr>
          <w:lang w:val="es-ES_tradnl"/>
        </w:rPr>
      </w:pPr>
      <w:r>
        <w:rPr>
          <w:rStyle w:val="Refdenotaalfinal"/>
        </w:rPr>
        <w:endnoteRef/>
      </w:r>
      <w:r>
        <w:t xml:space="preserve"> </w:t>
      </w:r>
      <w:r>
        <w:rPr>
          <w:rFonts w:ascii="Arial" w:hAnsi="Arial" w:cs="Arial"/>
          <w:color w:val="000000"/>
          <w:sz w:val="18"/>
          <w:szCs w:val="18"/>
        </w:rPr>
        <w:t xml:space="preserve">Calero, Alejandra Daniela, </w:t>
      </w:r>
      <w:proofErr w:type="spellStart"/>
      <w:r>
        <w:rPr>
          <w:rFonts w:ascii="Arial" w:hAnsi="Arial" w:cs="Arial"/>
          <w:color w:val="000000"/>
          <w:sz w:val="18"/>
          <w:szCs w:val="18"/>
        </w:rPr>
        <w:t>Barreyro</w:t>
      </w:r>
      <w:proofErr w:type="spellEnd"/>
      <w:r>
        <w:rPr>
          <w:rFonts w:ascii="Arial" w:hAnsi="Arial" w:cs="Arial"/>
          <w:color w:val="000000"/>
          <w:sz w:val="18"/>
          <w:szCs w:val="18"/>
        </w:rPr>
        <w:t xml:space="preserve">, Juan Pablo, Formoso, Jesica, &amp; </w:t>
      </w:r>
      <w:proofErr w:type="spellStart"/>
      <w:r>
        <w:rPr>
          <w:rFonts w:ascii="Arial" w:hAnsi="Arial" w:cs="Arial"/>
          <w:color w:val="000000"/>
          <w:sz w:val="18"/>
          <w:szCs w:val="18"/>
        </w:rPr>
        <w:t>Injoque-Ricle</w:t>
      </w:r>
      <w:proofErr w:type="spellEnd"/>
      <w:r>
        <w:rPr>
          <w:rFonts w:ascii="Arial" w:hAnsi="Arial" w:cs="Arial"/>
          <w:color w:val="000000"/>
          <w:sz w:val="18"/>
          <w:szCs w:val="18"/>
        </w:rPr>
        <w:t>, Irene. (2018). Inteligencia emocional y necesidad de pertenencia al grupo de pares durante la adolescencia. </w:t>
      </w:r>
      <w:r>
        <w:rPr>
          <w:rFonts w:ascii="Arial" w:hAnsi="Arial" w:cs="Arial"/>
          <w:i/>
          <w:iCs/>
          <w:color w:val="000000"/>
          <w:sz w:val="18"/>
          <w:szCs w:val="18"/>
        </w:rPr>
        <w:t>Subjetividad y procesos cognitivos</w:t>
      </w:r>
      <w:r>
        <w:rPr>
          <w:rFonts w:ascii="Arial" w:hAnsi="Arial" w:cs="Arial"/>
          <w:color w:val="000000"/>
          <w:sz w:val="18"/>
          <w:szCs w:val="18"/>
        </w:rPr>
        <w:t>, </w:t>
      </w:r>
      <w:r>
        <w:rPr>
          <w:rFonts w:ascii="Arial" w:hAnsi="Arial" w:cs="Arial"/>
          <w:i/>
          <w:iCs/>
          <w:color w:val="000000"/>
          <w:sz w:val="18"/>
          <w:szCs w:val="18"/>
        </w:rPr>
        <w:t>22</w:t>
      </w:r>
      <w:r>
        <w:rPr>
          <w:rFonts w:ascii="Arial" w:hAnsi="Arial" w:cs="Arial"/>
          <w:color w:val="000000"/>
          <w:sz w:val="18"/>
          <w:szCs w:val="18"/>
        </w:rPr>
        <w:t>(2) Recuperado en 19 de diciembre de 2023, de http://www.scielo.org.ar/scielo.php?script=sci_arttext&amp;pid=S1852-73102018000200003&amp;lng=es&amp;tlng=es.</w:t>
      </w:r>
    </w:p>
  </w:endnote>
  <w:endnote w:id="18">
    <w:p w:rsidR="006506E7" w:rsidRPr="006506E7" w:rsidRDefault="006506E7">
      <w:pPr>
        <w:pStyle w:val="Textonotaalfinal"/>
        <w:rPr>
          <w:lang w:val="es-ES_tradnl"/>
        </w:rPr>
      </w:pPr>
      <w:r>
        <w:rPr>
          <w:rStyle w:val="Refdenotaalfinal"/>
        </w:rPr>
        <w:endnoteRef/>
      </w:r>
      <w:r>
        <w:t xml:space="preserve"> </w:t>
      </w:r>
      <w:r>
        <w:rPr>
          <w:rFonts w:ascii="Arial" w:hAnsi="Arial" w:cs="Arial"/>
          <w:color w:val="000000"/>
          <w:sz w:val="18"/>
          <w:szCs w:val="18"/>
        </w:rPr>
        <w:t xml:space="preserve">Pérez Sáinz, Juan Pablo, &amp; Mora Salas, </w:t>
      </w:r>
      <w:proofErr w:type="spellStart"/>
      <w:r>
        <w:rPr>
          <w:rFonts w:ascii="Arial" w:hAnsi="Arial" w:cs="Arial"/>
          <w:color w:val="000000"/>
          <w:sz w:val="18"/>
          <w:szCs w:val="18"/>
        </w:rPr>
        <w:t>Minor</w:t>
      </w:r>
      <w:proofErr w:type="spellEnd"/>
      <w:r>
        <w:rPr>
          <w:rFonts w:ascii="Arial" w:hAnsi="Arial" w:cs="Arial"/>
          <w:color w:val="000000"/>
          <w:sz w:val="18"/>
          <w:szCs w:val="18"/>
        </w:rPr>
        <w:t>. (2006). Exclusión social, desigualdades y excedente laboral: Reflexiones analíticas sobre América Latina. </w:t>
      </w:r>
      <w:r>
        <w:rPr>
          <w:rFonts w:ascii="Arial" w:hAnsi="Arial" w:cs="Arial"/>
          <w:i/>
          <w:iCs/>
          <w:color w:val="000000"/>
          <w:sz w:val="18"/>
          <w:szCs w:val="18"/>
        </w:rPr>
        <w:t>Revista mexicana de sociología</w:t>
      </w:r>
      <w:r>
        <w:rPr>
          <w:rFonts w:ascii="Arial" w:hAnsi="Arial" w:cs="Arial"/>
          <w:color w:val="000000"/>
          <w:sz w:val="18"/>
          <w:szCs w:val="18"/>
        </w:rPr>
        <w:t>, </w:t>
      </w:r>
      <w:r>
        <w:rPr>
          <w:rFonts w:ascii="Arial" w:hAnsi="Arial" w:cs="Arial"/>
          <w:i/>
          <w:iCs/>
          <w:color w:val="000000"/>
          <w:sz w:val="18"/>
          <w:szCs w:val="18"/>
        </w:rPr>
        <w:t>68</w:t>
      </w:r>
      <w:r>
        <w:rPr>
          <w:rFonts w:ascii="Arial" w:hAnsi="Arial" w:cs="Arial"/>
          <w:color w:val="000000"/>
          <w:sz w:val="18"/>
          <w:szCs w:val="18"/>
        </w:rPr>
        <w:t>(3), 431-465. Recuperado en 19 de diciembre de 2023, de http://www.scielo.org.mx/scielo.php?script=sci_arttext&amp;pid=S0188-25032006000300002&amp;lng=es&amp;tlng=es.</w:t>
      </w:r>
    </w:p>
  </w:endnote>
  <w:endnote w:id="19">
    <w:p w:rsidR="006506E7" w:rsidRPr="006506E7" w:rsidRDefault="006506E7">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Welp</w:t>
      </w:r>
      <w:proofErr w:type="spellEnd"/>
      <w:r>
        <w:rPr>
          <w:rFonts w:ascii="Arial" w:hAnsi="Arial" w:cs="Arial"/>
          <w:color w:val="000000"/>
          <w:sz w:val="18"/>
          <w:szCs w:val="18"/>
        </w:rPr>
        <w:t>, Yanina, &amp; Schneider, Cecilia. (2011). Orígenes y contradicciones de la participación ciudadana institucional: Análisis de las experiencias de Buenos Aires, Montevideo, Barcelona y Zúrich. </w:t>
      </w:r>
      <w:r>
        <w:rPr>
          <w:rFonts w:ascii="Arial" w:hAnsi="Arial" w:cs="Arial"/>
          <w:i/>
          <w:iCs/>
          <w:color w:val="000000"/>
          <w:sz w:val="18"/>
          <w:szCs w:val="18"/>
        </w:rPr>
        <w:t>Revista mexicana de ciencias políticas y sociales</w:t>
      </w:r>
      <w:r>
        <w:rPr>
          <w:rFonts w:ascii="Arial" w:hAnsi="Arial" w:cs="Arial"/>
          <w:color w:val="000000"/>
          <w:sz w:val="18"/>
          <w:szCs w:val="18"/>
        </w:rPr>
        <w:t>, </w:t>
      </w:r>
      <w:r>
        <w:rPr>
          <w:rFonts w:ascii="Arial" w:hAnsi="Arial" w:cs="Arial"/>
          <w:i/>
          <w:iCs/>
          <w:color w:val="000000"/>
          <w:sz w:val="18"/>
          <w:szCs w:val="18"/>
        </w:rPr>
        <w:t>56</w:t>
      </w:r>
      <w:r>
        <w:rPr>
          <w:rFonts w:ascii="Arial" w:hAnsi="Arial" w:cs="Arial"/>
          <w:color w:val="000000"/>
          <w:sz w:val="18"/>
          <w:szCs w:val="18"/>
        </w:rPr>
        <w:t>(211), 47-68. Recuperado en 19 de diciembre de 2023, de http://www.scielo.org.mx/scielo.php?script=sci_arttext&amp;pid=S0185-19182011000100004&amp;lng=es&amp;tlng=es.</w:t>
      </w:r>
    </w:p>
  </w:endnote>
  <w:endnote w:id="20">
    <w:p w:rsidR="006506E7" w:rsidRPr="006506E7" w:rsidRDefault="006506E7">
      <w:pPr>
        <w:pStyle w:val="Textonotaalfinal"/>
        <w:rPr>
          <w:lang w:val="es-ES_tradnl"/>
        </w:rPr>
      </w:pPr>
      <w:r>
        <w:rPr>
          <w:rStyle w:val="Refdenotaalfinal"/>
        </w:rPr>
        <w:endnoteRef/>
      </w:r>
      <w:r>
        <w:t xml:space="preserve"> </w:t>
      </w:r>
      <w:r>
        <w:rPr>
          <w:rFonts w:ascii="Arial" w:hAnsi="Arial" w:cs="Arial"/>
          <w:color w:val="000000"/>
          <w:sz w:val="18"/>
          <w:szCs w:val="18"/>
        </w:rPr>
        <w:t>Sandoval, Mario. (2012). La desconfianza de los jóvenes: sustrato del malestar social. </w:t>
      </w:r>
      <w:r>
        <w:rPr>
          <w:rFonts w:ascii="Arial" w:hAnsi="Arial" w:cs="Arial"/>
          <w:i/>
          <w:iCs/>
          <w:color w:val="000000"/>
          <w:sz w:val="18"/>
          <w:szCs w:val="18"/>
        </w:rPr>
        <w:t>Ultima década</w:t>
      </w:r>
      <w:r>
        <w:rPr>
          <w:rFonts w:ascii="Arial" w:hAnsi="Arial" w:cs="Arial"/>
          <w:color w:val="000000"/>
          <w:sz w:val="18"/>
          <w:szCs w:val="18"/>
        </w:rPr>
        <w:t>, </w:t>
      </w:r>
      <w:r>
        <w:rPr>
          <w:rFonts w:ascii="Arial" w:hAnsi="Arial" w:cs="Arial"/>
          <w:i/>
          <w:iCs/>
          <w:color w:val="000000"/>
          <w:sz w:val="18"/>
          <w:szCs w:val="18"/>
        </w:rPr>
        <w:t>20</w:t>
      </w:r>
      <w:r>
        <w:rPr>
          <w:rFonts w:ascii="Arial" w:hAnsi="Arial" w:cs="Arial"/>
          <w:color w:val="000000"/>
          <w:sz w:val="18"/>
          <w:szCs w:val="18"/>
        </w:rPr>
        <w:t>(36), 43-70. </w:t>
      </w:r>
      <w:hyperlink r:id="rId2" w:history="1">
        <w:r>
          <w:rPr>
            <w:rStyle w:val="Hipervnculo"/>
            <w:rFonts w:ascii="Arial" w:hAnsi="Arial" w:cs="Arial"/>
            <w:color w:val="555555"/>
            <w:sz w:val="18"/>
            <w:szCs w:val="18"/>
          </w:rPr>
          <w:t>https://dx.doi.org/10.4067/S0718-22362012000100003</w:t>
        </w:r>
      </w:hyperlink>
    </w:p>
  </w:endnote>
  <w:endnote w:id="21">
    <w:p w:rsidR="006506E7" w:rsidRPr="006506E7" w:rsidRDefault="006506E7">
      <w:pPr>
        <w:pStyle w:val="Textonotaalfinal"/>
        <w:rPr>
          <w:lang w:val="es-ES_tradnl"/>
        </w:rPr>
      </w:pPr>
      <w:r>
        <w:rPr>
          <w:rStyle w:val="Refdenotaalfinal"/>
        </w:rPr>
        <w:endnoteRef/>
      </w:r>
      <w:r>
        <w:t xml:space="preserve"> </w:t>
      </w:r>
      <w:r>
        <w:rPr>
          <w:rFonts w:ascii="Arial" w:hAnsi="Arial" w:cs="Arial"/>
          <w:color w:val="000000"/>
          <w:sz w:val="18"/>
          <w:szCs w:val="18"/>
        </w:rPr>
        <w:t>Ortiz Millán, Gustavo. (2016). Sobre la distinción entre ética y moral. </w:t>
      </w:r>
      <w:r>
        <w:rPr>
          <w:rFonts w:ascii="Arial" w:hAnsi="Arial" w:cs="Arial"/>
          <w:i/>
          <w:iCs/>
          <w:color w:val="000000"/>
          <w:sz w:val="18"/>
          <w:szCs w:val="18"/>
        </w:rPr>
        <w:t>Isonomía</w:t>
      </w:r>
      <w:r>
        <w:rPr>
          <w:rFonts w:ascii="Arial" w:hAnsi="Arial" w:cs="Arial"/>
          <w:color w:val="000000"/>
          <w:sz w:val="18"/>
          <w:szCs w:val="18"/>
        </w:rPr>
        <w:t>, (45), 113-139. Recuperado en 19 de diciembre de 2023, de http://www.scielo.org.mx/scielo.php?script=sci_arttext&amp;pid=S1405-02182016000200113&amp;lng=es&amp;tlng=es.</w:t>
      </w:r>
    </w:p>
  </w:endnote>
  <w:endnote w:id="22">
    <w:p w:rsidR="00B61D61" w:rsidRPr="00B61D61" w:rsidRDefault="00B61D61">
      <w:pPr>
        <w:pStyle w:val="Textonotaalfinal"/>
      </w:pPr>
      <w:r>
        <w:rPr>
          <w:rStyle w:val="Refdenotaalfinal"/>
        </w:rPr>
        <w:endnoteRef/>
      </w:r>
      <w:r>
        <w:t xml:space="preserve"> </w:t>
      </w:r>
      <w:r>
        <w:rPr>
          <w:lang w:val="es-ES_tradnl"/>
        </w:rPr>
        <w:t xml:space="preserve">Villa S., Aurelio. (2021). </w:t>
      </w:r>
      <w:r w:rsidRPr="00B61D61">
        <w:t>La importancia de los valores en la vida personal y social: enfoques y medición</w:t>
      </w:r>
      <w:r>
        <w:t xml:space="preserve">. </w:t>
      </w:r>
      <w:hyperlink r:id="rId3" w:history="1">
        <w:r w:rsidRPr="00B61D61">
          <w:rPr>
            <w:rStyle w:val="Hipervnculo"/>
          </w:rPr>
          <w:t>Vol. 79 Núm. 154 (2021): Pedro Morales Vallejo, SJ. El educador y su obra</w:t>
        </w:r>
      </w:hyperlink>
      <w:r>
        <w:t xml:space="preserve"> </w:t>
      </w:r>
      <w:r w:rsidRPr="00B61D61">
        <w:t>https://revistas.comillas.edu/index.php/miscelaneacomillas/article/view/17081</w:t>
      </w:r>
    </w:p>
  </w:endnote>
  <w:endnote w:id="23">
    <w:p w:rsidR="00B61D61" w:rsidRPr="00B61D61" w:rsidRDefault="00B61D61">
      <w:pPr>
        <w:pStyle w:val="Textonotaalfinal"/>
        <w:rPr>
          <w:lang w:val="es-ES_tradnl"/>
        </w:rPr>
      </w:pPr>
      <w:r>
        <w:rPr>
          <w:rStyle w:val="Refdenotaalfinal"/>
        </w:rPr>
        <w:endnoteRef/>
      </w:r>
      <w:r>
        <w:t xml:space="preserve"> </w:t>
      </w:r>
      <w:r>
        <w:rPr>
          <w:rFonts w:ascii="Arial" w:hAnsi="Arial" w:cs="Arial"/>
          <w:color w:val="000000"/>
          <w:sz w:val="18"/>
          <w:szCs w:val="18"/>
        </w:rPr>
        <w:t xml:space="preserve">Álvarez Martínez, </w:t>
      </w:r>
      <w:proofErr w:type="spellStart"/>
      <w:r>
        <w:rPr>
          <w:rFonts w:ascii="Arial" w:hAnsi="Arial" w:cs="Arial"/>
          <w:color w:val="000000"/>
          <w:sz w:val="18"/>
          <w:szCs w:val="18"/>
        </w:rPr>
        <w:t>Nereyda</w:t>
      </w:r>
      <w:proofErr w:type="spellEnd"/>
      <w:r>
        <w:rPr>
          <w:rFonts w:ascii="Arial" w:hAnsi="Arial" w:cs="Arial"/>
          <w:color w:val="000000"/>
          <w:sz w:val="18"/>
          <w:szCs w:val="18"/>
        </w:rPr>
        <w:t xml:space="preserve"> T. </w:t>
      </w:r>
      <w:r>
        <w:rPr>
          <w:rFonts w:ascii="Arial" w:hAnsi="Arial" w:cs="Arial"/>
          <w:color w:val="000000"/>
          <w:sz w:val="18"/>
          <w:szCs w:val="18"/>
        </w:rPr>
        <w:t>(2012). Desde la pedagogía crítica al discurso pedagógico. </w:t>
      </w:r>
      <w:r>
        <w:rPr>
          <w:rFonts w:ascii="Arial" w:hAnsi="Arial" w:cs="Arial"/>
          <w:i/>
          <w:iCs/>
          <w:color w:val="000000"/>
          <w:sz w:val="18"/>
          <w:szCs w:val="18"/>
        </w:rPr>
        <w:t>SAPIENS</w:t>
      </w:r>
      <w:r>
        <w:rPr>
          <w:rFonts w:ascii="Arial" w:hAnsi="Arial" w:cs="Arial"/>
          <w:color w:val="000000"/>
          <w:sz w:val="18"/>
          <w:szCs w:val="18"/>
        </w:rPr>
        <w:t>, </w:t>
      </w:r>
      <w:r>
        <w:rPr>
          <w:rFonts w:ascii="Arial" w:hAnsi="Arial" w:cs="Arial"/>
          <w:i/>
          <w:iCs/>
          <w:color w:val="000000"/>
          <w:sz w:val="18"/>
          <w:szCs w:val="18"/>
        </w:rPr>
        <w:t>13</w:t>
      </w:r>
      <w:r>
        <w:rPr>
          <w:rFonts w:ascii="Arial" w:hAnsi="Arial" w:cs="Arial"/>
          <w:color w:val="000000"/>
          <w:sz w:val="18"/>
          <w:szCs w:val="18"/>
        </w:rPr>
        <w:t>(2), 139-152. Recuperado en 19 de diciembre de 2023, de http://ve.scielo.org/scielo.php?script=sci_arttext&amp;pid=S1317-58152012000200007&amp;lng=es&amp;tlng=es.</w:t>
      </w:r>
    </w:p>
  </w:endnote>
  <w:endnote w:id="24">
    <w:p w:rsidR="00F12D4E" w:rsidRPr="00F12D4E" w:rsidRDefault="00F12D4E">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Locatelli</w:t>
      </w:r>
      <w:proofErr w:type="spellEnd"/>
      <w:r>
        <w:rPr>
          <w:rFonts w:ascii="Arial" w:hAnsi="Arial" w:cs="Arial"/>
          <w:color w:val="000000"/>
          <w:sz w:val="18"/>
          <w:szCs w:val="18"/>
        </w:rPr>
        <w:t>, Rita. (2018). La educación como bien público y común. Reformular la gobernanza de la educación en un contexto cambiante. </w:t>
      </w:r>
      <w:r>
        <w:rPr>
          <w:rFonts w:ascii="Arial" w:hAnsi="Arial" w:cs="Arial"/>
          <w:i/>
          <w:iCs/>
          <w:color w:val="000000"/>
          <w:sz w:val="18"/>
          <w:szCs w:val="18"/>
        </w:rPr>
        <w:t>Perfiles educativos</w:t>
      </w:r>
      <w:r>
        <w:rPr>
          <w:rFonts w:ascii="Arial" w:hAnsi="Arial" w:cs="Arial"/>
          <w:color w:val="000000"/>
          <w:sz w:val="18"/>
          <w:szCs w:val="18"/>
        </w:rPr>
        <w:t>, </w:t>
      </w:r>
      <w:r>
        <w:rPr>
          <w:rFonts w:ascii="Arial" w:hAnsi="Arial" w:cs="Arial"/>
          <w:i/>
          <w:iCs/>
          <w:color w:val="000000"/>
          <w:sz w:val="18"/>
          <w:szCs w:val="18"/>
        </w:rPr>
        <w:t>40</w:t>
      </w:r>
      <w:r>
        <w:rPr>
          <w:rFonts w:ascii="Arial" w:hAnsi="Arial" w:cs="Arial"/>
          <w:color w:val="000000"/>
          <w:sz w:val="18"/>
          <w:szCs w:val="18"/>
        </w:rPr>
        <w:t>(162), 178-196. Recuperado en 19 de diciembre de 2023, de http://www.scielo.org.mx/scielo.php?script=sci_arttext&amp;pid=S0185-26982018000400178&amp;lng=es&amp;tlng=es.</w:t>
      </w:r>
    </w:p>
  </w:endnote>
  <w:endnote w:id="25">
    <w:p w:rsidR="00673936" w:rsidRPr="00673936" w:rsidRDefault="00673936">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Abeijón</w:t>
      </w:r>
      <w:proofErr w:type="spellEnd"/>
      <w:r>
        <w:rPr>
          <w:rFonts w:ascii="Arial" w:hAnsi="Arial" w:cs="Arial"/>
          <w:color w:val="000000"/>
          <w:sz w:val="18"/>
          <w:szCs w:val="18"/>
        </w:rPr>
        <w:t>, Matías. (2018). Michel Foucault y la estructura trágica: una temprana lectura nietzscheana de la tragedia. </w:t>
      </w:r>
      <w:proofErr w:type="spellStart"/>
      <w:r>
        <w:rPr>
          <w:rFonts w:ascii="Arial" w:hAnsi="Arial" w:cs="Arial"/>
          <w:i/>
          <w:iCs/>
          <w:color w:val="000000"/>
          <w:sz w:val="18"/>
          <w:szCs w:val="18"/>
        </w:rPr>
        <w:t>Areté</w:t>
      </w:r>
      <w:proofErr w:type="spellEnd"/>
      <w:r>
        <w:rPr>
          <w:rFonts w:ascii="Arial" w:hAnsi="Arial" w:cs="Arial"/>
          <w:color w:val="000000"/>
          <w:sz w:val="18"/>
          <w:szCs w:val="18"/>
        </w:rPr>
        <w:t>, </w:t>
      </w:r>
      <w:r>
        <w:rPr>
          <w:rFonts w:ascii="Arial" w:hAnsi="Arial" w:cs="Arial"/>
          <w:i/>
          <w:iCs/>
          <w:color w:val="000000"/>
          <w:sz w:val="18"/>
          <w:szCs w:val="18"/>
        </w:rPr>
        <w:t>30</w:t>
      </w:r>
      <w:r>
        <w:rPr>
          <w:rFonts w:ascii="Arial" w:hAnsi="Arial" w:cs="Arial"/>
          <w:color w:val="000000"/>
          <w:sz w:val="18"/>
          <w:szCs w:val="18"/>
        </w:rPr>
        <w:t>(1), 101-124. </w:t>
      </w:r>
      <w:hyperlink r:id="rId4" w:history="1">
        <w:r>
          <w:rPr>
            <w:rStyle w:val="Hipervnculo"/>
            <w:rFonts w:ascii="Arial" w:hAnsi="Arial" w:cs="Arial"/>
            <w:color w:val="555555"/>
            <w:sz w:val="18"/>
            <w:szCs w:val="18"/>
          </w:rPr>
          <w:t>https://dx.doi.org/10.18800/arete.201801.005</w:t>
        </w:r>
      </w:hyperlink>
    </w:p>
  </w:endnote>
  <w:endnote w:id="26">
    <w:p w:rsidR="0085162D" w:rsidRPr="0085162D" w:rsidRDefault="0085162D">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Fair</w:t>
      </w:r>
      <w:proofErr w:type="spellEnd"/>
      <w:r>
        <w:rPr>
          <w:rFonts w:ascii="Arial" w:hAnsi="Arial" w:cs="Arial"/>
          <w:color w:val="000000"/>
          <w:sz w:val="18"/>
          <w:szCs w:val="18"/>
        </w:rPr>
        <w:t>, Hernán. (2010). Una aproximación al pensamiento político de Michel Foucault. </w:t>
      </w:r>
      <w:r>
        <w:rPr>
          <w:rFonts w:ascii="Arial" w:hAnsi="Arial" w:cs="Arial"/>
          <w:i/>
          <w:iCs/>
          <w:color w:val="000000"/>
          <w:sz w:val="18"/>
          <w:szCs w:val="18"/>
        </w:rPr>
        <w:t>Polis</w:t>
      </w:r>
      <w:r>
        <w:rPr>
          <w:rFonts w:ascii="Arial" w:hAnsi="Arial" w:cs="Arial"/>
          <w:color w:val="000000"/>
          <w:sz w:val="18"/>
          <w:szCs w:val="18"/>
        </w:rPr>
        <w:t>, </w:t>
      </w:r>
      <w:r>
        <w:rPr>
          <w:rFonts w:ascii="Arial" w:hAnsi="Arial" w:cs="Arial"/>
          <w:i/>
          <w:iCs/>
          <w:color w:val="000000"/>
          <w:sz w:val="18"/>
          <w:szCs w:val="18"/>
        </w:rPr>
        <w:t>6</w:t>
      </w:r>
      <w:r>
        <w:rPr>
          <w:rFonts w:ascii="Arial" w:hAnsi="Arial" w:cs="Arial"/>
          <w:color w:val="000000"/>
          <w:sz w:val="18"/>
          <w:szCs w:val="18"/>
        </w:rPr>
        <w:t>(1), 13-42. Recuperado en 19 de diciembre de 2023, de http://www.scielo.org.mx/scielo.php?script=sci_arttext&amp;pid=S1870-23332010000100002&amp;lng=es&amp;tlng=es.</w:t>
      </w:r>
    </w:p>
  </w:endnote>
  <w:endnote w:id="27">
    <w:p w:rsidR="00932799" w:rsidRPr="00932799" w:rsidRDefault="00932799">
      <w:pPr>
        <w:pStyle w:val="Textonotaalfinal"/>
        <w:rPr>
          <w:lang w:val="es-ES_tradnl"/>
        </w:rPr>
      </w:pPr>
      <w:r>
        <w:rPr>
          <w:rStyle w:val="Refdenotaalfinal"/>
        </w:rPr>
        <w:endnoteRef/>
      </w:r>
      <w:r>
        <w:t xml:space="preserve"> </w:t>
      </w:r>
      <w:r>
        <w:rPr>
          <w:rFonts w:ascii="Arial" w:hAnsi="Arial" w:cs="Arial"/>
          <w:color w:val="000000"/>
          <w:sz w:val="18"/>
          <w:szCs w:val="18"/>
        </w:rPr>
        <w:t>González Reyna, María Susana. (2013). El enfoque interdisciplinario en los estudios del discurso. </w:t>
      </w:r>
      <w:r>
        <w:rPr>
          <w:rFonts w:ascii="Arial" w:hAnsi="Arial" w:cs="Arial"/>
          <w:i/>
          <w:iCs/>
          <w:color w:val="000000"/>
          <w:sz w:val="18"/>
          <w:szCs w:val="18"/>
        </w:rPr>
        <w:t>Desacatos</w:t>
      </w:r>
      <w:r>
        <w:rPr>
          <w:rFonts w:ascii="Arial" w:hAnsi="Arial" w:cs="Arial"/>
          <w:color w:val="000000"/>
          <w:sz w:val="18"/>
          <w:szCs w:val="18"/>
        </w:rPr>
        <w:t>, (43), 101-108. Recuperado en 19 de diciembre de 2023, de http://www.scielo.org.mx/scielo.php?script=sci_arttext&amp;pid=S1607-050X2013000300007&amp;lng=es&amp;tlng=es.</w:t>
      </w:r>
    </w:p>
  </w:endnote>
  <w:endnote w:id="28">
    <w:p w:rsidR="00932799" w:rsidRPr="00932799" w:rsidRDefault="00932799">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Fernandes</w:t>
      </w:r>
      <w:proofErr w:type="spellEnd"/>
      <w:r>
        <w:rPr>
          <w:rFonts w:ascii="Arial" w:hAnsi="Arial" w:cs="Arial"/>
          <w:color w:val="000000"/>
          <w:sz w:val="18"/>
          <w:szCs w:val="18"/>
        </w:rPr>
        <w:t xml:space="preserve">, Isabel M, Pires, </w:t>
      </w:r>
      <w:proofErr w:type="spellStart"/>
      <w:r>
        <w:rPr>
          <w:rFonts w:ascii="Arial" w:hAnsi="Arial" w:cs="Arial"/>
          <w:color w:val="000000"/>
          <w:sz w:val="18"/>
          <w:szCs w:val="18"/>
        </w:rPr>
        <w:t>Delmina</w:t>
      </w:r>
      <w:proofErr w:type="spellEnd"/>
      <w:r>
        <w:rPr>
          <w:rFonts w:ascii="Arial" w:hAnsi="Arial" w:cs="Arial"/>
          <w:color w:val="000000"/>
          <w:sz w:val="18"/>
          <w:szCs w:val="18"/>
        </w:rPr>
        <w:t xml:space="preserve"> M, &amp; </w:t>
      </w:r>
      <w:proofErr w:type="spellStart"/>
      <w:r>
        <w:rPr>
          <w:rFonts w:ascii="Arial" w:hAnsi="Arial" w:cs="Arial"/>
          <w:color w:val="000000"/>
          <w:sz w:val="18"/>
          <w:szCs w:val="18"/>
        </w:rPr>
        <w:t>Villamañán</w:t>
      </w:r>
      <w:proofErr w:type="spellEnd"/>
      <w:r>
        <w:rPr>
          <w:rFonts w:ascii="Arial" w:hAnsi="Arial" w:cs="Arial"/>
          <w:color w:val="000000"/>
          <w:sz w:val="18"/>
          <w:szCs w:val="18"/>
        </w:rPr>
        <w:t>, Rosa M. (2014). EDUCACIÓN CIENTÍFICA CON ENFOQUE CIENCIA-TECNOLOGÍA-SOCIEDAD-AMBIENTE: CONSTRUCCIÓN DE UN INSTRUMENTO DE ANÁLISIS DE LAS DIRECTRICES CURRICULARES. </w:t>
      </w:r>
      <w:r>
        <w:rPr>
          <w:rFonts w:ascii="Arial" w:hAnsi="Arial" w:cs="Arial"/>
          <w:i/>
          <w:iCs/>
          <w:color w:val="000000"/>
          <w:sz w:val="18"/>
          <w:szCs w:val="18"/>
        </w:rPr>
        <w:t>Formación universitaria</w:t>
      </w:r>
      <w:r>
        <w:rPr>
          <w:rFonts w:ascii="Arial" w:hAnsi="Arial" w:cs="Arial"/>
          <w:color w:val="000000"/>
          <w:sz w:val="18"/>
          <w:szCs w:val="18"/>
        </w:rPr>
        <w:t>, </w:t>
      </w:r>
      <w:r>
        <w:rPr>
          <w:rFonts w:ascii="Arial" w:hAnsi="Arial" w:cs="Arial"/>
          <w:i/>
          <w:iCs/>
          <w:color w:val="000000"/>
          <w:sz w:val="18"/>
          <w:szCs w:val="18"/>
        </w:rPr>
        <w:t>7</w:t>
      </w:r>
      <w:r>
        <w:rPr>
          <w:rFonts w:ascii="Arial" w:hAnsi="Arial" w:cs="Arial"/>
          <w:color w:val="000000"/>
          <w:sz w:val="18"/>
          <w:szCs w:val="18"/>
        </w:rPr>
        <w:t>(5), 23-32. </w:t>
      </w:r>
      <w:hyperlink r:id="rId5" w:history="1">
        <w:r>
          <w:rPr>
            <w:rStyle w:val="Hipervnculo"/>
            <w:rFonts w:ascii="Arial" w:hAnsi="Arial" w:cs="Arial"/>
            <w:color w:val="555555"/>
            <w:sz w:val="18"/>
            <w:szCs w:val="18"/>
          </w:rPr>
          <w:t>https://dx.doi.org/10.4067/S0718-50062014000500004</w:t>
        </w:r>
      </w:hyperlink>
    </w:p>
  </w:endnote>
  <w:endnote w:id="29">
    <w:p w:rsidR="00932799" w:rsidRPr="00932799" w:rsidRDefault="00932799">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Galati</w:t>
      </w:r>
      <w:proofErr w:type="spellEnd"/>
      <w:r>
        <w:rPr>
          <w:rFonts w:ascii="Arial" w:hAnsi="Arial" w:cs="Arial"/>
          <w:color w:val="000000"/>
          <w:sz w:val="18"/>
          <w:szCs w:val="18"/>
        </w:rPr>
        <w:t xml:space="preserve">, Elvio. (2012). Visión Compleja de los Paradigmas Científicos y la </w:t>
      </w:r>
      <w:proofErr w:type="spellStart"/>
      <w:r>
        <w:rPr>
          <w:rFonts w:ascii="Arial" w:hAnsi="Arial" w:cs="Arial"/>
          <w:color w:val="000000"/>
          <w:sz w:val="18"/>
          <w:szCs w:val="18"/>
        </w:rPr>
        <w:t>Interpersonalidad</w:t>
      </w:r>
      <w:proofErr w:type="spellEnd"/>
      <w:r>
        <w:rPr>
          <w:rFonts w:ascii="Arial" w:hAnsi="Arial" w:cs="Arial"/>
          <w:color w:val="000000"/>
          <w:sz w:val="18"/>
          <w:szCs w:val="18"/>
        </w:rPr>
        <w:t xml:space="preserve"> en la Ciencia. </w:t>
      </w:r>
      <w:r>
        <w:rPr>
          <w:rFonts w:ascii="Arial" w:hAnsi="Arial" w:cs="Arial"/>
          <w:i/>
          <w:iCs/>
          <w:color w:val="000000"/>
          <w:sz w:val="18"/>
          <w:szCs w:val="18"/>
        </w:rPr>
        <w:t xml:space="preserve">Cinta de </w:t>
      </w:r>
      <w:proofErr w:type="spellStart"/>
      <w:r>
        <w:rPr>
          <w:rFonts w:ascii="Arial" w:hAnsi="Arial" w:cs="Arial"/>
          <w:i/>
          <w:iCs/>
          <w:color w:val="000000"/>
          <w:sz w:val="18"/>
          <w:szCs w:val="18"/>
        </w:rPr>
        <w:t>moebio</w:t>
      </w:r>
      <w:proofErr w:type="spellEnd"/>
      <w:r>
        <w:rPr>
          <w:rFonts w:ascii="Arial" w:hAnsi="Arial" w:cs="Arial"/>
          <w:color w:val="000000"/>
          <w:sz w:val="18"/>
          <w:szCs w:val="18"/>
        </w:rPr>
        <w:t>, (44), 122-135. </w:t>
      </w:r>
      <w:hyperlink r:id="rId6" w:history="1">
        <w:r>
          <w:rPr>
            <w:rStyle w:val="Hipervnculo"/>
            <w:rFonts w:ascii="Arial" w:hAnsi="Arial" w:cs="Arial"/>
            <w:color w:val="555555"/>
            <w:sz w:val="18"/>
            <w:szCs w:val="18"/>
          </w:rPr>
          <w:t>https://dx.doi.org/10.4067/S0717-554X2012000200003</w:t>
        </w:r>
      </w:hyperlink>
    </w:p>
  </w:endnote>
  <w:endnote w:id="30">
    <w:p w:rsidR="004D502D" w:rsidRPr="004D502D" w:rsidRDefault="004D502D">
      <w:pPr>
        <w:pStyle w:val="Textonotaalfinal"/>
        <w:rPr>
          <w:lang w:val="es-ES_tradnl"/>
        </w:rPr>
      </w:pPr>
      <w:r>
        <w:rPr>
          <w:rStyle w:val="Refdenotaalfinal"/>
        </w:rPr>
        <w:endnoteRef/>
      </w:r>
      <w:r>
        <w:t xml:space="preserve"> </w:t>
      </w:r>
      <w:r w:rsidRPr="004D502D">
        <w:t xml:space="preserve">Ávila-Fuenmayor, F.,  (2006). El concepto de poder en Michel Foucault. </w:t>
      </w:r>
      <w:proofErr w:type="spellStart"/>
      <w:r w:rsidRPr="004D502D">
        <w:t>Telos</w:t>
      </w:r>
      <w:proofErr w:type="spellEnd"/>
      <w:r w:rsidRPr="004D502D">
        <w:t>, 8(2), 215-234.</w:t>
      </w:r>
    </w:p>
  </w:endnote>
  <w:endnote w:id="31">
    <w:p w:rsidR="004D502D" w:rsidRPr="004D502D" w:rsidRDefault="004D502D">
      <w:pPr>
        <w:pStyle w:val="Textonotaalfinal"/>
        <w:rPr>
          <w:lang w:val="es-ES_tradnl"/>
        </w:rPr>
      </w:pPr>
      <w:r>
        <w:rPr>
          <w:rStyle w:val="Refdenotaalfinal"/>
        </w:rPr>
        <w:endnoteRef/>
      </w:r>
      <w:r>
        <w:t xml:space="preserve"> </w:t>
      </w:r>
      <w:r>
        <w:rPr>
          <w:rFonts w:ascii="Arial" w:hAnsi="Arial" w:cs="Arial"/>
          <w:color w:val="000000"/>
          <w:sz w:val="18"/>
          <w:szCs w:val="18"/>
        </w:rPr>
        <w:t>Cruz Pineda, Ofelia Piedad. (2019). Configuración del discurso pedagógico y reformas educativas en México: una aproximación a su análisis. </w:t>
      </w:r>
      <w:r>
        <w:rPr>
          <w:rFonts w:ascii="Arial" w:hAnsi="Arial" w:cs="Arial"/>
          <w:i/>
          <w:iCs/>
          <w:color w:val="000000"/>
          <w:sz w:val="18"/>
          <w:szCs w:val="18"/>
        </w:rPr>
        <w:t>Revista mexicana de investigación educativa</w:t>
      </w:r>
      <w:r>
        <w:rPr>
          <w:rFonts w:ascii="Arial" w:hAnsi="Arial" w:cs="Arial"/>
          <w:color w:val="000000"/>
          <w:sz w:val="18"/>
          <w:szCs w:val="18"/>
        </w:rPr>
        <w:t>, </w:t>
      </w:r>
      <w:r>
        <w:rPr>
          <w:rFonts w:ascii="Arial" w:hAnsi="Arial" w:cs="Arial"/>
          <w:i/>
          <w:iCs/>
          <w:color w:val="000000"/>
          <w:sz w:val="18"/>
          <w:szCs w:val="18"/>
        </w:rPr>
        <w:t>24</w:t>
      </w:r>
      <w:r>
        <w:rPr>
          <w:rFonts w:ascii="Arial" w:hAnsi="Arial" w:cs="Arial"/>
          <w:color w:val="000000"/>
          <w:sz w:val="18"/>
          <w:szCs w:val="18"/>
        </w:rPr>
        <w:t>(81), 565-591. Recuperado en 19 de diciembre de 2023, de http://www.scielo.org.mx/scielo.php?script=sci_arttext&amp;pid=S1405-66662019000200565&amp;lng=es&amp;tlng=es.</w:t>
      </w:r>
    </w:p>
  </w:endnote>
  <w:endnote w:id="32">
    <w:p w:rsidR="004D502D" w:rsidRPr="004D502D" w:rsidRDefault="004D502D">
      <w:pPr>
        <w:pStyle w:val="Textonotaalfinal"/>
        <w:rPr>
          <w:lang w:val="es-ES_tradnl"/>
        </w:rPr>
      </w:pPr>
      <w:r>
        <w:rPr>
          <w:rStyle w:val="Refdenotaalfinal"/>
        </w:rPr>
        <w:endnoteRef/>
      </w:r>
      <w:r>
        <w:t xml:space="preserve"> </w:t>
      </w:r>
      <w:r>
        <w:rPr>
          <w:rFonts w:ascii="Arial" w:hAnsi="Arial" w:cs="Arial"/>
          <w:color w:val="000000"/>
          <w:sz w:val="18"/>
          <w:szCs w:val="18"/>
        </w:rPr>
        <w:t xml:space="preserve">Maldonado-Díaz, César. (2022). Estudio del discurso pedagógico: enfoque </w:t>
      </w:r>
      <w:proofErr w:type="spellStart"/>
      <w:r>
        <w:rPr>
          <w:rFonts w:ascii="Arial" w:hAnsi="Arial" w:cs="Arial"/>
          <w:color w:val="000000"/>
          <w:sz w:val="18"/>
          <w:szCs w:val="18"/>
        </w:rPr>
        <w:t>bernsteniano</w:t>
      </w:r>
      <w:proofErr w:type="spellEnd"/>
      <w:r>
        <w:rPr>
          <w:rFonts w:ascii="Arial" w:hAnsi="Arial" w:cs="Arial"/>
          <w:color w:val="000000"/>
          <w:sz w:val="18"/>
          <w:szCs w:val="18"/>
        </w:rPr>
        <w:t xml:space="preserve"> clásico y revisiones actuales sobre un modelo de análisis para la investigación de la pedagogía puesta en acto. </w:t>
      </w:r>
      <w:r>
        <w:rPr>
          <w:rFonts w:ascii="Arial" w:hAnsi="Arial" w:cs="Arial"/>
          <w:i/>
          <w:iCs/>
          <w:color w:val="000000"/>
          <w:sz w:val="18"/>
          <w:szCs w:val="18"/>
        </w:rPr>
        <w:t>Revista de estudios y experiencias en educación</w:t>
      </w:r>
      <w:r>
        <w:rPr>
          <w:rFonts w:ascii="Arial" w:hAnsi="Arial" w:cs="Arial"/>
          <w:color w:val="000000"/>
          <w:sz w:val="18"/>
          <w:szCs w:val="18"/>
        </w:rPr>
        <w:t>, </w:t>
      </w:r>
      <w:r>
        <w:rPr>
          <w:rFonts w:ascii="Arial" w:hAnsi="Arial" w:cs="Arial"/>
          <w:i/>
          <w:iCs/>
          <w:color w:val="000000"/>
          <w:sz w:val="18"/>
          <w:szCs w:val="18"/>
        </w:rPr>
        <w:t>21</w:t>
      </w:r>
      <w:r>
        <w:rPr>
          <w:rFonts w:ascii="Arial" w:hAnsi="Arial" w:cs="Arial"/>
          <w:color w:val="000000"/>
          <w:sz w:val="18"/>
          <w:szCs w:val="18"/>
        </w:rPr>
        <w:t>(45), 409-431. </w:t>
      </w:r>
      <w:hyperlink r:id="rId7" w:history="1">
        <w:r>
          <w:rPr>
            <w:rStyle w:val="Hipervnculo"/>
            <w:rFonts w:ascii="Arial" w:hAnsi="Arial" w:cs="Arial"/>
            <w:color w:val="555555"/>
            <w:sz w:val="18"/>
            <w:szCs w:val="18"/>
          </w:rPr>
          <w:t>https://dx.doi.org/10.21703/0718-5162.v21.n45.2022.021</w:t>
        </w:r>
      </w:hyperlink>
    </w:p>
  </w:endnote>
  <w:endnote w:id="33">
    <w:p w:rsidR="004D502D" w:rsidRPr="004D502D" w:rsidRDefault="004D502D">
      <w:pPr>
        <w:pStyle w:val="Textonotaalfinal"/>
        <w:rPr>
          <w:lang w:val="es-ES_tradnl"/>
        </w:rPr>
      </w:pPr>
      <w:r>
        <w:rPr>
          <w:rStyle w:val="Refdenotaalfinal"/>
        </w:rPr>
        <w:endnoteRef/>
      </w:r>
      <w:r>
        <w:t xml:space="preserve"> </w:t>
      </w:r>
      <w:r>
        <w:rPr>
          <w:rFonts w:ascii="Arial" w:hAnsi="Arial" w:cs="Arial"/>
          <w:color w:val="000000"/>
          <w:sz w:val="18"/>
          <w:szCs w:val="18"/>
        </w:rPr>
        <w:t>Gómez, Viviana, &amp; Guerra, Paula. (2012). Teorías implícitas respecto a la enseñanza y el aprendizaje: ¿Existen diferencias entre profesores en ejercicio y estudiantes de pedagogía?. </w:t>
      </w:r>
      <w:r>
        <w:rPr>
          <w:rFonts w:ascii="Arial" w:hAnsi="Arial" w:cs="Arial"/>
          <w:i/>
          <w:iCs/>
          <w:color w:val="000000"/>
          <w:sz w:val="18"/>
          <w:szCs w:val="18"/>
        </w:rPr>
        <w:t>Estudios pedagógicos (Valdivia)</w:t>
      </w:r>
      <w:r>
        <w:rPr>
          <w:rFonts w:ascii="Arial" w:hAnsi="Arial" w:cs="Arial"/>
          <w:color w:val="000000"/>
          <w:sz w:val="18"/>
          <w:szCs w:val="18"/>
        </w:rPr>
        <w:t>, </w:t>
      </w:r>
      <w:r>
        <w:rPr>
          <w:rFonts w:ascii="Arial" w:hAnsi="Arial" w:cs="Arial"/>
          <w:i/>
          <w:iCs/>
          <w:color w:val="000000"/>
          <w:sz w:val="18"/>
          <w:szCs w:val="18"/>
        </w:rPr>
        <w:t>38</w:t>
      </w:r>
      <w:r>
        <w:rPr>
          <w:rFonts w:ascii="Arial" w:hAnsi="Arial" w:cs="Arial"/>
          <w:color w:val="000000"/>
          <w:sz w:val="18"/>
          <w:szCs w:val="18"/>
        </w:rPr>
        <w:t>(1), 25-43. </w:t>
      </w:r>
      <w:hyperlink r:id="rId8" w:history="1">
        <w:r>
          <w:rPr>
            <w:rStyle w:val="Hipervnculo"/>
            <w:rFonts w:ascii="Arial" w:hAnsi="Arial" w:cs="Arial"/>
            <w:color w:val="555555"/>
            <w:sz w:val="18"/>
            <w:szCs w:val="18"/>
          </w:rPr>
          <w:t>https://dx.doi.org/10.4067/S0718-07052012000100001</w:t>
        </w:r>
      </w:hyperlink>
    </w:p>
  </w:endnote>
  <w:endnote w:id="34">
    <w:p w:rsidR="004D502D" w:rsidRPr="004D502D" w:rsidRDefault="004D502D">
      <w:pPr>
        <w:pStyle w:val="Textonotaalfinal"/>
        <w:rPr>
          <w:lang w:val="es-ES_tradnl"/>
        </w:rPr>
      </w:pPr>
      <w:r>
        <w:rPr>
          <w:rStyle w:val="Refdenotaalfinal"/>
        </w:rPr>
        <w:endnoteRef/>
      </w:r>
      <w:r>
        <w:t xml:space="preserve"> </w:t>
      </w:r>
      <w:r>
        <w:rPr>
          <w:rFonts w:ascii="Arial" w:hAnsi="Arial" w:cs="Arial"/>
          <w:color w:val="000000"/>
          <w:sz w:val="18"/>
          <w:szCs w:val="18"/>
        </w:rPr>
        <w:t xml:space="preserve">Robles, Darwin </w:t>
      </w:r>
      <w:proofErr w:type="spellStart"/>
      <w:r>
        <w:rPr>
          <w:rFonts w:ascii="Arial" w:hAnsi="Arial" w:cs="Arial"/>
          <w:color w:val="000000"/>
          <w:sz w:val="18"/>
          <w:szCs w:val="18"/>
        </w:rPr>
        <w:t>Joaqui</w:t>
      </w:r>
      <w:proofErr w:type="spellEnd"/>
      <w:r>
        <w:rPr>
          <w:rFonts w:ascii="Arial" w:hAnsi="Arial" w:cs="Arial"/>
          <w:color w:val="000000"/>
          <w:sz w:val="18"/>
          <w:szCs w:val="18"/>
        </w:rPr>
        <w:t>, &amp; Ortiz Granja, Dorys Noemy. (2017). Educación como práctica social: la cuestión del otro y su reconocimiento. </w:t>
      </w:r>
      <w:proofErr w:type="spellStart"/>
      <w:r>
        <w:rPr>
          <w:rFonts w:ascii="Arial" w:hAnsi="Arial" w:cs="Arial"/>
          <w:i/>
          <w:iCs/>
          <w:color w:val="000000"/>
          <w:sz w:val="18"/>
          <w:szCs w:val="18"/>
        </w:rPr>
        <w:t>Sophia</w:t>
      </w:r>
      <w:proofErr w:type="spellEnd"/>
      <w:r>
        <w:rPr>
          <w:rFonts w:ascii="Arial" w:hAnsi="Arial" w:cs="Arial"/>
          <w:i/>
          <w:iCs/>
          <w:color w:val="000000"/>
          <w:sz w:val="18"/>
          <w:szCs w:val="18"/>
        </w:rPr>
        <w:t>, Colección de Filosofía de la Educación</w:t>
      </w:r>
      <w:r>
        <w:rPr>
          <w:rFonts w:ascii="Arial" w:hAnsi="Arial" w:cs="Arial"/>
          <w:color w:val="000000"/>
          <w:sz w:val="18"/>
          <w:szCs w:val="18"/>
        </w:rPr>
        <w:t>, (23), 195-218. </w:t>
      </w:r>
      <w:hyperlink r:id="rId9" w:history="1">
        <w:r>
          <w:rPr>
            <w:rStyle w:val="Hipervnculo"/>
            <w:rFonts w:ascii="Arial" w:hAnsi="Arial" w:cs="Arial"/>
            <w:color w:val="555555"/>
            <w:sz w:val="18"/>
            <w:szCs w:val="18"/>
          </w:rPr>
          <w:t>https://doi.org/10.17163/soph.n23.2017.07</w:t>
        </w:r>
      </w:hyperlink>
    </w:p>
  </w:endnote>
  <w:endnote w:id="35">
    <w:p w:rsidR="00AE7DB0" w:rsidRPr="00AE7DB0" w:rsidRDefault="00AE7DB0">
      <w:pPr>
        <w:pStyle w:val="Textonotaalfinal"/>
        <w:rPr>
          <w:lang w:val="es-ES_tradnl"/>
        </w:rPr>
      </w:pPr>
      <w:r>
        <w:rPr>
          <w:rStyle w:val="Refdenotaalfinal"/>
        </w:rPr>
        <w:endnoteRef/>
      </w:r>
      <w:r>
        <w:t xml:space="preserve"> </w:t>
      </w:r>
      <w:r w:rsidRPr="00AE7DB0">
        <w:t>Segura Castillo, M.,  (2005). El ambiente y la disciplina escolar desde el conductismo y el constructivismo. Revista Electrónica "Actualidades Investigativas en Educación", 5( ), 1-18.</w:t>
      </w:r>
    </w:p>
  </w:endnote>
  <w:endnote w:id="36">
    <w:p w:rsidR="00AE7DB0" w:rsidRPr="00AE7DB0" w:rsidRDefault="00AE7DB0">
      <w:pPr>
        <w:pStyle w:val="Textonotaalfinal"/>
        <w:rPr>
          <w:lang w:val="es-ES_tradnl"/>
        </w:rPr>
      </w:pPr>
      <w:r>
        <w:rPr>
          <w:rStyle w:val="Refdenotaalfinal"/>
        </w:rPr>
        <w:endnoteRef/>
      </w:r>
      <w:r>
        <w:t xml:space="preserve"> </w:t>
      </w:r>
      <w:r>
        <w:rPr>
          <w:rFonts w:ascii="Arial" w:hAnsi="Arial" w:cs="Arial"/>
          <w:color w:val="000000"/>
          <w:sz w:val="18"/>
          <w:szCs w:val="18"/>
        </w:rPr>
        <w:t>Peña Correal, Telmo Eduardo. (2010). ¿Es viable el conductismo en el siglo XXI?. </w:t>
      </w:r>
      <w:proofErr w:type="spellStart"/>
      <w:r>
        <w:rPr>
          <w:rFonts w:ascii="Arial" w:hAnsi="Arial" w:cs="Arial"/>
          <w:i/>
          <w:iCs/>
          <w:color w:val="000000"/>
          <w:sz w:val="18"/>
          <w:szCs w:val="18"/>
        </w:rPr>
        <w:t>Liberabit</w:t>
      </w:r>
      <w:proofErr w:type="spellEnd"/>
      <w:r>
        <w:rPr>
          <w:rFonts w:ascii="Arial" w:hAnsi="Arial" w:cs="Arial"/>
          <w:color w:val="000000"/>
          <w:sz w:val="18"/>
          <w:szCs w:val="18"/>
        </w:rPr>
        <w:t>, </w:t>
      </w:r>
      <w:r>
        <w:rPr>
          <w:rFonts w:ascii="Arial" w:hAnsi="Arial" w:cs="Arial"/>
          <w:i/>
          <w:iCs/>
          <w:color w:val="000000"/>
          <w:sz w:val="18"/>
          <w:szCs w:val="18"/>
        </w:rPr>
        <w:t>16</w:t>
      </w:r>
      <w:r>
        <w:rPr>
          <w:rFonts w:ascii="Arial" w:hAnsi="Arial" w:cs="Arial"/>
          <w:color w:val="000000"/>
          <w:sz w:val="18"/>
          <w:szCs w:val="18"/>
        </w:rPr>
        <w:t>(2), 125-130. Recuperado en 19 de diciembre de 2023, de http://www.scielo.org.pe/scielo.php?script=sci_arttext&amp;pid=S1729-48272010000200002&amp;lng=es&amp;tlng=es.</w:t>
      </w:r>
    </w:p>
  </w:endnote>
  <w:endnote w:id="37">
    <w:p w:rsidR="00AE7DB0" w:rsidRPr="00AE7DB0" w:rsidRDefault="00AE7DB0">
      <w:pPr>
        <w:pStyle w:val="Textonotaalfinal"/>
        <w:rPr>
          <w:lang w:val="es-ES_tradnl"/>
        </w:rPr>
      </w:pPr>
      <w:r>
        <w:rPr>
          <w:rStyle w:val="Refdenotaalfinal"/>
        </w:rPr>
        <w:endnoteRef/>
      </w:r>
      <w:r>
        <w:t xml:space="preserve"> </w:t>
      </w:r>
      <w:r>
        <w:rPr>
          <w:rFonts w:ascii="Arial" w:hAnsi="Arial" w:cs="Arial"/>
          <w:color w:val="000000"/>
          <w:sz w:val="18"/>
          <w:szCs w:val="18"/>
        </w:rPr>
        <w:t>Varas, Ibar. (2003). TENDENCIAS PREDOMINANTES DE LA EDUCACIÓN CONTEMPORÁNEA. </w:t>
      </w:r>
      <w:r>
        <w:rPr>
          <w:rFonts w:ascii="Arial" w:hAnsi="Arial" w:cs="Arial"/>
          <w:i/>
          <w:iCs/>
          <w:color w:val="000000"/>
          <w:sz w:val="18"/>
          <w:szCs w:val="18"/>
        </w:rPr>
        <w:t>Investigación y Postgrado</w:t>
      </w:r>
      <w:r>
        <w:rPr>
          <w:rFonts w:ascii="Arial" w:hAnsi="Arial" w:cs="Arial"/>
          <w:color w:val="000000"/>
          <w:sz w:val="18"/>
          <w:szCs w:val="18"/>
        </w:rPr>
        <w:t>, </w:t>
      </w:r>
      <w:r>
        <w:rPr>
          <w:rFonts w:ascii="Arial" w:hAnsi="Arial" w:cs="Arial"/>
          <w:i/>
          <w:iCs/>
          <w:color w:val="000000"/>
          <w:sz w:val="18"/>
          <w:szCs w:val="18"/>
        </w:rPr>
        <w:t>18</w:t>
      </w:r>
      <w:r>
        <w:rPr>
          <w:rFonts w:ascii="Arial" w:hAnsi="Arial" w:cs="Arial"/>
          <w:color w:val="000000"/>
          <w:sz w:val="18"/>
          <w:szCs w:val="18"/>
        </w:rPr>
        <w:t>(1), 46-57. Recuperado en 19 de diciembre de 2023, de http://ve.scielo.org/scielo.php?script=sci_arttext&amp;pid=S1316-00872003000100007&amp;lng=es&amp;tlng=es.</w:t>
      </w:r>
    </w:p>
  </w:endnote>
  <w:endnote w:id="38">
    <w:p w:rsidR="00AE7DB0" w:rsidRPr="00AE7DB0" w:rsidRDefault="00AE7DB0">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Clarà</w:t>
      </w:r>
      <w:proofErr w:type="spellEnd"/>
      <w:r>
        <w:rPr>
          <w:rFonts w:ascii="Arial" w:hAnsi="Arial" w:cs="Arial"/>
          <w:color w:val="000000"/>
          <w:sz w:val="18"/>
          <w:szCs w:val="18"/>
        </w:rPr>
        <w:t>, Marc. (2019). El problema teoría-práctica en los modelos de formación del profesorado: Una mirada psicológica. </w:t>
      </w:r>
      <w:r>
        <w:rPr>
          <w:rFonts w:ascii="Arial" w:hAnsi="Arial" w:cs="Arial"/>
          <w:i/>
          <w:iCs/>
          <w:color w:val="000000"/>
          <w:sz w:val="18"/>
          <w:szCs w:val="18"/>
        </w:rPr>
        <w:t>Estudios pedagógicos (Valdivia)</w:t>
      </w:r>
      <w:r>
        <w:rPr>
          <w:rFonts w:ascii="Arial" w:hAnsi="Arial" w:cs="Arial"/>
          <w:color w:val="000000"/>
          <w:sz w:val="18"/>
          <w:szCs w:val="18"/>
        </w:rPr>
        <w:t>, </w:t>
      </w:r>
      <w:r>
        <w:rPr>
          <w:rFonts w:ascii="Arial" w:hAnsi="Arial" w:cs="Arial"/>
          <w:i/>
          <w:iCs/>
          <w:color w:val="000000"/>
          <w:sz w:val="18"/>
          <w:szCs w:val="18"/>
        </w:rPr>
        <w:t>45</w:t>
      </w:r>
      <w:r>
        <w:rPr>
          <w:rFonts w:ascii="Arial" w:hAnsi="Arial" w:cs="Arial"/>
          <w:color w:val="000000"/>
          <w:sz w:val="18"/>
          <w:szCs w:val="18"/>
        </w:rPr>
        <w:t>(2), 179-195. </w:t>
      </w:r>
      <w:hyperlink r:id="rId10" w:history="1">
        <w:r>
          <w:rPr>
            <w:rStyle w:val="Hipervnculo"/>
            <w:rFonts w:ascii="Arial" w:hAnsi="Arial" w:cs="Arial"/>
            <w:color w:val="555555"/>
            <w:sz w:val="18"/>
            <w:szCs w:val="18"/>
          </w:rPr>
          <w:t>https://dx.doi.org/10.4067/S0718-07052019000200179</w:t>
        </w:r>
      </w:hyperlink>
    </w:p>
  </w:endnote>
  <w:endnote w:id="39">
    <w:p w:rsidR="00AE7DB0" w:rsidRPr="00AE7DB0" w:rsidRDefault="00AE7DB0">
      <w:pPr>
        <w:pStyle w:val="Textonotaalfinal"/>
        <w:rPr>
          <w:lang w:val="es-ES_tradnl"/>
        </w:rPr>
      </w:pPr>
      <w:r>
        <w:rPr>
          <w:rStyle w:val="Refdenotaalfinal"/>
        </w:rPr>
        <w:endnoteRef/>
      </w:r>
      <w:r>
        <w:t xml:space="preserve"> </w:t>
      </w:r>
      <w:r>
        <w:rPr>
          <w:rFonts w:ascii="Arial" w:hAnsi="Arial" w:cs="Arial"/>
          <w:color w:val="000000"/>
          <w:sz w:val="18"/>
          <w:szCs w:val="18"/>
        </w:rPr>
        <w:t>Gazmuri Stein, Renato. (2017). Ideologías curriculares en el debate y negociación del currículum chileno de Historia, Geografía y Ciencias Sociales. </w:t>
      </w:r>
      <w:r>
        <w:rPr>
          <w:rFonts w:ascii="Arial" w:hAnsi="Arial" w:cs="Arial"/>
          <w:i/>
          <w:iCs/>
          <w:color w:val="000000"/>
          <w:sz w:val="18"/>
          <w:szCs w:val="18"/>
        </w:rPr>
        <w:t>Estudios pedagógicos (Valdivia)</w:t>
      </w:r>
      <w:r>
        <w:rPr>
          <w:rFonts w:ascii="Arial" w:hAnsi="Arial" w:cs="Arial"/>
          <w:color w:val="000000"/>
          <w:sz w:val="18"/>
          <w:szCs w:val="18"/>
        </w:rPr>
        <w:t>, </w:t>
      </w:r>
      <w:r>
        <w:rPr>
          <w:rFonts w:ascii="Arial" w:hAnsi="Arial" w:cs="Arial"/>
          <w:i/>
          <w:iCs/>
          <w:color w:val="000000"/>
          <w:sz w:val="18"/>
          <w:szCs w:val="18"/>
        </w:rPr>
        <w:t>43</w:t>
      </w:r>
      <w:r>
        <w:rPr>
          <w:rFonts w:ascii="Arial" w:hAnsi="Arial" w:cs="Arial"/>
          <w:color w:val="000000"/>
          <w:sz w:val="18"/>
          <w:szCs w:val="18"/>
        </w:rPr>
        <w:t>(1), 157-169. </w:t>
      </w:r>
      <w:hyperlink r:id="rId11" w:history="1">
        <w:r>
          <w:rPr>
            <w:rStyle w:val="Hipervnculo"/>
            <w:rFonts w:ascii="Arial" w:hAnsi="Arial" w:cs="Arial"/>
            <w:color w:val="555555"/>
            <w:sz w:val="18"/>
            <w:szCs w:val="18"/>
          </w:rPr>
          <w:t>https://dx.doi.org/10.4067/S0718-07052017000100010</w:t>
        </w:r>
      </w:hyperlink>
    </w:p>
  </w:endnote>
  <w:endnote w:id="40">
    <w:p w:rsidR="00AE7DB0" w:rsidRPr="00AE7DB0" w:rsidRDefault="00AE7DB0">
      <w:pPr>
        <w:pStyle w:val="Textonotaalfinal"/>
        <w:rPr>
          <w:lang w:val="es-ES_tradnl"/>
        </w:rPr>
      </w:pPr>
      <w:r>
        <w:rPr>
          <w:rStyle w:val="Refdenotaalfinal"/>
        </w:rPr>
        <w:endnoteRef/>
      </w:r>
      <w:r>
        <w:t xml:space="preserve"> </w:t>
      </w:r>
      <w:r>
        <w:rPr>
          <w:rFonts w:ascii="Arial" w:hAnsi="Arial" w:cs="Arial"/>
          <w:color w:val="000000"/>
          <w:sz w:val="18"/>
          <w:szCs w:val="18"/>
        </w:rPr>
        <w:t xml:space="preserve">Centeno, </w:t>
      </w:r>
      <w:proofErr w:type="spellStart"/>
      <w:r>
        <w:rPr>
          <w:rFonts w:ascii="Arial" w:hAnsi="Arial" w:cs="Arial"/>
          <w:color w:val="000000"/>
          <w:sz w:val="18"/>
          <w:szCs w:val="18"/>
        </w:rPr>
        <w:t>Angel</w:t>
      </w:r>
      <w:proofErr w:type="spellEnd"/>
      <w:r>
        <w:rPr>
          <w:rFonts w:ascii="Arial" w:hAnsi="Arial" w:cs="Arial"/>
          <w:color w:val="000000"/>
          <w:sz w:val="18"/>
          <w:szCs w:val="18"/>
        </w:rPr>
        <w:t xml:space="preserve"> M., &amp; Paz </w:t>
      </w:r>
      <w:proofErr w:type="spellStart"/>
      <w:r>
        <w:rPr>
          <w:rFonts w:ascii="Arial" w:hAnsi="Arial" w:cs="Arial"/>
          <w:color w:val="000000"/>
          <w:sz w:val="18"/>
          <w:szCs w:val="18"/>
        </w:rPr>
        <w:t>Grebe</w:t>
      </w:r>
      <w:proofErr w:type="spellEnd"/>
      <w:r>
        <w:rPr>
          <w:rFonts w:ascii="Arial" w:hAnsi="Arial" w:cs="Arial"/>
          <w:color w:val="000000"/>
          <w:sz w:val="18"/>
          <w:szCs w:val="18"/>
        </w:rPr>
        <w:t>, María de la. (2021). El currículo oculto y su influencia en la enseñanza en las Ciencias de la Salud. </w:t>
      </w:r>
      <w:r>
        <w:rPr>
          <w:rFonts w:ascii="Arial" w:hAnsi="Arial" w:cs="Arial"/>
          <w:i/>
          <w:iCs/>
          <w:color w:val="000000"/>
          <w:sz w:val="18"/>
          <w:szCs w:val="18"/>
        </w:rPr>
        <w:t>Investigación en educación médica</w:t>
      </w:r>
      <w:r>
        <w:rPr>
          <w:rFonts w:ascii="Arial" w:hAnsi="Arial" w:cs="Arial"/>
          <w:color w:val="000000"/>
          <w:sz w:val="18"/>
          <w:szCs w:val="18"/>
        </w:rPr>
        <w:t>, </w:t>
      </w:r>
      <w:r>
        <w:rPr>
          <w:rFonts w:ascii="Arial" w:hAnsi="Arial" w:cs="Arial"/>
          <w:i/>
          <w:iCs/>
          <w:color w:val="000000"/>
          <w:sz w:val="18"/>
          <w:szCs w:val="18"/>
        </w:rPr>
        <w:t>10</w:t>
      </w:r>
      <w:r>
        <w:rPr>
          <w:rFonts w:ascii="Arial" w:hAnsi="Arial" w:cs="Arial"/>
          <w:color w:val="000000"/>
          <w:sz w:val="18"/>
          <w:szCs w:val="18"/>
        </w:rPr>
        <w:t xml:space="preserve">(38), 89-95. </w:t>
      </w:r>
      <w:proofErr w:type="spellStart"/>
      <w:r>
        <w:rPr>
          <w:rFonts w:ascii="Arial" w:hAnsi="Arial" w:cs="Arial"/>
          <w:color w:val="000000"/>
          <w:sz w:val="18"/>
          <w:szCs w:val="18"/>
        </w:rPr>
        <w:t>Epub</w:t>
      </w:r>
      <w:proofErr w:type="spellEnd"/>
      <w:r>
        <w:rPr>
          <w:rFonts w:ascii="Arial" w:hAnsi="Arial" w:cs="Arial"/>
          <w:color w:val="000000"/>
          <w:sz w:val="18"/>
          <w:szCs w:val="18"/>
        </w:rPr>
        <w:t xml:space="preserve"> 06 de diciembre de 2021.</w:t>
      </w:r>
      <w:hyperlink r:id="rId12" w:history="1">
        <w:r>
          <w:rPr>
            <w:rStyle w:val="Hipervnculo"/>
            <w:rFonts w:ascii="Arial" w:hAnsi="Arial" w:cs="Arial"/>
            <w:color w:val="555555"/>
            <w:sz w:val="18"/>
            <w:szCs w:val="18"/>
          </w:rPr>
          <w:t>https://doi.org/10.22201/fm.20075057e.2021.38.21350</w:t>
        </w:r>
      </w:hyperlink>
    </w:p>
  </w:endnote>
  <w:endnote w:id="41">
    <w:p w:rsidR="006604B4" w:rsidRPr="006604B4" w:rsidRDefault="006604B4">
      <w:pPr>
        <w:pStyle w:val="Textonotaalfinal"/>
        <w:rPr>
          <w:lang w:val="es-ES_tradnl"/>
        </w:rPr>
      </w:pPr>
      <w:r>
        <w:rPr>
          <w:rStyle w:val="Refdenotaalfinal"/>
        </w:rPr>
        <w:endnoteRef/>
      </w:r>
      <w:r>
        <w:t xml:space="preserve"> </w:t>
      </w:r>
      <w:r>
        <w:rPr>
          <w:rFonts w:ascii="Arial" w:hAnsi="Arial" w:cs="Arial"/>
          <w:color w:val="000000"/>
          <w:sz w:val="18"/>
          <w:szCs w:val="18"/>
        </w:rPr>
        <w:t xml:space="preserve">Olivares García, </w:t>
      </w:r>
      <w:proofErr w:type="spellStart"/>
      <w:r>
        <w:rPr>
          <w:rFonts w:ascii="Arial" w:hAnsi="Arial" w:cs="Arial"/>
          <w:color w:val="000000"/>
          <w:sz w:val="18"/>
          <w:szCs w:val="18"/>
        </w:rPr>
        <w:t>Suying</w:t>
      </w:r>
      <w:proofErr w:type="spellEnd"/>
      <w:r>
        <w:rPr>
          <w:rFonts w:ascii="Arial" w:hAnsi="Arial" w:cs="Arial"/>
          <w:color w:val="000000"/>
          <w:sz w:val="18"/>
          <w:szCs w:val="18"/>
        </w:rPr>
        <w:t>. (2007). El derecho a la educación como un derecho humano fundamental a la luz de la Constitución de 1999. </w:t>
      </w:r>
      <w:r>
        <w:rPr>
          <w:rFonts w:ascii="Arial" w:hAnsi="Arial" w:cs="Arial"/>
          <w:i/>
          <w:iCs/>
          <w:color w:val="000000"/>
          <w:sz w:val="18"/>
          <w:szCs w:val="18"/>
        </w:rPr>
        <w:t>Frónesis</w:t>
      </w:r>
      <w:r>
        <w:rPr>
          <w:rFonts w:ascii="Arial" w:hAnsi="Arial" w:cs="Arial"/>
          <w:color w:val="000000"/>
          <w:sz w:val="18"/>
          <w:szCs w:val="18"/>
        </w:rPr>
        <w:t>, </w:t>
      </w:r>
      <w:r>
        <w:rPr>
          <w:rFonts w:ascii="Arial" w:hAnsi="Arial" w:cs="Arial"/>
          <w:i/>
          <w:iCs/>
          <w:color w:val="000000"/>
          <w:sz w:val="18"/>
          <w:szCs w:val="18"/>
        </w:rPr>
        <w:t>14</w:t>
      </w:r>
      <w:r>
        <w:rPr>
          <w:rFonts w:ascii="Arial" w:hAnsi="Arial" w:cs="Arial"/>
          <w:color w:val="000000"/>
          <w:sz w:val="18"/>
          <w:szCs w:val="18"/>
        </w:rPr>
        <w:t>(2), 11-36. Recuperado en 19 de diciembre de 2023, de http://ve.scielo.org/scielo.php?script=sci_arttext&amp;pid=S1315-62682007000200002&amp;lng=es&amp;tlng=es.</w:t>
      </w:r>
    </w:p>
  </w:endnote>
  <w:endnote w:id="42">
    <w:p w:rsidR="006604B4" w:rsidRPr="006604B4" w:rsidRDefault="006604B4">
      <w:pPr>
        <w:pStyle w:val="Textonotaalfinal"/>
        <w:rPr>
          <w:lang w:val="es-ES_tradnl"/>
        </w:rPr>
      </w:pPr>
      <w:r>
        <w:rPr>
          <w:rStyle w:val="Refdenotaalfinal"/>
        </w:rPr>
        <w:endnoteRef/>
      </w:r>
      <w:r>
        <w:t xml:space="preserve"> </w:t>
      </w:r>
      <w:r w:rsidRPr="006604B4">
        <w:t>Cataño, G.,  (2004). Max Weber y la Educación. Espacio Abierto, 13(3), 395 - 404.</w:t>
      </w:r>
    </w:p>
  </w:endnote>
  <w:endnote w:id="43">
    <w:p w:rsidR="006604B4" w:rsidRPr="006604B4" w:rsidRDefault="006604B4">
      <w:pPr>
        <w:pStyle w:val="Textonotaalfinal"/>
        <w:rPr>
          <w:lang w:val="es-ES_tradnl"/>
        </w:rPr>
      </w:pPr>
      <w:r>
        <w:rPr>
          <w:rStyle w:val="Refdenotaalfinal"/>
        </w:rPr>
        <w:endnoteRef/>
      </w:r>
      <w:r>
        <w:t xml:space="preserve"> </w:t>
      </w:r>
      <w:r>
        <w:rPr>
          <w:rFonts w:ascii="Arial" w:hAnsi="Arial" w:cs="Arial"/>
          <w:color w:val="000000"/>
          <w:sz w:val="18"/>
          <w:szCs w:val="18"/>
        </w:rPr>
        <w:t>Urra, E., Muñoz, A., &amp; Peña, J.. (2013). El análisis del discurso como perspectiva metodológica para investigadores de salud. </w:t>
      </w:r>
      <w:r>
        <w:rPr>
          <w:rFonts w:ascii="Arial" w:hAnsi="Arial" w:cs="Arial"/>
          <w:i/>
          <w:iCs/>
          <w:color w:val="000000"/>
          <w:sz w:val="18"/>
          <w:szCs w:val="18"/>
        </w:rPr>
        <w:t>Enfermería universitaria</w:t>
      </w:r>
      <w:r>
        <w:rPr>
          <w:rFonts w:ascii="Arial" w:hAnsi="Arial" w:cs="Arial"/>
          <w:color w:val="000000"/>
          <w:sz w:val="18"/>
          <w:szCs w:val="18"/>
        </w:rPr>
        <w:t>, </w:t>
      </w:r>
      <w:r>
        <w:rPr>
          <w:rFonts w:ascii="Arial" w:hAnsi="Arial" w:cs="Arial"/>
          <w:i/>
          <w:iCs/>
          <w:color w:val="000000"/>
          <w:sz w:val="18"/>
          <w:szCs w:val="18"/>
        </w:rPr>
        <w:t>10</w:t>
      </w:r>
      <w:r>
        <w:rPr>
          <w:rFonts w:ascii="Arial" w:hAnsi="Arial" w:cs="Arial"/>
          <w:color w:val="000000"/>
          <w:sz w:val="18"/>
          <w:szCs w:val="18"/>
        </w:rPr>
        <w:t>(2), 50-57. Recuperado en 19 de diciembre de 2023, de http://www.scielo.org.mx/scielo.php?script=sci_arttext&amp;pid=S1665-70632013000200004&amp;lng=es&amp;tlng=es.</w:t>
      </w:r>
    </w:p>
  </w:endnote>
  <w:endnote w:id="44">
    <w:p w:rsidR="006604B4" w:rsidRPr="006604B4" w:rsidRDefault="006604B4">
      <w:pPr>
        <w:pStyle w:val="Textonotaalfinal"/>
        <w:rPr>
          <w:lang w:val="es-ES_tradnl"/>
        </w:rPr>
      </w:pPr>
      <w:r>
        <w:rPr>
          <w:rStyle w:val="Refdenotaalfinal"/>
        </w:rPr>
        <w:endnoteRef/>
      </w:r>
      <w:r>
        <w:t xml:space="preserve"> </w:t>
      </w:r>
      <w:r w:rsidRPr="006604B4">
        <w:t>Díaz Domínguez, T., &amp; Alemán, P. A.  (2008). La educación como factor de desarrollo. Revista Virtual Universidad Católica del Norte,  (23), 1-15.</w:t>
      </w:r>
    </w:p>
  </w:endnote>
  <w:endnote w:id="45">
    <w:p w:rsidR="006604B4" w:rsidRPr="006604B4" w:rsidRDefault="006604B4">
      <w:pPr>
        <w:pStyle w:val="Textonotaalfinal"/>
        <w:rPr>
          <w:lang w:val="es-ES_tradnl"/>
        </w:rPr>
      </w:pPr>
      <w:r>
        <w:rPr>
          <w:rStyle w:val="Refdenotaalfinal"/>
        </w:rPr>
        <w:endnoteRef/>
      </w:r>
      <w:r>
        <w:t xml:space="preserve"> </w:t>
      </w:r>
      <w:proofErr w:type="spellStart"/>
      <w:r>
        <w:t>Gedda</w:t>
      </w:r>
      <w:proofErr w:type="spellEnd"/>
      <w:r>
        <w:t xml:space="preserve">-Muñoz, </w:t>
      </w:r>
      <w:proofErr w:type="spellStart"/>
      <w:r>
        <w:t>Relmu</w:t>
      </w:r>
      <w:proofErr w:type="spellEnd"/>
      <w:r>
        <w:t xml:space="preserve">., y Guerrero Azócar, Rafael. (2021). El Currículum educacional como campo epistemológico de la Educación: su construcción mediante investigación en el aula. Revista Actualidades Investigativas en Educación, 21(2), 1-26. </w:t>
      </w:r>
      <w:proofErr w:type="spellStart"/>
      <w:r>
        <w:t>Doi</w:t>
      </w:r>
      <w:proofErr w:type="spellEnd"/>
      <w:r>
        <w:t>. 10.15517/aie.v21i2.44683</w:t>
      </w:r>
    </w:p>
  </w:endnote>
  <w:endnote w:id="46">
    <w:p w:rsidR="00AC6AE4" w:rsidRPr="00AC6AE4" w:rsidRDefault="00AC6AE4">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Mbarga</w:t>
      </w:r>
      <w:proofErr w:type="spellEnd"/>
      <w:r>
        <w:rPr>
          <w:rFonts w:ascii="Arial" w:hAnsi="Arial" w:cs="Arial"/>
          <w:color w:val="000000"/>
          <w:sz w:val="18"/>
          <w:szCs w:val="18"/>
        </w:rPr>
        <w:t>, Jean-Claude. (2004). Sociocrítica de los aparatos ideológicos del Estado y de los aparatos represivos del Estado en "Miau", de Benito Pérez Galdós. </w:t>
      </w:r>
      <w:r>
        <w:rPr>
          <w:rFonts w:ascii="Arial" w:hAnsi="Arial" w:cs="Arial"/>
          <w:i/>
          <w:iCs/>
          <w:color w:val="000000"/>
          <w:sz w:val="18"/>
          <w:szCs w:val="18"/>
        </w:rPr>
        <w:t>Opción</w:t>
      </w:r>
      <w:r>
        <w:rPr>
          <w:rFonts w:ascii="Arial" w:hAnsi="Arial" w:cs="Arial"/>
          <w:color w:val="000000"/>
          <w:sz w:val="18"/>
          <w:szCs w:val="18"/>
        </w:rPr>
        <w:t>, </w:t>
      </w:r>
      <w:r>
        <w:rPr>
          <w:rFonts w:ascii="Arial" w:hAnsi="Arial" w:cs="Arial"/>
          <w:i/>
          <w:iCs/>
          <w:color w:val="000000"/>
          <w:sz w:val="18"/>
          <w:szCs w:val="18"/>
        </w:rPr>
        <w:t>20</w:t>
      </w:r>
      <w:r>
        <w:rPr>
          <w:rFonts w:ascii="Arial" w:hAnsi="Arial" w:cs="Arial"/>
          <w:color w:val="000000"/>
          <w:sz w:val="18"/>
          <w:szCs w:val="18"/>
        </w:rPr>
        <w:t>(43), 22-34. Recuperado en 19 de diciembre de 2023, de http://ve.scielo.org/scielo.php?script=sci_arttext&amp;pid=S1012-15872004000100004&amp;lng=es&amp;tlng=es.</w:t>
      </w:r>
    </w:p>
  </w:endnote>
  <w:endnote w:id="47">
    <w:p w:rsidR="00AC6AE4" w:rsidRPr="00AC6AE4" w:rsidRDefault="00AC6AE4">
      <w:pPr>
        <w:pStyle w:val="Textonotaalfinal"/>
        <w:rPr>
          <w:lang w:val="es-ES_tradnl"/>
        </w:rPr>
      </w:pPr>
      <w:r>
        <w:rPr>
          <w:rStyle w:val="Refdenotaalfinal"/>
        </w:rPr>
        <w:endnoteRef/>
      </w:r>
      <w:r>
        <w:t xml:space="preserve"> </w:t>
      </w:r>
      <w:proofErr w:type="spellStart"/>
      <w:r>
        <w:rPr>
          <w:rFonts w:ascii="Arial" w:hAnsi="Arial" w:cs="Arial"/>
          <w:color w:val="000000"/>
          <w:sz w:val="18"/>
          <w:szCs w:val="18"/>
        </w:rPr>
        <w:t>Neut</w:t>
      </w:r>
      <w:proofErr w:type="spellEnd"/>
      <w:r>
        <w:rPr>
          <w:rFonts w:ascii="Arial" w:hAnsi="Arial" w:cs="Arial"/>
          <w:color w:val="000000"/>
          <w:sz w:val="18"/>
          <w:szCs w:val="18"/>
        </w:rPr>
        <w:t>-Aguayo, Sebastián, Luque-Carmona, Daniela, &amp; Méndez-Mardones, Dominique. (2020). Política e ideología en el sistema escolar de la transición a la democracia en Chile en sus debates sobre género y sexualidad. </w:t>
      </w:r>
      <w:r>
        <w:rPr>
          <w:rFonts w:ascii="Arial" w:hAnsi="Arial" w:cs="Arial"/>
          <w:i/>
          <w:iCs/>
          <w:color w:val="000000"/>
          <w:sz w:val="18"/>
          <w:szCs w:val="18"/>
        </w:rPr>
        <w:t>Izquierdas</w:t>
      </w:r>
      <w:r>
        <w:rPr>
          <w:rFonts w:ascii="Arial" w:hAnsi="Arial" w:cs="Arial"/>
          <w:color w:val="000000"/>
          <w:sz w:val="18"/>
          <w:szCs w:val="18"/>
        </w:rPr>
        <w:t>, </w:t>
      </w:r>
      <w:r>
        <w:rPr>
          <w:rFonts w:ascii="Arial" w:hAnsi="Arial" w:cs="Arial"/>
          <w:i/>
          <w:iCs/>
          <w:color w:val="000000"/>
          <w:sz w:val="18"/>
          <w:szCs w:val="18"/>
        </w:rPr>
        <w:t>49</w:t>
      </w:r>
      <w:r>
        <w:rPr>
          <w:rFonts w:ascii="Arial" w:hAnsi="Arial" w:cs="Arial"/>
          <w:color w:val="000000"/>
          <w:sz w:val="18"/>
          <w:szCs w:val="18"/>
        </w:rPr>
        <w:t xml:space="preserve">, 81. </w:t>
      </w:r>
      <w:proofErr w:type="spellStart"/>
      <w:r>
        <w:rPr>
          <w:rFonts w:ascii="Arial" w:hAnsi="Arial" w:cs="Arial"/>
          <w:color w:val="000000"/>
          <w:sz w:val="18"/>
          <w:szCs w:val="18"/>
        </w:rPr>
        <w:t>Epub</w:t>
      </w:r>
      <w:proofErr w:type="spellEnd"/>
      <w:r>
        <w:rPr>
          <w:rFonts w:ascii="Arial" w:hAnsi="Arial" w:cs="Arial"/>
          <w:color w:val="000000"/>
          <w:sz w:val="18"/>
          <w:szCs w:val="18"/>
        </w:rPr>
        <w:t xml:space="preserve"> 12 de marzo de 2021.</w:t>
      </w:r>
      <w:hyperlink r:id="rId13" w:history="1">
        <w:r>
          <w:rPr>
            <w:rStyle w:val="Hipervnculo"/>
            <w:rFonts w:ascii="Arial" w:hAnsi="Arial" w:cs="Arial"/>
            <w:color w:val="555555"/>
            <w:sz w:val="18"/>
            <w:szCs w:val="18"/>
          </w:rPr>
          <w:t>https://dx.doi.org/10.4067/s0718-50492020000100281</w:t>
        </w:r>
      </w:hyperlink>
    </w:p>
  </w:endnote>
  <w:endnote w:id="48">
    <w:p w:rsidR="00AC6AE4" w:rsidRPr="00AC6AE4" w:rsidRDefault="00AC6AE4">
      <w:pPr>
        <w:pStyle w:val="Textonotaalfinal"/>
        <w:rPr>
          <w:lang w:val="es-ES_tradnl"/>
        </w:rPr>
      </w:pPr>
      <w:r>
        <w:rPr>
          <w:rStyle w:val="Refdenotaalfinal"/>
        </w:rPr>
        <w:endnoteRef/>
      </w:r>
      <w:r>
        <w:t xml:space="preserve"> </w:t>
      </w:r>
      <w:r>
        <w:rPr>
          <w:rFonts w:ascii="Arial" w:hAnsi="Arial" w:cs="Arial"/>
          <w:color w:val="000000"/>
          <w:sz w:val="18"/>
          <w:szCs w:val="18"/>
        </w:rPr>
        <w:t>Rizzo, Nadia. (2012). Un análisis sobre la reproducción social como proceso significativo y como proceso desigual. </w:t>
      </w:r>
      <w:r>
        <w:rPr>
          <w:rFonts w:ascii="Arial" w:hAnsi="Arial" w:cs="Arial"/>
          <w:i/>
          <w:iCs/>
          <w:color w:val="000000"/>
          <w:sz w:val="18"/>
          <w:szCs w:val="18"/>
        </w:rPr>
        <w:t>Sociológica (México)</w:t>
      </w:r>
      <w:r>
        <w:rPr>
          <w:rFonts w:ascii="Arial" w:hAnsi="Arial" w:cs="Arial"/>
          <w:color w:val="000000"/>
          <w:sz w:val="18"/>
          <w:szCs w:val="18"/>
        </w:rPr>
        <w:t>, </w:t>
      </w:r>
      <w:r>
        <w:rPr>
          <w:rFonts w:ascii="Arial" w:hAnsi="Arial" w:cs="Arial"/>
          <w:i/>
          <w:iCs/>
          <w:color w:val="000000"/>
          <w:sz w:val="18"/>
          <w:szCs w:val="18"/>
        </w:rPr>
        <w:t>27</w:t>
      </w:r>
      <w:r>
        <w:rPr>
          <w:rFonts w:ascii="Arial" w:hAnsi="Arial" w:cs="Arial"/>
          <w:color w:val="000000"/>
          <w:sz w:val="18"/>
          <w:szCs w:val="18"/>
        </w:rPr>
        <w:t>(77), 281-297. Recuperado en 19 de diciembre de 2023, de http://www.scielo.org.mx/scielo.php?script=sci_arttext&amp;pid=S0187-01732012000300009&amp;lng=es&amp;tlng=es.</w:t>
      </w:r>
    </w:p>
  </w:endnote>
  <w:endnote w:id="49">
    <w:p w:rsidR="00AC6AE4" w:rsidRPr="00AC6AE4" w:rsidRDefault="00AC6AE4">
      <w:pPr>
        <w:pStyle w:val="Textonotaalfinal"/>
        <w:rPr>
          <w:lang w:val="es-ES_tradnl"/>
        </w:rPr>
      </w:pPr>
      <w:r>
        <w:rPr>
          <w:rStyle w:val="Refdenotaalfinal"/>
        </w:rPr>
        <w:endnoteRef/>
      </w:r>
      <w:r>
        <w:t xml:space="preserve"> </w:t>
      </w:r>
      <w:r>
        <w:rPr>
          <w:rFonts w:ascii="Arial" w:hAnsi="Arial" w:cs="Arial"/>
          <w:color w:val="000000"/>
          <w:sz w:val="18"/>
          <w:szCs w:val="18"/>
        </w:rPr>
        <w:t xml:space="preserve">Portillo, Maricela, </w:t>
      </w:r>
      <w:proofErr w:type="spellStart"/>
      <w:r>
        <w:rPr>
          <w:rFonts w:ascii="Arial" w:hAnsi="Arial" w:cs="Arial"/>
          <w:color w:val="000000"/>
          <w:sz w:val="18"/>
          <w:szCs w:val="18"/>
        </w:rPr>
        <w:t>Urteaga</w:t>
      </w:r>
      <w:proofErr w:type="spellEnd"/>
      <w:r>
        <w:rPr>
          <w:rFonts w:ascii="Arial" w:hAnsi="Arial" w:cs="Arial"/>
          <w:color w:val="000000"/>
          <w:sz w:val="18"/>
          <w:szCs w:val="18"/>
        </w:rPr>
        <w:t xml:space="preserve">, Maritza, González, Yanko, Aguilera, Óscar, &amp; </w:t>
      </w:r>
      <w:proofErr w:type="spellStart"/>
      <w:r>
        <w:rPr>
          <w:rFonts w:ascii="Arial" w:hAnsi="Arial" w:cs="Arial"/>
          <w:color w:val="000000"/>
          <w:sz w:val="18"/>
          <w:szCs w:val="18"/>
        </w:rPr>
        <w:t>Feixa</w:t>
      </w:r>
      <w:proofErr w:type="spellEnd"/>
      <w:r>
        <w:rPr>
          <w:rFonts w:ascii="Arial" w:hAnsi="Arial" w:cs="Arial"/>
          <w:color w:val="000000"/>
          <w:sz w:val="18"/>
          <w:szCs w:val="18"/>
        </w:rPr>
        <w:t>, Carles. (2012). DE LA GENERACIÓN X A LA GENERACIÓN @.: TRAZOS TRANSICIONALES E IDENTIDADES JUVENILES EN AMÉRICA LATINA. </w:t>
      </w:r>
      <w:r>
        <w:rPr>
          <w:rFonts w:ascii="Arial" w:hAnsi="Arial" w:cs="Arial"/>
          <w:i/>
          <w:iCs/>
          <w:color w:val="000000"/>
          <w:sz w:val="18"/>
          <w:szCs w:val="18"/>
        </w:rPr>
        <w:t>Ultima década</w:t>
      </w:r>
      <w:r>
        <w:rPr>
          <w:rFonts w:ascii="Arial" w:hAnsi="Arial" w:cs="Arial"/>
          <w:color w:val="000000"/>
          <w:sz w:val="18"/>
          <w:szCs w:val="18"/>
        </w:rPr>
        <w:t>, </w:t>
      </w:r>
      <w:r>
        <w:rPr>
          <w:rFonts w:ascii="Arial" w:hAnsi="Arial" w:cs="Arial"/>
          <w:i/>
          <w:iCs/>
          <w:color w:val="000000"/>
          <w:sz w:val="18"/>
          <w:szCs w:val="18"/>
        </w:rPr>
        <w:t>20</w:t>
      </w:r>
      <w:r>
        <w:rPr>
          <w:rFonts w:ascii="Arial" w:hAnsi="Arial" w:cs="Arial"/>
          <w:color w:val="000000"/>
          <w:sz w:val="18"/>
          <w:szCs w:val="18"/>
        </w:rPr>
        <w:t>(37), 137-174. </w:t>
      </w:r>
      <w:hyperlink r:id="rId14" w:history="1">
        <w:r>
          <w:rPr>
            <w:rStyle w:val="Hipervnculo"/>
            <w:rFonts w:ascii="Arial" w:hAnsi="Arial" w:cs="Arial"/>
            <w:color w:val="555555"/>
            <w:sz w:val="18"/>
            <w:szCs w:val="18"/>
          </w:rPr>
          <w:t>https://dx.doi.org/10.4067/S0718-22362012000200007</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Bold">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25611776"/>
      <w:docPartObj>
        <w:docPartGallery w:val="Page Numbers (Bottom of Page)"/>
        <w:docPartUnique/>
      </w:docPartObj>
    </w:sdtPr>
    <w:sdtContent>
      <w:p w:rsidR="009B34ED" w:rsidRDefault="009B34ED" w:rsidP="00526C7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9B34ED" w:rsidRDefault="009B34ED" w:rsidP="009B34E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82582825"/>
      <w:docPartObj>
        <w:docPartGallery w:val="Page Numbers (Bottom of Page)"/>
        <w:docPartUnique/>
      </w:docPartObj>
    </w:sdtPr>
    <w:sdtContent>
      <w:p w:rsidR="009B34ED" w:rsidRDefault="009B34ED" w:rsidP="00526C7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9B34ED" w:rsidRDefault="009B34ED" w:rsidP="009B34E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7A87" w:rsidRDefault="00157A87" w:rsidP="009B34ED">
      <w:r>
        <w:separator/>
      </w:r>
    </w:p>
  </w:footnote>
  <w:footnote w:type="continuationSeparator" w:id="0">
    <w:p w:rsidR="00157A87" w:rsidRDefault="00157A87" w:rsidP="009B34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4A8"/>
    <w:multiLevelType w:val="multilevel"/>
    <w:tmpl w:val="4B14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D662D"/>
    <w:multiLevelType w:val="multilevel"/>
    <w:tmpl w:val="3918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772F4"/>
    <w:multiLevelType w:val="hybridMultilevel"/>
    <w:tmpl w:val="8ECA6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91139"/>
    <w:multiLevelType w:val="multilevel"/>
    <w:tmpl w:val="D7B2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20C9E"/>
    <w:multiLevelType w:val="multilevel"/>
    <w:tmpl w:val="7CF4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24EF8"/>
    <w:multiLevelType w:val="multilevel"/>
    <w:tmpl w:val="AF32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C39FF"/>
    <w:multiLevelType w:val="multilevel"/>
    <w:tmpl w:val="5F1AFF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D7E04"/>
    <w:multiLevelType w:val="multilevel"/>
    <w:tmpl w:val="608E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C5327"/>
    <w:multiLevelType w:val="multilevel"/>
    <w:tmpl w:val="6A28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B37411"/>
    <w:multiLevelType w:val="multilevel"/>
    <w:tmpl w:val="0CBC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65DFB"/>
    <w:multiLevelType w:val="multilevel"/>
    <w:tmpl w:val="8594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8792B"/>
    <w:multiLevelType w:val="multilevel"/>
    <w:tmpl w:val="4FE8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77906"/>
    <w:multiLevelType w:val="multilevel"/>
    <w:tmpl w:val="BF744B3A"/>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560F1F"/>
    <w:multiLevelType w:val="multilevel"/>
    <w:tmpl w:val="3ADC97F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C64660"/>
    <w:multiLevelType w:val="multilevel"/>
    <w:tmpl w:val="3886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3B2323"/>
    <w:multiLevelType w:val="multilevel"/>
    <w:tmpl w:val="697C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707559"/>
    <w:multiLevelType w:val="multilevel"/>
    <w:tmpl w:val="4F92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D9287C"/>
    <w:multiLevelType w:val="multilevel"/>
    <w:tmpl w:val="A6C4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2F073E"/>
    <w:multiLevelType w:val="multilevel"/>
    <w:tmpl w:val="E8FE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0778446">
    <w:abstractNumId w:val="2"/>
  </w:num>
  <w:num w:numId="2" w16cid:durableId="1655138484">
    <w:abstractNumId w:val="6"/>
  </w:num>
  <w:num w:numId="3" w16cid:durableId="788360023">
    <w:abstractNumId w:val="1"/>
  </w:num>
  <w:num w:numId="4" w16cid:durableId="873201896">
    <w:abstractNumId w:val="8"/>
  </w:num>
  <w:num w:numId="5" w16cid:durableId="551229450">
    <w:abstractNumId w:val="16"/>
  </w:num>
  <w:num w:numId="6" w16cid:durableId="894001727">
    <w:abstractNumId w:val="18"/>
  </w:num>
  <w:num w:numId="7" w16cid:durableId="649478289">
    <w:abstractNumId w:val="11"/>
  </w:num>
  <w:num w:numId="8" w16cid:durableId="639505471">
    <w:abstractNumId w:val="9"/>
  </w:num>
  <w:num w:numId="9" w16cid:durableId="1535270481">
    <w:abstractNumId w:val="17"/>
  </w:num>
  <w:num w:numId="10" w16cid:durableId="1984001706">
    <w:abstractNumId w:val="0"/>
  </w:num>
  <w:num w:numId="11" w16cid:durableId="397021418">
    <w:abstractNumId w:val="10"/>
  </w:num>
  <w:num w:numId="12" w16cid:durableId="649210473">
    <w:abstractNumId w:val="14"/>
  </w:num>
  <w:num w:numId="13" w16cid:durableId="1001616415">
    <w:abstractNumId w:val="13"/>
  </w:num>
  <w:num w:numId="14" w16cid:durableId="926495922">
    <w:abstractNumId w:val="12"/>
  </w:num>
  <w:num w:numId="15" w16cid:durableId="871575207">
    <w:abstractNumId w:val="4"/>
  </w:num>
  <w:num w:numId="16" w16cid:durableId="1684553332">
    <w:abstractNumId w:val="15"/>
  </w:num>
  <w:num w:numId="17" w16cid:durableId="1157109664">
    <w:abstractNumId w:val="7"/>
  </w:num>
  <w:num w:numId="18" w16cid:durableId="1876576290">
    <w:abstractNumId w:val="5"/>
  </w:num>
  <w:num w:numId="19" w16cid:durableId="4274352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6FF"/>
    <w:rsid w:val="000A0F54"/>
    <w:rsid w:val="000B6613"/>
    <w:rsid w:val="000E2E10"/>
    <w:rsid w:val="00157A87"/>
    <w:rsid w:val="00176DAA"/>
    <w:rsid w:val="00197101"/>
    <w:rsid w:val="002022FD"/>
    <w:rsid w:val="0021274B"/>
    <w:rsid w:val="00214C75"/>
    <w:rsid w:val="0024485E"/>
    <w:rsid w:val="00255035"/>
    <w:rsid w:val="00256D3B"/>
    <w:rsid w:val="002D71AF"/>
    <w:rsid w:val="0035652D"/>
    <w:rsid w:val="0036162E"/>
    <w:rsid w:val="00387E5D"/>
    <w:rsid w:val="0039245E"/>
    <w:rsid w:val="003936FF"/>
    <w:rsid w:val="003D09A2"/>
    <w:rsid w:val="004B358E"/>
    <w:rsid w:val="004C0753"/>
    <w:rsid w:val="004D502D"/>
    <w:rsid w:val="004F458D"/>
    <w:rsid w:val="00563493"/>
    <w:rsid w:val="00575625"/>
    <w:rsid w:val="005B77C3"/>
    <w:rsid w:val="005E25AB"/>
    <w:rsid w:val="00602649"/>
    <w:rsid w:val="006506E7"/>
    <w:rsid w:val="006604B4"/>
    <w:rsid w:val="00673936"/>
    <w:rsid w:val="006E03D9"/>
    <w:rsid w:val="00750C3C"/>
    <w:rsid w:val="00812464"/>
    <w:rsid w:val="00836B4F"/>
    <w:rsid w:val="0085162D"/>
    <w:rsid w:val="00871151"/>
    <w:rsid w:val="00881B44"/>
    <w:rsid w:val="00932799"/>
    <w:rsid w:val="009B34ED"/>
    <w:rsid w:val="009F2D6B"/>
    <w:rsid w:val="009F64C2"/>
    <w:rsid w:val="00A91B08"/>
    <w:rsid w:val="00AC303A"/>
    <w:rsid w:val="00AC6AE4"/>
    <w:rsid w:val="00AE7DB0"/>
    <w:rsid w:val="00B06F03"/>
    <w:rsid w:val="00B45D72"/>
    <w:rsid w:val="00B61D61"/>
    <w:rsid w:val="00B90434"/>
    <w:rsid w:val="00C4797B"/>
    <w:rsid w:val="00C85762"/>
    <w:rsid w:val="00D326B7"/>
    <w:rsid w:val="00D52F4E"/>
    <w:rsid w:val="00D81E7A"/>
    <w:rsid w:val="00E9249A"/>
    <w:rsid w:val="00EB02A7"/>
    <w:rsid w:val="00F12D4E"/>
    <w:rsid w:val="00F14B69"/>
    <w:rsid w:val="00F30879"/>
    <w:rsid w:val="00F47C6D"/>
    <w:rsid w:val="00F50EDD"/>
    <w:rsid w:val="00F62F7F"/>
    <w:rsid w:val="00F74E74"/>
    <w:rsid w:val="00F92464"/>
    <w:rsid w:val="00FD01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F3A5176"/>
  <w15:chartTrackingRefBased/>
  <w15:docId w15:val="{42887D05-D553-C240-B783-0AA28BE5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61D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36FF"/>
    <w:pPr>
      <w:ind w:left="720"/>
      <w:contextualSpacing/>
    </w:pPr>
  </w:style>
  <w:style w:type="paragraph" w:styleId="NormalWeb">
    <w:name w:val="Normal (Web)"/>
    <w:basedOn w:val="Normal"/>
    <w:uiPriority w:val="99"/>
    <w:unhideWhenUsed/>
    <w:rsid w:val="00871151"/>
    <w:pPr>
      <w:spacing w:before="100" w:beforeAutospacing="1" w:after="100" w:afterAutospacing="1"/>
    </w:pPr>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9B34ED"/>
    <w:pPr>
      <w:tabs>
        <w:tab w:val="center" w:pos="4419"/>
        <w:tab w:val="right" w:pos="8838"/>
      </w:tabs>
    </w:pPr>
  </w:style>
  <w:style w:type="character" w:customStyle="1" w:styleId="PiedepginaCar">
    <w:name w:val="Pie de página Car"/>
    <w:basedOn w:val="Fuentedeprrafopredeter"/>
    <w:link w:val="Piedepgina"/>
    <w:uiPriority w:val="99"/>
    <w:rsid w:val="009B34ED"/>
  </w:style>
  <w:style w:type="character" w:styleId="Nmerodepgina">
    <w:name w:val="page number"/>
    <w:basedOn w:val="Fuentedeprrafopredeter"/>
    <w:uiPriority w:val="99"/>
    <w:semiHidden/>
    <w:unhideWhenUsed/>
    <w:rsid w:val="009B34ED"/>
  </w:style>
  <w:style w:type="paragraph" w:styleId="Textonotapie">
    <w:name w:val="footnote text"/>
    <w:basedOn w:val="Normal"/>
    <w:link w:val="TextonotapieCar"/>
    <w:uiPriority w:val="99"/>
    <w:semiHidden/>
    <w:unhideWhenUsed/>
    <w:rsid w:val="00214C75"/>
    <w:rPr>
      <w:sz w:val="20"/>
      <w:szCs w:val="20"/>
    </w:rPr>
  </w:style>
  <w:style w:type="character" w:customStyle="1" w:styleId="TextonotapieCar">
    <w:name w:val="Texto nota pie Car"/>
    <w:basedOn w:val="Fuentedeprrafopredeter"/>
    <w:link w:val="Textonotapie"/>
    <w:uiPriority w:val="99"/>
    <w:semiHidden/>
    <w:rsid w:val="00214C75"/>
    <w:rPr>
      <w:sz w:val="20"/>
      <w:szCs w:val="20"/>
    </w:rPr>
  </w:style>
  <w:style w:type="character" w:styleId="Refdenotaalpie">
    <w:name w:val="footnote reference"/>
    <w:basedOn w:val="Fuentedeprrafopredeter"/>
    <w:uiPriority w:val="99"/>
    <w:semiHidden/>
    <w:unhideWhenUsed/>
    <w:rsid w:val="00214C75"/>
    <w:rPr>
      <w:vertAlign w:val="superscript"/>
    </w:rPr>
  </w:style>
  <w:style w:type="paragraph" w:styleId="Textonotaalfinal">
    <w:name w:val="endnote text"/>
    <w:basedOn w:val="Normal"/>
    <w:link w:val="TextonotaalfinalCar"/>
    <w:uiPriority w:val="99"/>
    <w:semiHidden/>
    <w:unhideWhenUsed/>
    <w:rsid w:val="00214C75"/>
    <w:rPr>
      <w:sz w:val="20"/>
      <w:szCs w:val="20"/>
    </w:rPr>
  </w:style>
  <w:style w:type="character" w:customStyle="1" w:styleId="TextonotaalfinalCar">
    <w:name w:val="Texto nota al final Car"/>
    <w:basedOn w:val="Fuentedeprrafopredeter"/>
    <w:link w:val="Textonotaalfinal"/>
    <w:uiPriority w:val="99"/>
    <w:semiHidden/>
    <w:rsid w:val="00214C75"/>
    <w:rPr>
      <w:sz w:val="20"/>
      <w:szCs w:val="20"/>
    </w:rPr>
  </w:style>
  <w:style w:type="character" w:styleId="Refdenotaalfinal">
    <w:name w:val="endnote reference"/>
    <w:basedOn w:val="Fuentedeprrafopredeter"/>
    <w:uiPriority w:val="99"/>
    <w:semiHidden/>
    <w:unhideWhenUsed/>
    <w:rsid w:val="00214C75"/>
    <w:rPr>
      <w:vertAlign w:val="superscript"/>
    </w:rPr>
  </w:style>
  <w:style w:type="character" w:styleId="Hipervnculo">
    <w:name w:val="Hyperlink"/>
    <w:basedOn w:val="Fuentedeprrafopredeter"/>
    <w:uiPriority w:val="99"/>
    <w:unhideWhenUsed/>
    <w:rsid w:val="00881B44"/>
    <w:rPr>
      <w:color w:val="0000FF"/>
      <w:u w:val="single"/>
    </w:rPr>
  </w:style>
  <w:style w:type="character" w:customStyle="1" w:styleId="Ttulo1Car">
    <w:name w:val="Título 1 Car"/>
    <w:basedOn w:val="Fuentedeprrafopredeter"/>
    <w:link w:val="Ttulo1"/>
    <w:uiPriority w:val="9"/>
    <w:rsid w:val="00B61D61"/>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B61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1112">
      <w:bodyDiv w:val="1"/>
      <w:marLeft w:val="0"/>
      <w:marRight w:val="0"/>
      <w:marTop w:val="0"/>
      <w:marBottom w:val="0"/>
      <w:divBdr>
        <w:top w:val="none" w:sz="0" w:space="0" w:color="auto"/>
        <w:left w:val="none" w:sz="0" w:space="0" w:color="auto"/>
        <w:bottom w:val="none" w:sz="0" w:space="0" w:color="auto"/>
        <w:right w:val="none" w:sz="0" w:space="0" w:color="auto"/>
      </w:divBdr>
    </w:div>
    <w:div w:id="98070173">
      <w:bodyDiv w:val="1"/>
      <w:marLeft w:val="0"/>
      <w:marRight w:val="0"/>
      <w:marTop w:val="0"/>
      <w:marBottom w:val="0"/>
      <w:divBdr>
        <w:top w:val="none" w:sz="0" w:space="0" w:color="auto"/>
        <w:left w:val="none" w:sz="0" w:space="0" w:color="auto"/>
        <w:bottom w:val="none" w:sz="0" w:space="0" w:color="auto"/>
        <w:right w:val="none" w:sz="0" w:space="0" w:color="auto"/>
      </w:divBdr>
    </w:div>
    <w:div w:id="160514010">
      <w:bodyDiv w:val="1"/>
      <w:marLeft w:val="0"/>
      <w:marRight w:val="0"/>
      <w:marTop w:val="0"/>
      <w:marBottom w:val="0"/>
      <w:divBdr>
        <w:top w:val="none" w:sz="0" w:space="0" w:color="auto"/>
        <w:left w:val="none" w:sz="0" w:space="0" w:color="auto"/>
        <w:bottom w:val="none" w:sz="0" w:space="0" w:color="auto"/>
        <w:right w:val="none" w:sz="0" w:space="0" w:color="auto"/>
      </w:divBdr>
    </w:div>
    <w:div w:id="219949875">
      <w:bodyDiv w:val="1"/>
      <w:marLeft w:val="0"/>
      <w:marRight w:val="0"/>
      <w:marTop w:val="0"/>
      <w:marBottom w:val="0"/>
      <w:divBdr>
        <w:top w:val="none" w:sz="0" w:space="0" w:color="auto"/>
        <w:left w:val="none" w:sz="0" w:space="0" w:color="auto"/>
        <w:bottom w:val="none" w:sz="0" w:space="0" w:color="auto"/>
        <w:right w:val="none" w:sz="0" w:space="0" w:color="auto"/>
      </w:divBdr>
    </w:div>
    <w:div w:id="260262303">
      <w:bodyDiv w:val="1"/>
      <w:marLeft w:val="0"/>
      <w:marRight w:val="0"/>
      <w:marTop w:val="0"/>
      <w:marBottom w:val="0"/>
      <w:divBdr>
        <w:top w:val="none" w:sz="0" w:space="0" w:color="auto"/>
        <w:left w:val="none" w:sz="0" w:space="0" w:color="auto"/>
        <w:bottom w:val="none" w:sz="0" w:space="0" w:color="auto"/>
        <w:right w:val="none" w:sz="0" w:space="0" w:color="auto"/>
      </w:divBdr>
    </w:div>
    <w:div w:id="338116234">
      <w:bodyDiv w:val="1"/>
      <w:marLeft w:val="0"/>
      <w:marRight w:val="0"/>
      <w:marTop w:val="0"/>
      <w:marBottom w:val="0"/>
      <w:divBdr>
        <w:top w:val="none" w:sz="0" w:space="0" w:color="auto"/>
        <w:left w:val="none" w:sz="0" w:space="0" w:color="auto"/>
        <w:bottom w:val="none" w:sz="0" w:space="0" w:color="auto"/>
        <w:right w:val="none" w:sz="0" w:space="0" w:color="auto"/>
      </w:divBdr>
    </w:div>
    <w:div w:id="407264910">
      <w:bodyDiv w:val="1"/>
      <w:marLeft w:val="0"/>
      <w:marRight w:val="0"/>
      <w:marTop w:val="0"/>
      <w:marBottom w:val="0"/>
      <w:divBdr>
        <w:top w:val="none" w:sz="0" w:space="0" w:color="auto"/>
        <w:left w:val="none" w:sz="0" w:space="0" w:color="auto"/>
        <w:bottom w:val="none" w:sz="0" w:space="0" w:color="auto"/>
        <w:right w:val="none" w:sz="0" w:space="0" w:color="auto"/>
      </w:divBdr>
    </w:div>
    <w:div w:id="448625165">
      <w:bodyDiv w:val="1"/>
      <w:marLeft w:val="0"/>
      <w:marRight w:val="0"/>
      <w:marTop w:val="0"/>
      <w:marBottom w:val="0"/>
      <w:divBdr>
        <w:top w:val="none" w:sz="0" w:space="0" w:color="auto"/>
        <w:left w:val="none" w:sz="0" w:space="0" w:color="auto"/>
        <w:bottom w:val="none" w:sz="0" w:space="0" w:color="auto"/>
        <w:right w:val="none" w:sz="0" w:space="0" w:color="auto"/>
      </w:divBdr>
    </w:div>
    <w:div w:id="548542181">
      <w:bodyDiv w:val="1"/>
      <w:marLeft w:val="0"/>
      <w:marRight w:val="0"/>
      <w:marTop w:val="0"/>
      <w:marBottom w:val="0"/>
      <w:divBdr>
        <w:top w:val="none" w:sz="0" w:space="0" w:color="auto"/>
        <w:left w:val="none" w:sz="0" w:space="0" w:color="auto"/>
        <w:bottom w:val="none" w:sz="0" w:space="0" w:color="auto"/>
        <w:right w:val="none" w:sz="0" w:space="0" w:color="auto"/>
      </w:divBdr>
    </w:div>
    <w:div w:id="588201247">
      <w:bodyDiv w:val="1"/>
      <w:marLeft w:val="0"/>
      <w:marRight w:val="0"/>
      <w:marTop w:val="0"/>
      <w:marBottom w:val="0"/>
      <w:divBdr>
        <w:top w:val="none" w:sz="0" w:space="0" w:color="auto"/>
        <w:left w:val="none" w:sz="0" w:space="0" w:color="auto"/>
        <w:bottom w:val="none" w:sz="0" w:space="0" w:color="auto"/>
        <w:right w:val="none" w:sz="0" w:space="0" w:color="auto"/>
      </w:divBdr>
      <w:divsChild>
        <w:div w:id="790897178">
          <w:marLeft w:val="0"/>
          <w:marRight w:val="0"/>
          <w:marTop w:val="0"/>
          <w:marBottom w:val="0"/>
          <w:divBdr>
            <w:top w:val="none" w:sz="0" w:space="0" w:color="auto"/>
            <w:left w:val="none" w:sz="0" w:space="0" w:color="auto"/>
            <w:bottom w:val="none" w:sz="0" w:space="0" w:color="auto"/>
            <w:right w:val="none" w:sz="0" w:space="0" w:color="auto"/>
          </w:divBdr>
          <w:divsChild>
            <w:div w:id="611254399">
              <w:marLeft w:val="0"/>
              <w:marRight w:val="0"/>
              <w:marTop w:val="0"/>
              <w:marBottom w:val="0"/>
              <w:divBdr>
                <w:top w:val="none" w:sz="0" w:space="0" w:color="auto"/>
                <w:left w:val="none" w:sz="0" w:space="0" w:color="auto"/>
                <w:bottom w:val="none" w:sz="0" w:space="0" w:color="auto"/>
                <w:right w:val="none" w:sz="0" w:space="0" w:color="auto"/>
              </w:divBdr>
              <w:divsChild>
                <w:div w:id="283926692">
                  <w:marLeft w:val="0"/>
                  <w:marRight w:val="0"/>
                  <w:marTop w:val="0"/>
                  <w:marBottom w:val="0"/>
                  <w:divBdr>
                    <w:top w:val="none" w:sz="0" w:space="0" w:color="auto"/>
                    <w:left w:val="none" w:sz="0" w:space="0" w:color="auto"/>
                    <w:bottom w:val="none" w:sz="0" w:space="0" w:color="auto"/>
                    <w:right w:val="none" w:sz="0" w:space="0" w:color="auto"/>
                  </w:divBdr>
                </w:div>
              </w:divsChild>
            </w:div>
            <w:div w:id="1555849540">
              <w:marLeft w:val="0"/>
              <w:marRight w:val="0"/>
              <w:marTop w:val="0"/>
              <w:marBottom w:val="0"/>
              <w:divBdr>
                <w:top w:val="none" w:sz="0" w:space="0" w:color="auto"/>
                <w:left w:val="none" w:sz="0" w:space="0" w:color="auto"/>
                <w:bottom w:val="none" w:sz="0" w:space="0" w:color="auto"/>
                <w:right w:val="none" w:sz="0" w:space="0" w:color="auto"/>
              </w:divBdr>
              <w:divsChild>
                <w:div w:id="501513150">
                  <w:marLeft w:val="0"/>
                  <w:marRight w:val="0"/>
                  <w:marTop w:val="0"/>
                  <w:marBottom w:val="0"/>
                  <w:divBdr>
                    <w:top w:val="none" w:sz="0" w:space="0" w:color="auto"/>
                    <w:left w:val="none" w:sz="0" w:space="0" w:color="auto"/>
                    <w:bottom w:val="none" w:sz="0" w:space="0" w:color="auto"/>
                    <w:right w:val="none" w:sz="0" w:space="0" w:color="auto"/>
                  </w:divBdr>
                </w:div>
              </w:divsChild>
            </w:div>
            <w:div w:id="895311700">
              <w:marLeft w:val="0"/>
              <w:marRight w:val="0"/>
              <w:marTop w:val="0"/>
              <w:marBottom w:val="0"/>
              <w:divBdr>
                <w:top w:val="none" w:sz="0" w:space="0" w:color="auto"/>
                <w:left w:val="none" w:sz="0" w:space="0" w:color="auto"/>
                <w:bottom w:val="none" w:sz="0" w:space="0" w:color="auto"/>
                <w:right w:val="none" w:sz="0" w:space="0" w:color="auto"/>
              </w:divBdr>
              <w:divsChild>
                <w:div w:id="4354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0548">
          <w:marLeft w:val="0"/>
          <w:marRight w:val="0"/>
          <w:marTop w:val="0"/>
          <w:marBottom w:val="0"/>
          <w:divBdr>
            <w:top w:val="none" w:sz="0" w:space="0" w:color="auto"/>
            <w:left w:val="none" w:sz="0" w:space="0" w:color="auto"/>
            <w:bottom w:val="none" w:sz="0" w:space="0" w:color="auto"/>
            <w:right w:val="none" w:sz="0" w:space="0" w:color="auto"/>
          </w:divBdr>
          <w:divsChild>
            <w:div w:id="495417809">
              <w:marLeft w:val="0"/>
              <w:marRight w:val="0"/>
              <w:marTop w:val="0"/>
              <w:marBottom w:val="0"/>
              <w:divBdr>
                <w:top w:val="none" w:sz="0" w:space="0" w:color="auto"/>
                <w:left w:val="none" w:sz="0" w:space="0" w:color="auto"/>
                <w:bottom w:val="none" w:sz="0" w:space="0" w:color="auto"/>
                <w:right w:val="none" w:sz="0" w:space="0" w:color="auto"/>
              </w:divBdr>
              <w:divsChild>
                <w:div w:id="15696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6754">
          <w:marLeft w:val="0"/>
          <w:marRight w:val="0"/>
          <w:marTop w:val="0"/>
          <w:marBottom w:val="0"/>
          <w:divBdr>
            <w:top w:val="none" w:sz="0" w:space="0" w:color="auto"/>
            <w:left w:val="none" w:sz="0" w:space="0" w:color="auto"/>
            <w:bottom w:val="none" w:sz="0" w:space="0" w:color="auto"/>
            <w:right w:val="none" w:sz="0" w:space="0" w:color="auto"/>
          </w:divBdr>
          <w:divsChild>
            <w:div w:id="2083792257">
              <w:marLeft w:val="0"/>
              <w:marRight w:val="0"/>
              <w:marTop w:val="0"/>
              <w:marBottom w:val="0"/>
              <w:divBdr>
                <w:top w:val="none" w:sz="0" w:space="0" w:color="auto"/>
                <w:left w:val="none" w:sz="0" w:space="0" w:color="auto"/>
                <w:bottom w:val="none" w:sz="0" w:space="0" w:color="auto"/>
                <w:right w:val="none" w:sz="0" w:space="0" w:color="auto"/>
              </w:divBdr>
              <w:divsChild>
                <w:div w:id="17225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220">
          <w:marLeft w:val="0"/>
          <w:marRight w:val="0"/>
          <w:marTop w:val="0"/>
          <w:marBottom w:val="0"/>
          <w:divBdr>
            <w:top w:val="none" w:sz="0" w:space="0" w:color="auto"/>
            <w:left w:val="none" w:sz="0" w:space="0" w:color="auto"/>
            <w:bottom w:val="none" w:sz="0" w:space="0" w:color="auto"/>
            <w:right w:val="none" w:sz="0" w:space="0" w:color="auto"/>
          </w:divBdr>
          <w:divsChild>
            <w:div w:id="1860197996">
              <w:marLeft w:val="0"/>
              <w:marRight w:val="0"/>
              <w:marTop w:val="0"/>
              <w:marBottom w:val="0"/>
              <w:divBdr>
                <w:top w:val="none" w:sz="0" w:space="0" w:color="auto"/>
                <w:left w:val="none" w:sz="0" w:space="0" w:color="auto"/>
                <w:bottom w:val="none" w:sz="0" w:space="0" w:color="auto"/>
                <w:right w:val="none" w:sz="0" w:space="0" w:color="auto"/>
              </w:divBdr>
              <w:divsChild>
                <w:div w:id="937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70490">
      <w:bodyDiv w:val="1"/>
      <w:marLeft w:val="0"/>
      <w:marRight w:val="0"/>
      <w:marTop w:val="0"/>
      <w:marBottom w:val="0"/>
      <w:divBdr>
        <w:top w:val="none" w:sz="0" w:space="0" w:color="auto"/>
        <w:left w:val="none" w:sz="0" w:space="0" w:color="auto"/>
        <w:bottom w:val="none" w:sz="0" w:space="0" w:color="auto"/>
        <w:right w:val="none" w:sz="0" w:space="0" w:color="auto"/>
      </w:divBdr>
    </w:div>
    <w:div w:id="663968740">
      <w:bodyDiv w:val="1"/>
      <w:marLeft w:val="0"/>
      <w:marRight w:val="0"/>
      <w:marTop w:val="0"/>
      <w:marBottom w:val="0"/>
      <w:divBdr>
        <w:top w:val="none" w:sz="0" w:space="0" w:color="auto"/>
        <w:left w:val="none" w:sz="0" w:space="0" w:color="auto"/>
        <w:bottom w:val="none" w:sz="0" w:space="0" w:color="auto"/>
        <w:right w:val="none" w:sz="0" w:space="0" w:color="auto"/>
      </w:divBdr>
    </w:div>
    <w:div w:id="673652313">
      <w:bodyDiv w:val="1"/>
      <w:marLeft w:val="0"/>
      <w:marRight w:val="0"/>
      <w:marTop w:val="0"/>
      <w:marBottom w:val="0"/>
      <w:divBdr>
        <w:top w:val="none" w:sz="0" w:space="0" w:color="auto"/>
        <w:left w:val="none" w:sz="0" w:space="0" w:color="auto"/>
        <w:bottom w:val="none" w:sz="0" w:space="0" w:color="auto"/>
        <w:right w:val="none" w:sz="0" w:space="0" w:color="auto"/>
      </w:divBdr>
    </w:div>
    <w:div w:id="674260189">
      <w:bodyDiv w:val="1"/>
      <w:marLeft w:val="0"/>
      <w:marRight w:val="0"/>
      <w:marTop w:val="0"/>
      <w:marBottom w:val="0"/>
      <w:divBdr>
        <w:top w:val="none" w:sz="0" w:space="0" w:color="auto"/>
        <w:left w:val="none" w:sz="0" w:space="0" w:color="auto"/>
        <w:bottom w:val="none" w:sz="0" w:space="0" w:color="auto"/>
        <w:right w:val="none" w:sz="0" w:space="0" w:color="auto"/>
      </w:divBdr>
      <w:divsChild>
        <w:div w:id="388849181">
          <w:marLeft w:val="0"/>
          <w:marRight w:val="0"/>
          <w:marTop w:val="0"/>
          <w:marBottom w:val="0"/>
          <w:divBdr>
            <w:top w:val="none" w:sz="0" w:space="0" w:color="auto"/>
            <w:left w:val="none" w:sz="0" w:space="0" w:color="auto"/>
            <w:bottom w:val="none" w:sz="0" w:space="0" w:color="auto"/>
            <w:right w:val="none" w:sz="0" w:space="0" w:color="auto"/>
          </w:divBdr>
          <w:divsChild>
            <w:div w:id="1785075978">
              <w:marLeft w:val="0"/>
              <w:marRight w:val="0"/>
              <w:marTop w:val="0"/>
              <w:marBottom w:val="0"/>
              <w:divBdr>
                <w:top w:val="none" w:sz="0" w:space="0" w:color="auto"/>
                <w:left w:val="none" w:sz="0" w:space="0" w:color="auto"/>
                <w:bottom w:val="none" w:sz="0" w:space="0" w:color="auto"/>
                <w:right w:val="none" w:sz="0" w:space="0" w:color="auto"/>
              </w:divBdr>
              <w:divsChild>
                <w:div w:id="8770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0169">
      <w:bodyDiv w:val="1"/>
      <w:marLeft w:val="0"/>
      <w:marRight w:val="0"/>
      <w:marTop w:val="0"/>
      <w:marBottom w:val="0"/>
      <w:divBdr>
        <w:top w:val="none" w:sz="0" w:space="0" w:color="auto"/>
        <w:left w:val="none" w:sz="0" w:space="0" w:color="auto"/>
        <w:bottom w:val="none" w:sz="0" w:space="0" w:color="auto"/>
        <w:right w:val="none" w:sz="0" w:space="0" w:color="auto"/>
      </w:divBdr>
    </w:div>
    <w:div w:id="751243479">
      <w:bodyDiv w:val="1"/>
      <w:marLeft w:val="0"/>
      <w:marRight w:val="0"/>
      <w:marTop w:val="0"/>
      <w:marBottom w:val="0"/>
      <w:divBdr>
        <w:top w:val="none" w:sz="0" w:space="0" w:color="auto"/>
        <w:left w:val="none" w:sz="0" w:space="0" w:color="auto"/>
        <w:bottom w:val="none" w:sz="0" w:space="0" w:color="auto"/>
        <w:right w:val="none" w:sz="0" w:space="0" w:color="auto"/>
      </w:divBdr>
    </w:div>
    <w:div w:id="798377251">
      <w:bodyDiv w:val="1"/>
      <w:marLeft w:val="0"/>
      <w:marRight w:val="0"/>
      <w:marTop w:val="0"/>
      <w:marBottom w:val="0"/>
      <w:divBdr>
        <w:top w:val="none" w:sz="0" w:space="0" w:color="auto"/>
        <w:left w:val="none" w:sz="0" w:space="0" w:color="auto"/>
        <w:bottom w:val="none" w:sz="0" w:space="0" w:color="auto"/>
        <w:right w:val="none" w:sz="0" w:space="0" w:color="auto"/>
      </w:divBdr>
      <w:divsChild>
        <w:div w:id="1129282106">
          <w:marLeft w:val="0"/>
          <w:marRight w:val="0"/>
          <w:marTop w:val="0"/>
          <w:marBottom w:val="0"/>
          <w:divBdr>
            <w:top w:val="none" w:sz="0" w:space="0" w:color="auto"/>
            <w:left w:val="none" w:sz="0" w:space="0" w:color="auto"/>
            <w:bottom w:val="none" w:sz="0" w:space="0" w:color="auto"/>
            <w:right w:val="none" w:sz="0" w:space="0" w:color="auto"/>
          </w:divBdr>
          <w:divsChild>
            <w:div w:id="99420589">
              <w:marLeft w:val="0"/>
              <w:marRight w:val="0"/>
              <w:marTop w:val="0"/>
              <w:marBottom w:val="0"/>
              <w:divBdr>
                <w:top w:val="none" w:sz="0" w:space="0" w:color="auto"/>
                <w:left w:val="none" w:sz="0" w:space="0" w:color="auto"/>
                <w:bottom w:val="none" w:sz="0" w:space="0" w:color="auto"/>
                <w:right w:val="none" w:sz="0" w:space="0" w:color="auto"/>
              </w:divBdr>
              <w:divsChild>
                <w:div w:id="20206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3739">
      <w:bodyDiv w:val="1"/>
      <w:marLeft w:val="0"/>
      <w:marRight w:val="0"/>
      <w:marTop w:val="0"/>
      <w:marBottom w:val="0"/>
      <w:divBdr>
        <w:top w:val="none" w:sz="0" w:space="0" w:color="auto"/>
        <w:left w:val="none" w:sz="0" w:space="0" w:color="auto"/>
        <w:bottom w:val="none" w:sz="0" w:space="0" w:color="auto"/>
        <w:right w:val="none" w:sz="0" w:space="0" w:color="auto"/>
      </w:divBdr>
    </w:div>
    <w:div w:id="821653551">
      <w:bodyDiv w:val="1"/>
      <w:marLeft w:val="0"/>
      <w:marRight w:val="0"/>
      <w:marTop w:val="0"/>
      <w:marBottom w:val="0"/>
      <w:divBdr>
        <w:top w:val="none" w:sz="0" w:space="0" w:color="auto"/>
        <w:left w:val="none" w:sz="0" w:space="0" w:color="auto"/>
        <w:bottom w:val="none" w:sz="0" w:space="0" w:color="auto"/>
        <w:right w:val="none" w:sz="0" w:space="0" w:color="auto"/>
      </w:divBdr>
      <w:divsChild>
        <w:div w:id="1155491365">
          <w:marLeft w:val="0"/>
          <w:marRight w:val="0"/>
          <w:marTop w:val="0"/>
          <w:marBottom w:val="0"/>
          <w:divBdr>
            <w:top w:val="none" w:sz="0" w:space="0" w:color="auto"/>
            <w:left w:val="none" w:sz="0" w:space="0" w:color="auto"/>
            <w:bottom w:val="none" w:sz="0" w:space="0" w:color="auto"/>
            <w:right w:val="none" w:sz="0" w:space="0" w:color="auto"/>
          </w:divBdr>
          <w:divsChild>
            <w:div w:id="2006321361">
              <w:marLeft w:val="0"/>
              <w:marRight w:val="0"/>
              <w:marTop w:val="0"/>
              <w:marBottom w:val="0"/>
              <w:divBdr>
                <w:top w:val="none" w:sz="0" w:space="0" w:color="auto"/>
                <w:left w:val="none" w:sz="0" w:space="0" w:color="auto"/>
                <w:bottom w:val="none" w:sz="0" w:space="0" w:color="auto"/>
                <w:right w:val="none" w:sz="0" w:space="0" w:color="auto"/>
              </w:divBdr>
              <w:divsChild>
                <w:div w:id="338504840">
                  <w:marLeft w:val="0"/>
                  <w:marRight w:val="0"/>
                  <w:marTop w:val="0"/>
                  <w:marBottom w:val="0"/>
                  <w:divBdr>
                    <w:top w:val="none" w:sz="0" w:space="0" w:color="auto"/>
                    <w:left w:val="none" w:sz="0" w:space="0" w:color="auto"/>
                    <w:bottom w:val="none" w:sz="0" w:space="0" w:color="auto"/>
                    <w:right w:val="none" w:sz="0" w:space="0" w:color="auto"/>
                  </w:divBdr>
                </w:div>
                <w:div w:id="16691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5894">
      <w:bodyDiv w:val="1"/>
      <w:marLeft w:val="0"/>
      <w:marRight w:val="0"/>
      <w:marTop w:val="0"/>
      <w:marBottom w:val="0"/>
      <w:divBdr>
        <w:top w:val="none" w:sz="0" w:space="0" w:color="auto"/>
        <w:left w:val="none" w:sz="0" w:space="0" w:color="auto"/>
        <w:bottom w:val="none" w:sz="0" w:space="0" w:color="auto"/>
        <w:right w:val="none" w:sz="0" w:space="0" w:color="auto"/>
      </w:divBdr>
    </w:div>
    <w:div w:id="862479647">
      <w:bodyDiv w:val="1"/>
      <w:marLeft w:val="0"/>
      <w:marRight w:val="0"/>
      <w:marTop w:val="0"/>
      <w:marBottom w:val="0"/>
      <w:divBdr>
        <w:top w:val="none" w:sz="0" w:space="0" w:color="auto"/>
        <w:left w:val="none" w:sz="0" w:space="0" w:color="auto"/>
        <w:bottom w:val="none" w:sz="0" w:space="0" w:color="auto"/>
        <w:right w:val="none" w:sz="0" w:space="0" w:color="auto"/>
      </w:divBdr>
    </w:div>
    <w:div w:id="894386973">
      <w:bodyDiv w:val="1"/>
      <w:marLeft w:val="0"/>
      <w:marRight w:val="0"/>
      <w:marTop w:val="0"/>
      <w:marBottom w:val="0"/>
      <w:divBdr>
        <w:top w:val="none" w:sz="0" w:space="0" w:color="auto"/>
        <w:left w:val="none" w:sz="0" w:space="0" w:color="auto"/>
        <w:bottom w:val="none" w:sz="0" w:space="0" w:color="auto"/>
        <w:right w:val="none" w:sz="0" w:space="0" w:color="auto"/>
      </w:divBdr>
    </w:div>
    <w:div w:id="909735930">
      <w:bodyDiv w:val="1"/>
      <w:marLeft w:val="0"/>
      <w:marRight w:val="0"/>
      <w:marTop w:val="0"/>
      <w:marBottom w:val="0"/>
      <w:divBdr>
        <w:top w:val="none" w:sz="0" w:space="0" w:color="auto"/>
        <w:left w:val="none" w:sz="0" w:space="0" w:color="auto"/>
        <w:bottom w:val="none" w:sz="0" w:space="0" w:color="auto"/>
        <w:right w:val="none" w:sz="0" w:space="0" w:color="auto"/>
      </w:divBdr>
    </w:div>
    <w:div w:id="923491935">
      <w:bodyDiv w:val="1"/>
      <w:marLeft w:val="0"/>
      <w:marRight w:val="0"/>
      <w:marTop w:val="0"/>
      <w:marBottom w:val="0"/>
      <w:divBdr>
        <w:top w:val="none" w:sz="0" w:space="0" w:color="auto"/>
        <w:left w:val="none" w:sz="0" w:space="0" w:color="auto"/>
        <w:bottom w:val="none" w:sz="0" w:space="0" w:color="auto"/>
        <w:right w:val="none" w:sz="0" w:space="0" w:color="auto"/>
      </w:divBdr>
    </w:div>
    <w:div w:id="976689485">
      <w:bodyDiv w:val="1"/>
      <w:marLeft w:val="0"/>
      <w:marRight w:val="0"/>
      <w:marTop w:val="0"/>
      <w:marBottom w:val="0"/>
      <w:divBdr>
        <w:top w:val="none" w:sz="0" w:space="0" w:color="auto"/>
        <w:left w:val="none" w:sz="0" w:space="0" w:color="auto"/>
        <w:bottom w:val="none" w:sz="0" w:space="0" w:color="auto"/>
        <w:right w:val="none" w:sz="0" w:space="0" w:color="auto"/>
      </w:divBdr>
    </w:div>
    <w:div w:id="981889364">
      <w:bodyDiv w:val="1"/>
      <w:marLeft w:val="0"/>
      <w:marRight w:val="0"/>
      <w:marTop w:val="0"/>
      <w:marBottom w:val="0"/>
      <w:divBdr>
        <w:top w:val="none" w:sz="0" w:space="0" w:color="auto"/>
        <w:left w:val="none" w:sz="0" w:space="0" w:color="auto"/>
        <w:bottom w:val="none" w:sz="0" w:space="0" w:color="auto"/>
        <w:right w:val="none" w:sz="0" w:space="0" w:color="auto"/>
      </w:divBdr>
    </w:div>
    <w:div w:id="1004357444">
      <w:bodyDiv w:val="1"/>
      <w:marLeft w:val="0"/>
      <w:marRight w:val="0"/>
      <w:marTop w:val="0"/>
      <w:marBottom w:val="0"/>
      <w:divBdr>
        <w:top w:val="none" w:sz="0" w:space="0" w:color="auto"/>
        <w:left w:val="none" w:sz="0" w:space="0" w:color="auto"/>
        <w:bottom w:val="none" w:sz="0" w:space="0" w:color="auto"/>
        <w:right w:val="none" w:sz="0" w:space="0" w:color="auto"/>
      </w:divBdr>
    </w:div>
    <w:div w:id="1095172526">
      <w:bodyDiv w:val="1"/>
      <w:marLeft w:val="0"/>
      <w:marRight w:val="0"/>
      <w:marTop w:val="0"/>
      <w:marBottom w:val="0"/>
      <w:divBdr>
        <w:top w:val="none" w:sz="0" w:space="0" w:color="auto"/>
        <w:left w:val="none" w:sz="0" w:space="0" w:color="auto"/>
        <w:bottom w:val="none" w:sz="0" w:space="0" w:color="auto"/>
        <w:right w:val="none" w:sz="0" w:space="0" w:color="auto"/>
      </w:divBdr>
    </w:div>
    <w:div w:id="1114012708">
      <w:bodyDiv w:val="1"/>
      <w:marLeft w:val="0"/>
      <w:marRight w:val="0"/>
      <w:marTop w:val="0"/>
      <w:marBottom w:val="0"/>
      <w:divBdr>
        <w:top w:val="none" w:sz="0" w:space="0" w:color="auto"/>
        <w:left w:val="none" w:sz="0" w:space="0" w:color="auto"/>
        <w:bottom w:val="none" w:sz="0" w:space="0" w:color="auto"/>
        <w:right w:val="none" w:sz="0" w:space="0" w:color="auto"/>
      </w:divBdr>
    </w:div>
    <w:div w:id="1116365990">
      <w:bodyDiv w:val="1"/>
      <w:marLeft w:val="0"/>
      <w:marRight w:val="0"/>
      <w:marTop w:val="0"/>
      <w:marBottom w:val="0"/>
      <w:divBdr>
        <w:top w:val="none" w:sz="0" w:space="0" w:color="auto"/>
        <w:left w:val="none" w:sz="0" w:space="0" w:color="auto"/>
        <w:bottom w:val="none" w:sz="0" w:space="0" w:color="auto"/>
        <w:right w:val="none" w:sz="0" w:space="0" w:color="auto"/>
      </w:divBdr>
    </w:div>
    <w:div w:id="1161697557">
      <w:bodyDiv w:val="1"/>
      <w:marLeft w:val="0"/>
      <w:marRight w:val="0"/>
      <w:marTop w:val="0"/>
      <w:marBottom w:val="0"/>
      <w:divBdr>
        <w:top w:val="none" w:sz="0" w:space="0" w:color="auto"/>
        <w:left w:val="none" w:sz="0" w:space="0" w:color="auto"/>
        <w:bottom w:val="none" w:sz="0" w:space="0" w:color="auto"/>
        <w:right w:val="none" w:sz="0" w:space="0" w:color="auto"/>
      </w:divBdr>
    </w:div>
    <w:div w:id="1178806992">
      <w:bodyDiv w:val="1"/>
      <w:marLeft w:val="0"/>
      <w:marRight w:val="0"/>
      <w:marTop w:val="0"/>
      <w:marBottom w:val="0"/>
      <w:divBdr>
        <w:top w:val="none" w:sz="0" w:space="0" w:color="auto"/>
        <w:left w:val="none" w:sz="0" w:space="0" w:color="auto"/>
        <w:bottom w:val="none" w:sz="0" w:space="0" w:color="auto"/>
        <w:right w:val="none" w:sz="0" w:space="0" w:color="auto"/>
      </w:divBdr>
    </w:div>
    <w:div w:id="1235629973">
      <w:bodyDiv w:val="1"/>
      <w:marLeft w:val="0"/>
      <w:marRight w:val="0"/>
      <w:marTop w:val="0"/>
      <w:marBottom w:val="0"/>
      <w:divBdr>
        <w:top w:val="none" w:sz="0" w:space="0" w:color="auto"/>
        <w:left w:val="none" w:sz="0" w:space="0" w:color="auto"/>
        <w:bottom w:val="none" w:sz="0" w:space="0" w:color="auto"/>
        <w:right w:val="none" w:sz="0" w:space="0" w:color="auto"/>
      </w:divBdr>
    </w:div>
    <w:div w:id="1350719191">
      <w:bodyDiv w:val="1"/>
      <w:marLeft w:val="0"/>
      <w:marRight w:val="0"/>
      <w:marTop w:val="0"/>
      <w:marBottom w:val="0"/>
      <w:divBdr>
        <w:top w:val="none" w:sz="0" w:space="0" w:color="auto"/>
        <w:left w:val="none" w:sz="0" w:space="0" w:color="auto"/>
        <w:bottom w:val="none" w:sz="0" w:space="0" w:color="auto"/>
        <w:right w:val="none" w:sz="0" w:space="0" w:color="auto"/>
      </w:divBdr>
      <w:divsChild>
        <w:div w:id="373699997">
          <w:marLeft w:val="0"/>
          <w:marRight w:val="0"/>
          <w:marTop w:val="0"/>
          <w:marBottom w:val="0"/>
          <w:divBdr>
            <w:top w:val="none" w:sz="0" w:space="0" w:color="auto"/>
            <w:left w:val="none" w:sz="0" w:space="0" w:color="auto"/>
            <w:bottom w:val="none" w:sz="0" w:space="0" w:color="auto"/>
            <w:right w:val="none" w:sz="0" w:space="0" w:color="auto"/>
          </w:divBdr>
          <w:divsChild>
            <w:div w:id="589506997">
              <w:marLeft w:val="0"/>
              <w:marRight w:val="0"/>
              <w:marTop w:val="0"/>
              <w:marBottom w:val="0"/>
              <w:divBdr>
                <w:top w:val="none" w:sz="0" w:space="0" w:color="auto"/>
                <w:left w:val="none" w:sz="0" w:space="0" w:color="auto"/>
                <w:bottom w:val="none" w:sz="0" w:space="0" w:color="auto"/>
                <w:right w:val="none" w:sz="0" w:space="0" w:color="auto"/>
              </w:divBdr>
              <w:divsChild>
                <w:div w:id="4226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956">
      <w:bodyDiv w:val="1"/>
      <w:marLeft w:val="0"/>
      <w:marRight w:val="0"/>
      <w:marTop w:val="0"/>
      <w:marBottom w:val="0"/>
      <w:divBdr>
        <w:top w:val="none" w:sz="0" w:space="0" w:color="auto"/>
        <w:left w:val="none" w:sz="0" w:space="0" w:color="auto"/>
        <w:bottom w:val="none" w:sz="0" w:space="0" w:color="auto"/>
        <w:right w:val="none" w:sz="0" w:space="0" w:color="auto"/>
      </w:divBdr>
    </w:div>
    <w:div w:id="1517231895">
      <w:bodyDiv w:val="1"/>
      <w:marLeft w:val="0"/>
      <w:marRight w:val="0"/>
      <w:marTop w:val="0"/>
      <w:marBottom w:val="0"/>
      <w:divBdr>
        <w:top w:val="none" w:sz="0" w:space="0" w:color="auto"/>
        <w:left w:val="none" w:sz="0" w:space="0" w:color="auto"/>
        <w:bottom w:val="none" w:sz="0" w:space="0" w:color="auto"/>
        <w:right w:val="none" w:sz="0" w:space="0" w:color="auto"/>
      </w:divBdr>
    </w:div>
    <w:div w:id="1616792433">
      <w:bodyDiv w:val="1"/>
      <w:marLeft w:val="0"/>
      <w:marRight w:val="0"/>
      <w:marTop w:val="0"/>
      <w:marBottom w:val="0"/>
      <w:divBdr>
        <w:top w:val="none" w:sz="0" w:space="0" w:color="auto"/>
        <w:left w:val="none" w:sz="0" w:space="0" w:color="auto"/>
        <w:bottom w:val="none" w:sz="0" w:space="0" w:color="auto"/>
        <w:right w:val="none" w:sz="0" w:space="0" w:color="auto"/>
      </w:divBdr>
    </w:div>
    <w:div w:id="1645625024">
      <w:bodyDiv w:val="1"/>
      <w:marLeft w:val="0"/>
      <w:marRight w:val="0"/>
      <w:marTop w:val="0"/>
      <w:marBottom w:val="0"/>
      <w:divBdr>
        <w:top w:val="none" w:sz="0" w:space="0" w:color="auto"/>
        <w:left w:val="none" w:sz="0" w:space="0" w:color="auto"/>
        <w:bottom w:val="none" w:sz="0" w:space="0" w:color="auto"/>
        <w:right w:val="none" w:sz="0" w:space="0" w:color="auto"/>
      </w:divBdr>
    </w:div>
    <w:div w:id="1657611892">
      <w:bodyDiv w:val="1"/>
      <w:marLeft w:val="0"/>
      <w:marRight w:val="0"/>
      <w:marTop w:val="0"/>
      <w:marBottom w:val="0"/>
      <w:divBdr>
        <w:top w:val="none" w:sz="0" w:space="0" w:color="auto"/>
        <w:left w:val="none" w:sz="0" w:space="0" w:color="auto"/>
        <w:bottom w:val="none" w:sz="0" w:space="0" w:color="auto"/>
        <w:right w:val="none" w:sz="0" w:space="0" w:color="auto"/>
      </w:divBdr>
    </w:div>
    <w:div w:id="1778987871">
      <w:bodyDiv w:val="1"/>
      <w:marLeft w:val="0"/>
      <w:marRight w:val="0"/>
      <w:marTop w:val="0"/>
      <w:marBottom w:val="0"/>
      <w:divBdr>
        <w:top w:val="none" w:sz="0" w:space="0" w:color="auto"/>
        <w:left w:val="none" w:sz="0" w:space="0" w:color="auto"/>
        <w:bottom w:val="none" w:sz="0" w:space="0" w:color="auto"/>
        <w:right w:val="none" w:sz="0" w:space="0" w:color="auto"/>
      </w:divBdr>
      <w:divsChild>
        <w:div w:id="629172177">
          <w:marLeft w:val="0"/>
          <w:marRight w:val="0"/>
          <w:marTop w:val="0"/>
          <w:marBottom w:val="0"/>
          <w:divBdr>
            <w:top w:val="none" w:sz="0" w:space="0" w:color="auto"/>
            <w:left w:val="none" w:sz="0" w:space="0" w:color="auto"/>
            <w:bottom w:val="none" w:sz="0" w:space="0" w:color="auto"/>
            <w:right w:val="none" w:sz="0" w:space="0" w:color="auto"/>
          </w:divBdr>
          <w:divsChild>
            <w:div w:id="800415541">
              <w:marLeft w:val="0"/>
              <w:marRight w:val="0"/>
              <w:marTop w:val="0"/>
              <w:marBottom w:val="0"/>
              <w:divBdr>
                <w:top w:val="none" w:sz="0" w:space="0" w:color="auto"/>
                <w:left w:val="none" w:sz="0" w:space="0" w:color="auto"/>
                <w:bottom w:val="none" w:sz="0" w:space="0" w:color="auto"/>
                <w:right w:val="none" w:sz="0" w:space="0" w:color="auto"/>
              </w:divBdr>
              <w:divsChild>
                <w:div w:id="8677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0513">
      <w:bodyDiv w:val="1"/>
      <w:marLeft w:val="0"/>
      <w:marRight w:val="0"/>
      <w:marTop w:val="0"/>
      <w:marBottom w:val="0"/>
      <w:divBdr>
        <w:top w:val="none" w:sz="0" w:space="0" w:color="auto"/>
        <w:left w:val="none" w:sz="0" w:space="0" w:color="auto"/>
        <w:bottom w:val="none" w:sz="0" w:space="0" w:color="auto"/>
        <w:right w:val="none" w:sz="0" w:space="0" w:color="auto"/>
      </w:divBdr>
    </w:div>
    <w:div w:id="1925145213">
      <w:bodyDiv w:val="1"/>
      <w:marLeft w:val="0"/>
      <w:marRight w:val="0"/>
      <w:marTop w:val="0"/>
      <w:marBottom w:val="0"/>
      <w:divBdr>
        <w:top w:val="none" w:sz="0" w:space="0" w:color="auto"/>
        <w:left w:val="none" w:sz="0" w:space="0" w:color="auto"/>
        <w:bottom w:val="none" w:sz="0" w:space="0" w:color="auto"/>
        <w:right w:val="none" w:sz="0" w:space="0" w:color="auto"/>
      </w:divBdr>
    </w:div>
    <w:div w:id="1943609999">
      <w:bodyDiv w:val="1"/>
      <w:marLeft w:val="0"/>
      <w:marRight w:val="0"/>
      <w:marTop w:val="0"/>
      <w:marBottom w:val="0"/>
      <w:divBdr>
        <w:top w:val="none" w:sz="0" w:space="0" w:color="auto"/>
        <w:left w:val="none" w:sz="0" w:space="0" w:color="auto"/>
        <w:bottom w:val="none" w:sz="0" w:space="0" w:color="auto"/>
        <w:right w:val="none" w:sz="0" w:space="0" w:color="auto"/>
      </w:divBdr>
    </w:div>
    <w:div w:id="1970041076">
      <w:bodyDiv w:val="1"/>
      <w:marLeft w:val="0"/>
      <w:marRight w:val="0"/>
      <w:marTop w:val="0"/>
      <w:marBottom w:val="0"/>
      <w:divBdr>
        <w:top w:val="none" w:sz="0" w:space="0" w:color="auto"/>
        <w:left w:val="none" w:sz="0" w:space="0" w:color="auto"/>
        <w:bottom w:val="none" w:sz="0" w:space="0" w:color="auto"/>
        <w:right w:val="none" w:sz="0" w:space="0" w:color="auto"/>
      </w:divBdr>
      <w:divsChild>
        <w:div w:id="1945455294">
          <w:marLeft w:val="0"/>
          <w:marRight w:val="0"/>
          <w:marTop w:val="0"/>
          <w:marBottom w:val="0"/>
          <w:divBdr>
            <w:top w:val="none" w:sz="0" w:space="0" w:color="auto"/>
            <w:left w:val="none" w:sz="0" w:space="0" w:color="auto"/>
            <w:bottom w:val="none" w:sz="0" w:space="0" w:color="auto"/>
            <w:right w:val="none" w:sz="0" w:space="0" w:color="auto"/>
          </w:divBdr>
          <w:divsChild>
            <w:div w:id="737241128">
              <w:marLeft w:val="0"/>
              <w:marRight w:val="0"/>
              <w:marTop w:val="0"/>
              <w:marBottom w:val="0"/>
              <w:divBdr>
                <w:top w:val="none" w:sz="0" w:space="0" w:color="auto"/>
                <w:left w:val="none" w:sz="0" w:space="0" w:color="auto"/>
                <w:bottom w:val="none" w:sz="0" w:space="0" w:color="auto"/>
                <w:right w:val="none" w:sz="0" w:space="0" w:color="auto"/>
              </w:divBdr>
              <w:divsChild>
                <w:div w:id="8509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2731">
      <w:bodyDiv w:val="1"/>
      <w:marLeft w:val="0"/>
      <w:marRight w:val="0"/>
      <w:marTop w:val="0"/>
      <w:marBottom w:val="0"/>
      <w:divBdr>
        <w:top w:val="none" w:sz="0" w:space="0" w:color="auto"/>
        <w:left w:val="none" w:sz="0" w:space="0" w:color="auto"/>
        <w:bottom w:val="none" w:sz="0" w:space="0" w:color="auto"/>
        <w:right w:val="none" w:sz="0" w:space="0" w:color="auto"/>
      </w:divBdr>
    </w:div>
    <w:div w:id="2050375137">
      <w:bodyDiv w:val="1"/>
      <w:marLeft w:val="0"/>
      <w:marRight w:val="0"/>
      <w:marTop w:val="0"/>
      <w:marBottom w:val="0"/>
      <w:divBdr>
        <w:top w:val="none" w:sz="0" w:space="0" w:color="auto"/>
        <w:left w:val="none" w:sz="0" w:space="0" w:color="auto"/>
        <w:bottom w:val="none" w:sz="0" w:space="0" w:color="auto"/>
        <w:right w:val="none" w:sz="0" w:space="0" w:color="auto"/>
      </w:divBdr>
    </w:div>
    <w:div w:id="2063862513">
      <w:bodyDiv w:val="1"/>
      <w:marLeft w:val="0"/>
      <w:marRight w:val="0"/>
      <w:marTop w:val="0"/>
      <w:marBottom w:val="0"/>
      <w:divBdr>
        <w:top w:val="none" w:sz="0" w:space="0" w:color="auto"/>
        <w:left w:val="none" w:sz="0" w:space="0" w:color="auto"/>
        <w:bottom w:val="none" w:sz="0" w:space="0" w:color="auto"/>
        <w:right w:val="none" w:sz="0" w:space="0" w:color="auto"/>
      </w:divBdr>
    </w:div>
    <w:div w:id="2084334204">
      <w:bodyDiv w:val="1"/>
      <w:marLeft w:val="0"/>
      <w:marRight w:val="0"/>
      <w:marTop w:val="0"/>
      <w:marBottom w:val="0"/>
      <w:divBdr>
        <w:top w:val="none" w:sz="0" w:space="0" w:color="auto"/>
        <w:left w:val="none" w:sz="0" w:space="0" w:color="auto"/>
        <w:bottom w:val="none" w:sz="0" w:space="0" w:color="auto"/>
        <w:right w:val="none" w:sz="0" w:space="0" w:color="auto"/>
      </w:divBdr>
    </w:div>
    <w:div w:id="212457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dx.doi.org/10.4067/S0718-07052012000100001" TargetMode="External"/><Relationship Id="rId13" Type="http://schemas.openxmlformats.org/officeDocument/2006/relationships/hyperlink" Target="https://dx.doi.org/10.4067/s0718-50492020000100281" TargetMode="External"/><Relationship Id="rId3" Type="http://schemas.openxmlformats.org/officeDocument/2006/relationships/hyperlink" Target="https://revistas.comillas.edu/index.php/miscelaneacomillas/issue/view/1127" TargetMode="External"/><Relationship Id="rId7" Type="http://schemas.openxmlformats.org/officeDocument/2006/relationships/hyperlink" Target="https://dx.doi.org/10.21703/0718-5162.v21.n45.2022.021" TargetMode="External"/><Relationship Id="rId12" Type="http://schemas.openxmlformats.org/officeDocument/2006/relationships/hyperlink" Target="https://doi.org/10.22201/fm.20075057e.2021.38.21350" TargetMode="External"/><Relationship Id="rId2" Type="http://schemas.openxmlformats.org/officeDocument/2006/relationships/hyperlink" Target="https://dx.doi.org/10.4067/S0718-22362012000100003" TargetMode="External"/><Relationship Id="rId1" Type="http://schemas.openxmlformats.org/officeDocument/2006/relationships/hyperlink" Target="https://dx.doi.org/10.35588/gpt.v14i41.5064" TargetMode="External"/><Relationship Id="rId6" Type="http://schemas.openxmlformats.org/officeDocument/2006/relationships/hyperlink" Target="https://dx.doi.org/10.4067/S0717-554X2012000200003" TargetMode="External"/><Relationship Id="rId11" Type="http://schemas.openxmlformats.org/officeDocument/2006/relationships/hyperlink" Target="https://dx.doi.org/10.4067/S0718-07052017000100010" TargetMode="External"/><Relationship Id="rId5" Type="http://schemas.openxmlformats.org/officeDocument/2006/relationships/hyperlink" Target="https://dx.doi.org/10.4067/S0718-50062014000500004" TargetMode="External"/><Relationship Id="rId10" Type="http://schemas.openxmlformats.org/officeDocument/2006/relationships/hyperlink" Target="https://dx.doi.org/10.4067/S0718-07052019000200179" TargetMode="External"/><Relationship Id="rId4" Type="http://schemas.openxmlformats.org/officeDocument/2006/relationships/hyperlink" Target="https://dx.doi.org/10.18800/arete.201801.005" TargetMode="External"/><Relationship Id="rId9" Type="http://schemas.openxmlformats.org/officeDocument/2006/relationships/hyperlink" Target="https://doi.org/10.17163/soph.n23.2017.07" TargetMode="External"/><Relationship Id="rId14" Type="http://schemas.openxmlformats.org/officeDocument/2006/relationships/hyperlink" Target="https://dx.doi.org/10.4067/S0718-2236201200020000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4B912-14E4-EC46-A6A6-D7C5C4F0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29</Pages>
  <Words>5730</Words>
  <Characters>31521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dcterms:created xsi:type="dcterms:W3CDTF">2023-12-13T12:16:00Z</dcterms:created>
  <dcterms:modified xsi:type="dcterms:W3CDTF">2023-12-19T17:53:00Z</dcterms:modified>
</cp:coreProperties>
</file>