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A16F4" w:rsidRDefault="00FA16F4" w:rsidP="00FA16F4">
      <w:pPr>
        <w:spacing w:line="480" w:lineRule="auto"/>
        <w:rPr>
          <w:b/>
          <w:bCs/>
          <w:lang w:val="es-ES_tradnl"/>
        </w:rPr>
      </w:pPr>
    </w:p>
    <w:p w:rsidR="00FA16F4" w:rsidRDefault="00FA16F4" w:rsidP="00FA16F4">
      <w:pPr>
        <w:spacing w:line="480" w:lineRule="auto"/>
        <w:jc w:val="center"/>
        <w:rPr>
          <w:b/>
          <w:bCs/>
          <w:lang w:val="es-ES_tradnl"/>
        </w:rPr>
      </w:pPr>
      <w:r>
        <w:fldChar w:fldCharType="begin"/>
      </w:r>
      <w:r>
        <w:instrText xml:space="preserve"> INCLUDEPICTURE "https://ci3.googleusercontent.com/meips/ADKq_NYMqE1aWRpGiM72WcFd2p85SPHmntCUJJBOITJQi_7HZyptEnS1lU-X9UduWQkTUQBwWPJb4HkN70RWV10=s0-d-e1-ft#https://media.aiu.edu/aiulogos/logo.gif" \* MERGEFORMATINET </w:instrText>
      </w:r>
      <w:r>
        <w:fldChar w:fldCharType="separate"/>
      </w:r>
      <w:r>
        <w:rPr>
          <w:noProof/>
        </w:rPr>
        <w:drawing>
          <wp:inline distT="0" distB="0" distL="0" distR="0" wp14:anchorId="4A8013F8" wp14:editId="2E8AF93F">
            <wp:extent cx="1466662" cy="623804"/>
            <wp:effectExtent l="0" t="0" r="0" b="0"/>
            <wp:docPr id="21116264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71118" cy="668232"/>
                    </a:xfrm>
                    <a:prstGeom prst="rect">
                      <a:avLst/>
                    </a:prstGeom>
                    <a:noFill/>
                    <a:ln>
                      <a:noFill/>
                    </a:ln>
                  </pic:spPr>
                </pic:pic>
              </a:graphicData>
            </a:graphic>
          </wp:inline>
        </w:drawing>
      </w:r>
      <w:r>
        <w:fldChar w:fldCharType="end"/>
      </w:r>
    </w:p>
    <w:p w:rsidR="00FA16F4" w:rsidRDefault="00FA16F4" w:rsidP="00FA16F4">
      <w:pPr>
        <w:spacing w:line="480" w:lineRule="auto"/>
        <w:rPr>
          <w:b/>
          <w:bCs/>
          <w:lang w:val="es-ES_tradnl"/>
        </w:rPr>
      </w:pPr>
    </w:p>
    <w:p w:rsidR="00FA16F4" w:rsidRDefault="00FA16F4" w:rsidP="00FA16F4">
      <w:pPr>
        <w:shd w:val="clear" w:color="auto" w:fill="FFFFFF"/>
        <w:jc w:val="center"/>
        <w:outlineLvl w:val="2"/>
        <w:rPr>
          <w:rFonts w:ascii="Arial" w:eastAsia="Times New Roman" w:hAnsi="Arial" w:cs="Arial"/>
          <w:b/>
          <w:bCs/>
          <w:color w:val="444444"/>
          <w:kern w:val="0"/>
          <w:lang w:eastAsia="es-MX"/>
          <w14:ligatures w14:val="none"/>
        </w:rPr>
      </w:pPr>
    </w:p>
    <w:p w:rsidR="00FA16F4" w:rsidRPr="00C7293D" w:rsidRDefault="00FA16F4" w:rsidP="00FA16F4">
      <w:pPr>
        <w:spacing w:line="480" w:lineRule="auto"/>
        <w:jc w:val="center"/>
      </w:pPr>
      <w:r w:rsidRPr="00C7293D">
        <w:rPr>
          <w:b/>
          <w:bCs/>
        </w:rPr>
        <w:t>Pintura Oriental – Diversidad en el Color, Forma y Estilo</w:t>
      </w:r>
    </w:p>
    <w:p w:rsidR="00FA16F4" w:rsidRDefault="00FA16F4" w:rsidP="00FA16F4">
      <w:pPr>
        <w:spacing w:line="480" w:lineRule="auto"/>
        <w:rPr>
          <w:b/>
          <w:bCs/>
          <w:lang w:val="es-ES_tradnl"/>
        </w:rPr>
      </w:pPr>
    </w:p>
    <w:p w:rsidR="00FA16F4" w:rsidRDefault="00FA16F4" w:rsidP="00FA16F4">
      <w:pPr>
        <w:spacing w:line="480" w:lineRule="auto"/>
        <w:jc w:val="center"/>
        <w:rPr>
          <w:b/>
          <w:bCs/>
          <w:lang w:val="es-ES_tradnl"/>
        </w:rPr>
      </w:pPr>
      <w:r>
        <w:rPr>
          <w:b/>
          <w:bCs/>
          <w:lang w:val="es-ES_tradnl"/>
        </w:rPr>
        <w:t xml:space="preserve">Ensayo </w:t>
      </w:r>
    </w:p>
    <w:p w:rsidR="00FA16F4" w:rsidRDefault="00FA16F4" w:rsidP="00FA16F4">
      <w:pPr>
        <w:spacing w:line="480" w:lineRule="auto"/>
        <w:jc w:val="center"/>
        <w:rPr>
          <w:b/>
          <w:bCs/>
          <w:lang w:val="es-ES_tradnl"/>
        </w:rPr>
      </w:pPr>
    </w:p>
    <w:p w:rsidR="00FA16F4" w:rsidRDefault="00FA16F4" w:rsidP="00FA16F4">
      <w:pPr>
        <w:spacing w:line="480" w:lineRule="auto"/>
        <w:jc w:val="center"/>
        <w:rPr>
          <w:b/>
          <w:bCs/>
          <w:lang w:val="es-ES_tradnl"/>
        </w:rPr>
      </w:pPr>
    </w:p>
    <w:p w:rsidR="00FA16F4" w:rsidRDefault="00FA16F4" w:rsidP="00FA16F4">
      <w:pPr>
        <w:spacing w:line="480" w:lineRule="auto"/>
        <w:jc w:val="center"/>
        <w:rPr>
          <w:b/>
          <w:bCs/>
          <w:lang w:val="es-ES_tradnl"/>
        </w:rPr>
      </w:pPr>
    </w:p>
    <w:p w:rsidR="00FA16F4" w:rsidRDefault="00FA16F4" w:rsidP="00FA16F4">
      <w:pPr>
        <w:spacing w:line="480" w:lineRule="auto"/>
        <w:jc w:val="center"/>
        <w:rPr>
          <w:b/>
          <w:bCs/>
          <w:lang w:val="es-ES_tradnl"/>
        </w:rPr>
      </w:pPr>
    </w:p>
    <w:p w:rsidR="00FA16F4" w:rsidRDefault="00FA16F4" w:rsidP="00FA16F4">
      <w:pPr>
        <w:spacing w:line="480" w:lineRule="auto"/>
        <w:jc w:val="center"/>
        <w:rPr>
          <w:b/>
          <w:bCs/>
          <w:lang w:val="es-ES_tradnl"/>
        </w:rPr>
      </w:pPr>
    </w:p>
    <w:p w:rsidR="00FA16F4" w:rsidRDefault="00FA16F4" w:rsidP="00FA16F4">
      <w:pPr>
        <w:spacing w:line="480" w:lineRule="auto"/>
        <w:rPr>
          <w:b/>
          <w:bCs/>
          <w:lang w:val="es-ES_tradnl"/>
        </w:rPr>
      </w:pPr>
    </w:p>
    <w:p w:rsidR="00FA16F4" w:rsidRDefault="00FA16F4" w:rsidP="00FA16F4">
      <w:pPr>
        <w:rPr>
          <w:b/>
          <w:bCs/>
          <w:lang w:val="es-ES_tradnl"/>
        </w:rPr>
      </w:pPr>
      <w:r>
        <w:rPr>
          <w:b/>
          <w:bCs/>
          <w:lang w:val="es-ES_tradnl"/>
        </w:rPr>
        <w:t>Trabajo presentado por:</w:t>
      </w:r>
    </w:p>
    <w:p w:rsidR="00FA16F4" w:rsidRDefault="00FA16F4" w:rsidP="00FA16F4">
      <w:pPr>
        <w:rPr>
          <w:b/>
          <w:bCs/>
          <w:lang w:val="es-ES_tradnl"/>
        </w:rPr>
      </w:pPr>
      <w:r>
        <w:rPr>
          <w:b/>
          <w:bCs/>
          <w:lang w:val="es-ES_tradnl"/>
        </w:rPr>
        <w:t>Rodrigo Quezada Guzmán</w:t>
      </w:r>
    </w:p>
    <w:p w:rsidR="00FA16F4" w:rsidRDefault="00FA16F4" w:rsidP="00FA16F4">
      <w:pPr>
        <w:rPr>
          <w:b/>
          <w:bCs/>
          <w:lang w:val="es-ES_tradnl"/>
        </w:rPr>
      </w:pPr>
      <w:r>
        <w:rPr>
          <w:b/>
          <w:bCs/>
          <w:lang w:val="es-ES_tradnl"/>
        </w:rPr>
        <w:t>Programa Doctorado</w:t>
      </w:r>
    </w:p>
    <w:p w:rsidR="00FA16F4" w:rsidRDefault="00FA16F4" w:rsidP="00FA16F4">
      <w:pPr>
        <w:rPr>
          <w:b/>
          <w:bCs/>
          <w:lang w:val="es-ES_tradnl"/>
        </w:rPr>
      </w:pPr>
      <w:r>
        <w:rPr>
          <w:b/>
          <w:bCs/>
          <w:lang w:val="es-ES_tradnl"/>
        </w:rPr>
        <w:t>Especialidad Psicología</w:t>
      </w:r>
    </w:p>
    <w:p w:rsidR="00FA16F4" w:rsidRDefault="00FA16F4" w:rsidP="00FA16F4">
      <w:pPr>
        <w:rPr>
          <w:b/>
          <w:bCs/>
          <w:lang w:val="es-ES_tradnl"/>
        </w:rPr>
      </w:pPr>
      <w:r>
        <w:rPr>
          <w:b/>
          <w:bCs/>
          <w:lang w:val="es-ES_tradnl"/>
        </w:rPr>
        <w:t>ID 9UD83461</w:t>
      </w:r>
    </w:p>
    <w:p w:rsidR="00FA16F4" w:rsidRDefault="00FA16F4" w:rsidP="00FA16F4">
      <w:pPr>
        <w:rPr>
          <w:b/>
          <w:bCs/>
          <w:lang w:val="es-ES_tradnl"/>
        </w:rPr>
      </w:pPr>
      <w:r>
        <w:rPr>
          <w:b/>
          <w:bCs/>
          <w:lang w:val="es-ES_tradnl"/>
        </w:rPr>
        <w:t>Las Mariposas k.11</w:t>
      </w:r>
    </w:p>
    <w:p w:rsidR="00FA16F4" w:rsidRDefault="00FA16F4" w:rsidP="00FA16F4">
      <w:pPr>
        <w:rPr>
          <w:b/>
          <w:bCs/>
          <w:lang w:val="es-ES_tradnl"/>
        </w:rPr>
      </w:pPr>
      <w:r>
        <w:rPr>
          <w:b/>
          <w:bCs/>
          <w:lang w:val="es-ES_tradnl"/>
        </w:rPr>
        <w:t>Sector Los Montes, Chillán. Chile.</w:t>
      </w:r>
    </w:p>
    <w:p w:rsidR="00FA16F4" w:rsidRDefault="00FA16F4" w:rsidP="00FA16F4">
      <w:pPr>
        <w:spacing w:line="480" w:lineRule="auto"/>
        <w:rPr>
          <w:b/>
          <w:bCs/>
          <w:lang w:val="es-ES_tradnl"/>
        </w:rPr>
      </w:pPr>
    </w:p>
    <w:p w:rsidR="00FA16F4" w:rsidRDefault="00FA16F4" w:rsidP="00FA16F4">
      <w:pPr>
        <w:spacing w:line="480" w:lineRule="auto"/>
        <w:rPr>
          <w:b/>
          <w:bCs/>
          <w:lang w:val="es-ES_tradnl"/>
        </w:rPr>
      </w:pPr>
    </w:p>
    <w:p w:rsidR="00FA16F4" w:rsidRDefault="00FA16F4" w:rsidP="00FA16F4">
      <w:pPr>
        <w:spacing w:line="480" w:lineRule="auto"/>
        <w:rPr>
          <w:b/>
          <w:bCs/>
          <w:lang w:val="es-ES_tradnl"/>
        </w:rPr>
      </w:pPr>
    </w:p>
    <w:p w:rsidR="00195657" w:rsidRDefault="00195657" w:rsidP="00195657">
      <w:pPr>
        <w:rPr>
          <w:rFonts w:ascii="Times New Roman" w:eastAsia="Times New Roman" w:hAnsi="Times New Roman" w:cs="Times New Roman"/>
          <w:kern w:val="0"/>
          <w:lang w:eastAsia="es-MX"/>
          <w14:ligatures w14:val="none"/>
        </w:rPr>
      </w:pPr>
    </w:p>
    <w:p w:rsidR="00FA16F4" w:rsidRDefault="00FA16F4" w:rsidP="00195657">
      <w:pPr>
        <w:rPr>
          <w:rFonts w:ascii="Times New Roman" w:eastAsia="Times New Roman" w:hAnsi="Times New Roman" w:cs="Times New Roman"/>
          <w:kern w:val="0"/>
          <w:lang w:eastAsia="es-MX"/>
          <w14:ligatures w14:val="none"/>
        </w:rPr>
      </w:pPr>
    </w:p>
    <w:p w:rsidR="00FA16F4" w:rsidRDefault="00FA16F4" w:rsidP="00195657">
      <w:pPr>
        <w:rPr>
          <w:rFonts w:ascii="Times New Roman" w:eastAsia="Times New Roman" w:hAnsi="Times New Roman" w:cs="Times New Roman"/>
          <w:kern w:val="0"/>
          <w:lang w:eastAsia="es-MX"/>
          <w14:ligatures w14:val="none"/>
        </w:rPr>
      </w:pPr>
    </w:p>
    <w:p w:rsidR="00C7293D" w:rsidRDefault="00C7293D"/>
    <w:p w:rsidR="00C7293D" w:rsidRPr="00C7293D" w:rsidRDefault="00C7293D" w:rsidP="00C7293D">
      <w:pPr>
        <w:spacing w:line="480" w:lineRule="auto"/>
      </w:pPr>
      <w:r w:rsidRPr="00C7293D">
        <w:rPr>
          <w:b/>
          <w:bCs/>
        </w:rPr>
        <w:lastRenderedPageBreak/>
        <w:t>Pintura Oriental – Diversidad en el Color, Forma y Estilo</w:t>
      </w:r>
    </w:p>
    <w:p w:rsidR="00C7293D" w:rsidRPr="00C7293D" w:rsidRDefault="00C7293D" w:rsidP="00C7293D">
      <w:pPr>
        <w:spacing w:line="480" w:lineRule="auto"/>
      </w:pPr>
      <w:r w:rsidRPr="00C7293D">
        <w:t>La pintura oriental, en conjunto con las tradiciones artísticas europeas, africanas y americanas, constituye una de las ramas fundamentales en la clasificación global del arte.</w:t>
      </w:r>
      <w:r>
        <w:rPr>
          <w:rStyle w:val="Refdenotaalfinal"/>
        </w:rPr>
        <w:endnoteReference w:id="1"/>
      </w:r>
      <w:r w:rsidRPr="00C7293D">
        <w:t xml:space="preserve"> </w:t>
      </w:r>
      <w:r w:rsidRPr="00C7293D">
        <w:t>Engloba diversas formas artísticas como la pintura, la caligrafía, el arte gráfico, la escultura y la cerámica, abarcando un extenso periodo desde el Neolítico hasta la contemporaneidad. Este ensayo se centrará en explorar la pintura oriental, destacando la riqueza y diversidad presente en las tradiciones china, japonesa y coreana.</w:t>
      </w:r>
    </w:p>
    <w:p w:rsidR="00C7293D" w:rsidRPr="00C7293D" w:rsidRDefault="00C7293D" w:rsidP="00C7293D">
      <w:pPr>
        <w:spacing w:line="480" w:lineRule="auto"/>
      </w:pPr>
      <w:r w:rsidRPr="00C7293D">
        <w:t>La pintura china, arraigada en creencias religiosas y sobrenaturales</w:t>
      </w:r>
      <w:r w:rsidR="008E442E">
        <w:rPr>
          <w:rStyle w:val="Refdenotaalfinal"/>
        </w:rPr>
        <w:endnoteReference w:id="2"/>
      </w:r>
      <w:r w:rsidRPr="00C7293D">
        <w:t xml:space="preserve">, ha evolucionado a lo largo de milenios. Sus inicios en el arte abstracto, con pinceladas minimalistas y la utilización de técnicas como la caligrafía china, revelan una conexión profunda con las creencias espirituales de los colonos chinos. A lo largo de las dinastías, la pintura china experimentó transformaciones significativas, especialmente durante los años de las cinco dinastías, donde los paisajes se erigieron como la expresión más elevada. La escuela de </w:t>
      </w:r>
      <w:proofErr w:type="spellStart"/>
      <w:r w:rsidRPr="00C7293D">
        <w:t>Shanghai</w:t>
      </w:r>
      <w:proofErr w:type="spellEnd"/>
      <w:r w:rsidRPr="00C7293D">
        <w:t xml:space="preserve"> en el siglo XX llevó la pintura china a nuevas alturas,</w:t>
      </w:r>
      <w:r w:rsidR="008E442E">
        <w:rPr>
          <w:rStyle w:val="Refdenotaalfinal"/>
        </w:rPr>
        <w:endnoteReference w:id="3"/>
      </w:r>
      <w:r w:rsidRPr="00C7293D">
        <w:t xml:space="preserve"> desafiando concepciones preconcebidas y explorando las complejidades de la sociedad en medio de cambios radicales.</w:t>
      </w:r>
    </w:p>
    <w:p w:rsidR="00C7293D" w:rsidRDefault="00C7293D" w:rsidP="00C7293D">
      <w:pPr>
        <w:spacing w:line="480" w:lineRule="auto"/>
      </w:pPr>
      <w:r w:rsidRPr="00C7293D">
        <w:t xml:space="preserve">El arte japonés, que data de alrededor del 10.000 a.C., muestra una amalgama de estilos y tipos que reflejan su historia única. A pesar de períodos de aislamiento, Japón asimiló influencias artísticas extranjeras en su propia cultura, resultando en una rica diversidad de expresiones artísticas. Desde pinturas en rollos que narran historias hasta el desarrollo de la pintura monocroma en el siglo XX, la pintura japonesa ha experimentado una evolución compleja. La dicotomía entre la adopción de estilos occidentales y el retorno a tradiciones </w:t>
      </w:r>
      <w:r w:rsidRPr="00C7293D">
        <w:lastRenderedPageBreak/>
        <w:t>japonesas tradicionales ilustra la capacidad de adaptación y resistencia de la cultura japonesa frente a influencias externas.</w:t>
      </w:r>
    </w:p>
    <w:p w:rsidR="00FA16F4" w:rsidRPr="00C7293D" w:rsidRDefault="00FA16F4" w:rsidP="00C7293D">
      <w:pPr>
        <w:spacing w:line="480" w:lineRule="auto"/>
      </w:pPr>
      <w:r>
        <w:rPr>
          <w:noProof/>
        </w:rPr>
        <w:drawing>
          <wp:inline distT="0" distB="0" distL="0" distR="0">
            <wp:extent cx="2040011" cy="1357532"/>
            <wp:effectExtent l="0" t="0" r="5080" b="1905"/>
            <wp:docPr id="87784335" name="Imagen 1" descr="Pintura japonesa acuarela color arte oriental ilustración vectorial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tura japonesa acuarela color arte oriental ilustración vectorial |  Vector Premiu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5355" cy="1367743"/>
                    </a:xfrm>
                    <a:prstGeom prst="rect">
                      <a:avLst/>
                    </a:prstGeom>
                    <a:noFill/>
                    <a:ln>
                      <a:noFill/>
                    </a:ln>
                  </pic:spPr>
                </pic:pic>
              </a:graphicData>
            </a:graphic>
          </wp:inline>
        </w:drawing>
      </w:r>
    </w:p>
    <w:p w:rsidR="00C7293D" w:rsidRPr="00C7293D" w:rsidRDefault="00C7293D" w:rsidP="00C7293D">
      <w:pPr>
        <w:spacing w:line="480" w:lineRule="auto"/>
      </w:pPr>
      <w:r w:rsidRPr="00C7293D">
        <w:t xml:space="preserve">Por otro lado, la contribución del arte coreano al panorama artístico oriental a menudo se subestima. La dinastía de </w:t>
      </w:r>
      <w:proofErr w:type="spellStart"/>
      <w:r w:rsidRPr="00C7293D">
        <w:t>Goryeo</w:t>
      </w:r>
      <w:proofErr w:type="spellEnd"/>
      <w:r w:rsidRPr="00C7293D">
        <w:t xml:space="preserve"> marcó un periodo crucial en el desarrollo cultural coreano</w:t>
      </w:r>
      <w:r w:rsidR="008E442E">
        <w:rPr>
          <w:rStyle w:val="Refdenotaalfinal"/>
        </w:rPr>
        <w:endnoteReference w:id="4"/>
      </w:r>
      <w:r w:rsidRPr="00C7293D">
        <w:t>, influenciado tanto por la pintura china como por el budismo. A lo largo de los siglos, la interacción artística entre China y Corea ha fortalecido y ampliado los estilos artísticos de ambos países. Desde los paisajes hasta las pinturas en tinta que destacan el contraste entre luz y oscuridad, la pintura coreana ha dejado una marca distintiva y, en el siglo XX, la pintura abstracta ha emergido como una forma significativa de expresión.</w:t>
      </w:r>
    </w:p>
    <w:p w:rsidR="00C7293D" w:rsidRDefault="00C7293D" w:rsidP="00C7293D">
      <w:pPr>
        <w:spacing w:line="480" w:lineRule="auto"/>
      </w:pPr>
      <w:r w:rsidRPr="00C7293D">
        <w:t>El desarrollo de la pintura oriental refleja las complejidades de cada sociedad en la que floreció. En la China imperial, las dinastías Ming y Qing vieron cambios en la paleta de colores y enfoques más innovadores. En el Japón medieval, los rollos pictóricos ganaron popularidad, mientras que el arte del período Muromachi se volvió más elitista. Corea, con su dinastía Joseon, experimentó un renacimiento cultural que fusionó el Neo-Confucionismo con la estética clásica y nuevas innovaciones.</w:t>
      </w:r>
    </w:p>
    <w:p w:rsidR="00FA16F4" w:rsidRPr="00C7293D" w:rsidRDefault="00FA16F4" w:rsidP="00C7293D">
      <w:pPr>
        <w:spacing w:line="480" w:lineRule="auto"/>
      </w:pPr>
      <w:r>
        <w:rPr>
          <w:noProof/>
        </w:rPr>
        <w:lastRenderedPageBreak/>
        <w:drawing>
          <wp:inline distT="0" distB="0" distL="0" distR="0">
            <wp:extent cx="2074985" cy="1471918"/>
            <wp:effectExtent l="0" t="0" r="0" b="1905"/>
            <wp:docPr id="1324977497" name="Imagen 2" descr="La influencia del taoismo en el arte zen | ttamay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influencia del taoismo en el arte zen | ttamayo.co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2993" cy="1484692"/>
                    </a:xfrm>
                    <a:prstGeom prst="rect">
                      <a:avLst/>
                    </a:prstGeom>
                    <a:noFill/>
                    <a:ln>
                      <a:noFill/>
                    </a:ln>
                  </pic:spPr>
                </pic:pic>
              </a:graphicData>
            </a:graphic>
          </wp:inline>
        </w:drawing>
      </w:r>
    </w:p>
    <w:p w:rsidR="00C7293D" w:rsidRPr="00C7293D" w:rsidRDefault="00C7293D" w:rsidP="00C7293D">
      <w:pPr>
        <w:spacing w:line="480" w:lineRule="auto"/>
      </w:pPr>
      <w:r w:rsidRPr="00C7293D">
        <w:t>La importancia de la pintura oriental radica en su arraigo en las tradiciones filosóficas y espirituales de cada región.</w:t>
      </w:r>
      <w:r w:rsidR="008E442E">
        <w:rPr>
          <w:rStyle w:val="Refdenotaalfinal"/>
        </w:rPr>
        <w:endnoteReference w:id="5"/>
      </w:r>
      <w:r w:rsidRPr="00C7293D">
        <w:t xml:space="preserve"> Las tres grandes ramas de la pintura oriental, Taoísta, Confuciana y Budista, reflejan la interconexión entre arte, filosofía y espiritualidad.</w:t>
      </w:r>
      <w:r w:rsidR="00FA16F4">
        <w:rPr>
          <w:rStyle w:val="Refdenotaalfinal"/>
        </w:rPr>
        <w:endnoteReference w:id="6"/>
      </w:r>
      <w:r w:rsidRPr="00C7293D">
        <w:t xml:space="preserve"> La pintura es más que una representación visual; es una manifestación de la relación entre el individuo y la naturaleza, profundamente arraigada en la filosofía oriental que busca la negación del individualismo como camino hacia la perfección y la felicidad espiritual.</w:t>
      </w:r>
    </w:p>
    <w:p w:rsidR="00C7293D" w:rsidRPr="00C7293D" w:rsidRDefault="00C7293D" w:rsidP="00C7293D">
      <w:pPr>
        <w:spacing w:line="480" w:lineRule="auto"/>
      </w:pPr>
      <w:r w:rsidRPr="00C7293D">
        <w:t>El legado de la pintura oriental es palpable en la influencia del taoísmo en la cultura china. Esta filosofía ha permeado todos los niveles de la sociedad, dejando su marca en el arte, la literatura, la ciencia y otras manifestaciones culturales. La pintura china, en su relación macroscópica, está entrelazada con otras formas de arte, estableciendo una conexión profunda entre la creación humana y la naturaleza. En su estructura microscópica, la pintura oriental revela la relación entre lo tangible y lo invisible, lo concreto y lo abstracto, estableciendo una conexión intensa y orgánica entre los instrumentos de trabajo, la ejecución técnica y la percepción del pensamiento y la obra.</w:t>
      </w:r>
    </w:p>
    <w:p w:rsidR="00C7293D" w:rsidRPr="00C7293D" w:rsidRDefault="00C7293D" w:rsidP="00C7293D">
      <w:pPr>
        <w:spacing w:line="480" w:lineRule="auto"/>
      </w:pPr>
      <w:r w:rsidRPr="00C7293D">
        <w:t xml:space="preserve">En conclusión, la pintura oriental es un tesoro artístico que abarca siglos de evolución cultural, política y filosófica. La diversidad en el color, la forma y el estilo de la pintura china, japonesa y coreana refleja la riqueza de las sociedades que las han nutrido. Desde los paisajes chinos hasta las pinturas en rollos japonesas y la pintura abstracta coreana, </w:t>
      </w:r>
      <w:r w:rsidRPr="00C7293D">
        <w:lastRenderedPageBreak/>
        <w:t>cada forma de expresión deja una huella única en el lienzo de la historia del arte oriental. La importancia de la pintura oriental radica en su arraigo en las tradiciones filosóficas y espirituales, y su legado perdura como una manifestación viva de la conexión entre el individuo, la sociedad y la naturaleza.</w:t>
      </w:r>
    </w:p>
    <w:p w:rsidR="00C7293D" w:rsidRDefault="00C7293D" w:rsidP="00C7293D">
      <w:pPr>
        <w:spacing w:line="480" w:lineRule="auto"/>
      </w:pPr>
    </w:p>
    <w:p w:rsidR="00C7293D" w:rsidRDefault="00C7293D" w:rsidP="00C7293D">
      <w:pPr>
        <w:spacing w:line="480" w:lineRule="auto"/>
      </w:pPr>
    </w:p>
    <w:p w:rsidR="00FA16F4" w:rsidRDefault="00FA16F4" w:rsidP="00C7293D">
      <w:pPr>
        <w:spacing w:line="480" w:lineRule="auto"/>
      </w:pPr>
    </w:p>
    <w:p w:rsidR="00FA16F4" w:rsidRDefault="00FA16F4" w:rsidP="00C7293D">
      <w:pPr>
        <w:spacing w:line="480" w:lineRule="auto"/>
      </w:pPr>
    </w:p>
    <w:p w:rsidR="00FA16F4" w:rsidRDefault="00FA16F4" w:rsidP="00C7293D">
      <w:pPr>
        <w:spacing w:line="480" w:lineRule="auto"/>
      </w:pPr>
    </w:p>
    <w:p w:rsidR="00FA16F4" w:rsidRDefault="00FA16F4" w:rsidP="00C7293D">
      <w:pPr>
        <w:spacing w:line="480" w:lineRule="auto"/>
      </w:pPr>
    </w:p>
    <w:p w:rsidR="00FA16F4" w:rsidRPr="00FA16F4" w:rsidRDefault="00FA16F4" w:rsidP="00FA16F4">
      <w:pPr>
        <w:spacing w:line="480" w:lineRule="auto"/>
      </w:pPr>
      <w:r>
        <w:t>Bibliografía</w:t>
      </w:r>
    </w:p>
    <w:sectPr w:rsidR="00FA16F4" w:rsidRPr="00FA16F4">
      <w:footerReference w:type="even" r:id="rId10"/>
      <w:footerReference w:type="default" r:id="rId11"/>
      <w:endnotePr>
        <w:numFmt w:val="decimal"/>
      </w:endnotePr>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662DB" w:rsidRDefault="007662DB" w:rsidP="00C7293D">
      <w:r>
        <w:separator/>
      </w:r>
    </w:p>
  </w:endnote>
  <w:endnote w:type="continuationSeparator" w:id="0">
    <w:p w:rsidR="007662DB" w:rsidRDefault="007662DB" w:rsidP="00C7293D">
      <w:r>
        <w:continuationSeparator/>
      </w:r>
    </w:p>
  </w:endnote>
  <w:endnote w:id="1">
    <w:p w:rsidR="00C7293D" w:rsidRPr="00C7293D" w:rsidRDefault="00C7293D">
      <w:pPr>
        <w:pStyle w:val="Textonotaalfinal"/>
        <w:rPr>
          <w:lang w:val="es-ES_tradnl"/>
        </w:rPr>
      </w:pPr>
      <w:r>
        <w:rPr>
          <w:rStyle w:val="Refdenotaalfinal"/>
        </w:rPr>
        <w:endnoteRef/>
      </w:r>
      <w:r>
        <w:t xml:space="preserve"> </w:t>
      </w:r>
      <w:r>
        <w:rPr>
          <w:rFonts w:ascii="Arial" w:hAnsi="Arial" w:cs="Arial"/>
          <w:color w:val="000000"/>
          <w:sz w:val="18"/>
          <w:szCs w:val="18"/>
        </w:rPr>
        <w:t>Marambio de la Fuente, Matías. (2015). Cultura de la resistencia y estética del deterioro: Marta Traba y la articulación conceptual de la crítica artística latinoamericana. </w:t>
      </w:r>
      <w:proofErr w:type="spellStart"/>
      <w:r>
        <w:rPr>
          <w:rFonts w:ascii="Arial" w:hAnsi="Arial" w:cs="Arial"/>
          <w:i/>
          <w:iCs/>
          <w:color w:val="000000"/>
          <w:sz w:val="18"/>
          <w:szCs w:val="18"/>
        </w:rPr>
        <w:t>Aisthesis</w:t>
      </w:r>
      <w:proofErr w:type="spellEnd"/>
      <w:r>
        <w:rPr>
          <w:rFonts w:ascii="Arial" w:hAnsi="Arial" w:cs="Arial"/>
          <w:color w:val="000000"/>
          <w:sz w:val="18"/>
          <w:szCs w:val="18"/>
        </w:rPr>
        <w:t>, (57), 143-164. </w:t>
      </w:r>
      <w:hyperlink r:id="rId1" w:history="1">
        <w:r>
          <w:rPr>
            <w:rStyle w:val="Hipervnculo"/>
            <w:rFonts w:ascii="Arial" w:hAnsi="Arial" w:cs="Arial"/>
            <w:color w:val="555555"/>
            <w:sz w:val="18"/>
            <w:szCs w:val="18"/>
          </w:rPr>
          <w:t>https://dx.doi.org/10.4067/S0718-71812015000100008</w:t>
        </w:r>
      </w:hyperlink>
    </w:p>
  </w:endnote>
  <w:endnote w:id="2">
    <w:p w:rsidR="008E442E" w:rsidRPr="008E442E" w:rsidRDefault="008E442E">
      <w:pPr>
        <w:pStyle w:val="Textonotaalfinal"/>
        <w:rPr>
          <w:lang w:val="es-ES_tradnl"/>
        </w:rPr>
      </w:pPr>
      <w:r>
        <w:rPr>
          <w:rStyle w:val="Refdenotaalfinal"/>
        </w:rPr>
        <w:endnoteRef/>
      </w:r>
      <w:r>
        <w:t xml:space="preserve"> </w:t>
      </w:r>
      <w:r w:rsidRPr="008E442E">
        <w:t xml:space="preserve">Camarena Adame, M. E., &amp; Tunal Santiago, G.  (2009). LA RELIGIÓN COMO UNA DIMENSIÓN DE LA CULTURA. Nómadas. </w:t>
      </w:r>
      <w:proofErr w:type="spellStart"/>
      <w:r w:rsidRPr="008E442E">
        <w:t>Critical</w:t>
      </w:r>
      <w:proofErr w:type="spellEnd"/>
      <w:r w:rsidRPr="008E442E">
        <w:t xml:space="preserve"> </w:t>
      </w:r>
      <w:proofErr w:type="spellStart"/>
      <w:r w:rsidRPr="008E442E">
        <w:t>Journal</w:t>
      </w:r>
      <w:proofErr w:type="spellEnd"/>
      <w:r w:rsidRPr="008E442E">
        <w:t xml:space="preserve"> </w:t>
      </w:r>
      <w:proofErr w:type="spellStart"/>
      <w:r w:rsidRPr="008E442E">
        <w:t>of</w:t>
      </w:r>
      <w:proofErr w:type="spellEnd"/>
      <w:r w:rsidRPr="008E442E">
        <w:t xml:space="preserve"> Social and </w:t>
      </w:r>
      <w:proofErr w:type="spellStart"/>
      <w:r w:rsidRPr="008E442E">
        <w:t>Juridical</w:t>
      </w:r>
      <w:proofErr w:type="spellEnd"/>
      <w:r w:rsidRPr="008E442E">
        <w:t xml:space="preserve"> </w:t>
      </w:r>
      <w:proofErr w:type="spellStart"/>
      <w:r w:rsidRPr="008E442E">
        <w:t>Sciences</w:t>
      </w:r>
      <w:proofErr w:type="spellEnd"/>
      <w:r w:rsidRPr="008E442E">
        <w:t>, 22(2), 1-15.</w:t>
      </w:r>
    </w:p>
  </w:endnote>
  <w:endnote w:id="3">
    <w:p w:rsidR="008E442E" w:rsidRPr="008E442E" w:rsidRDefault="008E442E" w:rsidP="008E442E">
      <w:pPr>
        <w:pStyle w:val="Textonotaalfinal"/>
      </w:pPr>
      <w:r>
        <w:rPr>
          <w:rStyle w:val="Refdenotaalfinal"/>
        </w:rPr>
        <w:endnoteRef/>
      </w:r>
      <w:r>
        <w:t xml:space="preserve"> </w:t>
      </w:r>
      <w:r w:rsidRPr="008E442E">
        <w:t xml:space="preserve">López-Múgica, J.. (2022). La contemporaneidad transcultural de la pintura de Juan Baños en China. </w:t>
      </w:r>
      <w:r w:rsidRPr="008E442E">
        <w:rPr>
          <w:i/>
          <w:iCs/>
        </w:rPr>
        <w:t>Trans/</w:t>
      </w:r>
      <w:proofErr w:type="spellStart"/>
      <w:r w:rsidRPr="008E442E">
        <w:rPr>
          <w:i/>
          <w:iCs/>
        </w:rPr>
        <w:t>form</w:t>
      </w:r>
      <w:proofErr w:type="spellEnd"/>
      <w:r w:rsidRPr="008E442E">
        <w:rPr>
          <w:i/>
          <w:iCs/>
        </w:rPr>
        <w:t>/</w:t>
      </w:r>
      <w:proofErr w:type="spellStart"/>
      <w:r w:rsidRPr="008E442E">
        <w:rPr>
          <w:i/>
          <w:iCs/>
        </w:rPr>
        <w:t>ação</w:t>
      </w:r>
      <w:proofErr w:type="spellEnd"/>
      <w:r w:rsidRPr="008E442E">
        <w:t xml:space="preserve">, </w:t>
      </w:r>
      <w:r w:rsidRPr="008E442E">
        <w:rPr>
          <w:i/>
          <w:iCs/>
        </w:rPr>
        <w:t>45</w:t>
      </w:r>
      <w:r w:rsidRPr="008E442E">
        <w:t>(spe2), 101–124. https://doi.org/10.1590/0101-3173.2022.v45esp2.p101</w:t>
      </w:r>
    </w:p>
    <w:p w:rsidR="008E442E" w:rsidRPr="008E442E" w:rsidRDefault="008E442E">
      <w:pPr>
        <w:pStyle w:val="Textonotaalfinal"/>
        <w:rPr>
          <w:lang w:val="es-ES_tradnl"/>
        </w:rPr>
      </w:pPr>
    </w:p>
  </w:endnote>
  <w:endnote w:id="4">
    <w:p w:rsidR="008E442E" w:rsidRPr="008E442E" w:rsidRDefault="008E442E">
      <w:pPr>
        <w:pStyle w:val="Textonotaalfinal"/>
        <w:rPr>
          <w:lang w:val="es-ES_tradnl"/>
        </w:rPr>
      </w:pPr>
      <w:r>
        <w:rPr>
          <w:rStyle w:val="Refdenotaalfinal"/>
        </w:rPr>
        <w:endnoteRef/>
      </w:r>
      <w:r>
        <w:t xml:space="preserve"> </w:t>
      </w:r>
      <w:r>
        <w:rPr>
          <w:rFonts w:ascii="Arial" w:hAnsi="Arial" w:cs="Arial"/>
          <w:color w:val="000000"/>
          <w:sz w:val="18"/>
          <w:szCs w:val="18"/>
        </w:rPr>
        <w:t>Arellano, Leandro. (2016). Sociedad y cultura en la República de Corea. </w:t>
      </w:r>
      <w:r>
        <w:rPr>
          <w:rFonts w:ascii="Arial" w:hAnsi="Arial" w:cs="Arial"/>
          <w:i/>
          <w:iCs/>
          <w:color w:val="000000"/>
          <w:sz w:val="18"/>
          <w:szCs w:val="18"/>
        </w:rPr>
        <w:t>México y la cuenca del pacífico</w:t>
      </w:r>
      <w:r>
        <w:rPr>
          <w:rFonts w:ascii="Arial" w:hAnsi="Arial" w:cs="Arial"/>
          <w:color w:val="000000"/>
          <w:sz w:val="18"/>
          <w:szCs w:val="18"/>
        </w:rPr>
        <w:t>, </w:t>
      </w:r>
      <w:r>
        <w:rPr>
          <w:rFonts w:ascii="Arial" w:hAnsi="Arial" w:cs="Arial"/>
          <w:i/>
          <w:iCs/>
          <w:color w:val="000000"/>
          <w:sz w:val="18"/>
          <w:szCs w:val="18"/>
        </w:rPr>
        <w:t>5</w:t>
      </w:r>
      <w:r>
        <w:rPr>
          <w:rFonts w:ascii="Arial" w:hAnsi="Arial" w:cs="Arial"/>
          <w:color w:val="000000"/>
          <w:sz w:val="18"/>
          <w:szCs w:val="18"/>
        </w:rPr>
        <w:t>(15), 13-22. Recuperado en 12 de diciembre de 2023, de http://www.scielo.org.mx/scielo.php?script=sci_arttext&amp;pid=S2007-53082016000300013&amp;lng=es&amp;tlng=es.</w:t>
      </w:r>
    </w:p>
  </w:endnote>
  <w:endnote w:id="5">
    <w:p w:rsidR="008E442E" w:rsidRPr="008E442E" w:rsidRDefault="008E442E">
      <w:pPr>
        <w:pStyle w:val="Textonotaalfinal"/>
        <w:rPr>
          <w:lang w:val="es-ES_tradnl"/>
        </w:rPr>
      </w:pPr>
      <w:r>
        <w:rPr>
          <w:rStyle w:val="Refdenotaalfinal"/>
        </w:rPr>
        <w:endnoteRef/>
      </w:r>
      <w:r>
        <w:t xml:space="preserve"> </w:t>
      </w:r>
      <w:r w:rsidRPr="008E442E">
        <w:t>http://hdl.handle.net/10803/290270</w:t>
      </w:r>
    </w:p>
  </w:endnote>
  <w:endnote w:id="6">
    <w:p w:rsidR="00FA16F4" w:rsidRPr="00FA16F4" w:rsidRDefault="00FA16F4">
      <w:pPr>
        <w:pStyle w:val="Textonotaalfinal"/>
        <w:rPr>
          <w:lang w:val="es-ES_tradnl"/>
        </w:rPr>
      </w:pPr>
      <w:r>
        <w:rPr>
          <w:rStyle w:val="Refdenotaalfinal"/>
        </w:rPr>
        <w:endnoteRef/>
      </w:r>
      <w:r>
        <w:t xml:space="preserve"> </w:t>
      </w:r>
      <w:r>
        <w:rPr>
          <w:lang w:val="es-ES_tradnl"/>
        </w:rPr>
        <w:t xml:space="preserve">Polo, Miguel A. (2021). </w:t>
      </w:r>
      <w:r>
        <w:t>Tres concepciones asiáticas de la virtud y del término medio</w:t>
      </w:r>
      <w:r>
        <w:t xml:space="preserve">. </w:t>
      </w:r>
      <w:r>
        <w:t xml:space="preserve">Universidad Nacional Mayor de San Marcos (Perú) </w:t>
      </w:r>
      <w:hyperlink r:id="rId2" w:history="1">
        <w:r w:rsidRPr="001428AE">
          <w:rPr>
            <w:rStyle w:val="Hipervnculo"/>
          </w:rPr>
          <w:t>mpolos1@unmsm.edu.pe</w:t>
        </w:r>
      </w:hyperlink>
      <w:r>
        <w:t xml:space="preserve">. </w:t>
      </w:r>
      <w:r>
        <w:t xml:space="preserve">VERITAS, </w:t>
      </w:r>
      <w:proofErr w:type="spellStart"/>
      <w:r>
        <w:t>Nº</w:t>
      </w:r>
      <w:proofErr w:type="spellEnd"/>
      <w:r>
        <w:t xml:space="preserve"> 49 (agosto 2021) 9-30</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582036340"/>
      <w:docPartObj>
        <w:docPartGallery w:val="Page Numbers (Bottom of Page)"/>
        <w:docPartUnique/>
      </w:docPartObj>
    </w:sdtPr>
    <w:sdtContent>
      <w:p w:rsidR="00FA16F4" w:rsidRDefault="00FA16F4" w:rsidP="001428AE">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rsidR="00FA16F4" w:rsidRDefault="00FA16F4" w:rsidP="00FA16F4">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404111858"/>
      <w:docPartObj>
        <w:docPartGallery w:val="Page Numbers (Bottom of Page)"/>
        <w:docPartUnique/>
      </w:docPartObj>
    </w:sdtPr>
    <w:sdtContent>
      <w:p w:rsidR="00FA16F4" w:rsidRDefault="00FA16F4" w:rsidP="001428AE">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rsidR="00FA16F4" w:rsidRDefault="00FA16F4" w:rsidP="00FA16F4">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662DB" w:rsidRDefault="007662DB" w:rsidP="00C7293D">
      <w:r>
        <w:separator/>
      </w:r>
    </w:p>
  </w:footnote>
  <w:footnote w:type="continuationSeparator" w:id="0">
    <w:p w:rsidR="007662DB" w:rsidRDefault="007662DB" w:rsidP="00C729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08"/>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5657"/>
    <w:rsid w:val="00195657"/>
    <w:rsid w:val="007662DB"/>
    <w:rsid w:val="008E442E"/>
    <w:rsid w:val="00C7293D"/>
    <w:rsid w:val="00FA16F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ecimalSymbol w:val=","/>
  <w:listSeparator w:val=";"/>
  <w14:docId w14:val="334AE88D"/>
  <w15:chartTrackingRefBased/>
  <w15:docId w15:val="{CD9A0633-13A7-7048-8468-AD824E873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C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293D"/>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195657"/>
    <w:pPr>
      <w:spacing w:before="100" w:beforeAutospacing="1" w:after="100" w:afterAutospacing="1"/>
    </w:pPr>
    <w:rPr>
      <w:rFonts w:ascii="Times New Roman" w:eastAsia="Times New Roman" w:hAnsi="Times New Roman" w:cs="Times New Roman"/>
      <w:kern w:val="0"/>
      <w:lang w:eastAsia="es-MX"/>
      <w14:ligatures w14:val="none"/>
    </w:rPr>
  </w:style>
  <w:style w:type="character" w:styleId="Textoennegrita">
    <w:name w:val="Strong"/>
    <w:basedOn w:val="Fuentedeprrafopredeter"/>
    <w:uiPriority w:val="22"/>
    <w:qFormat/>
    <w:rsid w:val="00195657"/>
    <w:rPr>
      <w:b/>
      <w:bCs/>
    </w:rPr>
  </w:style>
  <w:style w:type="paragraph" w:styleId="Textonotaalfinal">
    <w:name w:val="endnote text"/>
    <w:basedOn w:val="Normal"/>
    <w:link w:val="TextonotaalfinalCar"/>
    <w:uiPriority w:val="99"/>
    <w:semiHidden/>
    <w:unhideWhenUsed/>
    <w:rsid w:val="00C7293D"/>
    <w:rPr>
      <w:sz w:val="20"/>
      <w:szCs w:val="20"/>
    </w:rPr>
  </w:style>
  <w:style w:type="character" w:customStyle="1" w:styleId="TextonotaalfinalCar">
    <w:name w:val="Texto nota al final Car"/>
    <w:basedOn w:val="Fuentedeprrafopredeter"/>
    <w:link w:val="Textonotaalfinal"/>
    <w:uiPriority w:val="99"/>
    <w:semiHidden/>
    <w:rsid w:val="00C7293D"/>
    <w:rPr>
      <w:sz w:val="20"/>
      <w:szCs w:val="20"/>
    </w:rPr>
  </w:style>
  <w:style w:type="character" w:styleId="Refdenotaalfinal">
    <w:name w:val="endnote reference"/>
    <w:basedOn w:val="Fuentedeprrafopredeter"/>
    <w:uiPriority w:val="99"/>
    <w:semiHidden/>
    <w:unhideWhenUsed/>
    <w:rsid w:val="00C7293D"/>
    <w:rPr>
      <w:vertAlign w:val="superscript"/>
    </w:rPr>
  </w:style>
  <w:style w:type="character" w:styleId="Hipervnculo">
    <w:name w:val="Hyperlink"/>
    <w:basedOn w:val="Fuentedeprrafopredeter"/>
    <w:uiPriority w:val="99"/>
    <w:unhideWhenUsed/>
    <w:rsid w:val="00C7293D"/>
    <w:rPr>
      <w:color w:val="0000FF"/>
      <w:u w:val="single"/>
    </w:rPr>
  </w:style>
  <w:style w:type="paragraph" w:styleId="HTMLconformatoprevio">
    <w:name w:val="HTML Preformatted"/>
    <w:basedOn w:val="Normal"/>
    <w:link w:val="HTMLconformatoprevioCar"/>
    <w:uiPriority w:val="99"/>
    <w:semiHidden/>
    <w:unhideWhenUsed/>
    <w:rsid w:val="008E442E"/>
    <w:rPr>
      <w:rFonts w:ascii="Consolas" w:hAnsi="Consolas" w:cs="Consolas"/>
      <w:sz w:val="20"/>
      <w:szCs w:val="20"/>
    </w:rPr>
  </w:style>
  <w:style w:type="character" w:customStyle="1" w:styleId="HTMLconformatoprevioCar">
    <w:name w:val="HTML con formato previo Car"/>
    <w:basedOn w:val="Fuentedeprrafopredeter"/>
    <w:link w:val="HTMLconformatoprevio"/>
    <w:uiPriority w:val="99"/>
    <w:semiHidden/>
    <w:rsid w:val="008E442E"/>
    <w:rPr>
      <w:rFonts w:ascii="Consolas" w:hAnsi="Consolas" w:cs="Consolas"/>
      <w:sz w:val="20"/>
      <w:szCs w:val="20"/>
    </w:rPr>
  </w:style>
  <w:style w:type="character" w:styleId="Mencinsinresolver">
    <w:name w:val="Unresolved Mention"/>
    <w:basedOn w:val="Fuentedeprrafopredeter"/>
    <w:uiPriority w:val="99"/>
    <w:semiHidden/>
    <w:unhideWhenUsed/>
    <w:rsid w:val="00FA16F4"/>
    <w:rPr>
      <w:color w:val="605E5C"/>
      <w:shd w:val="clear" w:color="auto" w:fill="E1DFDD"/>
    </w:rPr>
  </w:style>
  <w:style w:type="paragraph" w:styleId="Piedepgina">
    <w:name w:val="footer"/>
    <w:basedOn w:val="Normal"/>
    <w:link w:val="PiedepginaCar"/>
    <w:uiPriority w:val="99"/>
    <w:unhideWhenUsed/>
    <w:rsid w:val="00FA16F4"/>
    <w:pPr>
      <w:tabs>
        <w:tab w:val="center" w:pos="4419"/>
        <w:tab w:val="right" w:pos="8838"/>
      </w:tabs>
    </w:pPr>
  </w:style>
  <w:style w:type="character" w:customStyle="1" w:styleId="PiedepginaCar">
    <w:name w:val="Pie de página Car"/>
    <w:basedOn w:val="Fuentedeprrafopredeter"/>
    <w:link w:val="Piedepgina"/>
    <w:uiPriority w:val="99"/>
    <w:rsid w:val="00FA16F4"/>
  </w:style>
  <w:style w:type="character" w:styleId="Nmerodepgina">
    <w:name w:val="page number"/>
    <w:basedOn w:val="Fuentedeprrafopredeter"/>
    <w:uiPriority w:val="99"/>
    <w:semiHidden/>
    <w:unhideWhenUsed/>
    <w:rsid w:val="00FA16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227079">
      <w:bodyDiv w:val="1"/>
      <w:marLeft w:val="0"/>
      <w:marRight w:val="0"/>
      <w:marTop w:val="0"/>
      <w:marBottom w:val="0"/>
      <w:divBdr>
        <w:top w:val="none" w:sz="0" w:space="0" w:color="auto"/>
        <w:left w:val="none" w:sz="0" w:space="0" w:color="auto"/>
        <w:bottom w:val="none" w:sz="0" w:space="0" w:color="auto"/>
        <w:right w:val="none" w:sz="0" w:space="0" w:color="auto"/>
      </w:divBdr>
    </w:div>
    <w:div w:id="417603835">
      <w:bodyDiv w:val="1"/>
      <w:marLeft w:val="0"/>
      <w:marRight w:val="0"/>
      <w:marTop w:val="0"/>
      <w:marBottom w:val="0"/>
      <w:divBdr>
        <w:top w:val="none" w:sz="0" w:space="0" w:color="auto"/>
        <w:left w:val="none" w:sz="0" w:space="0" w:color="auto"/>
        <w:bottom w:val="none" w:sz="0" w:space="0" w:color="auto"/>
        <w:right w:val="none" w:sz="0" w:space="0" w:color="auto"/>
      </w:divBdr>
    </w:div>
    <w:div w:id="499391232">
      <w:bodyDiv w:val="1"/>
      <w:marLeft w:val="0"/>
      <w:marRight w:val="0"/>
      <w:marTop w:val="0"/>
      <w:marBottom w:val="0"/>
      <w:divBdr>
        <w:top w:val="none" w:sz="0" w:space="0" w:color="auto"/>
        <w:left w:val="none" w:sz="0" w:space="0" w:color="auto"/>
        <w:bottom w:val="none" w:sz="0" w:space="0" w:color="auto"/>
        <w:right w:val="none" w:sz="0" w:space="0" w:color="auto"/>
      </w:divBdr>
    </w:div>
    <w:div w:id="527833960">
      <w:bodyDiv w:val="1"/>
      <w:marLeft w:val="0"/>
      <w:marRight w:val="0"/>
      <w:marTop w:val="0"/>
      <w:marBottom w:val="0"/>
      <w:divBdr>
        <w:top w:val="none" w:sz="0" w:space="0" w:color="auto"/>
        <w:left w:val="none" w:sz="0" w:space="0" w:color="auto"/>
        <w:bottom w:val="none" w:sz="0" w:space="0" w:color="auto"/>
        <w:right w:val="none" w:sz="0" w:space="0" w:color="auto"/>
      </w:divBdr>
    </w:div>
    <w:div w:id="624778053">
      <w:bodyDiv w:val="1"/>
      <w:marLeft w:val="0"/>
      <w:marRight w:val="0"/>
      <w:marTop w:val="0"/>
      <w:marBottom w:val="0"/>
      <w:divBdr>
        <w:top w:val="none" w:sz="0" w:space="0" w:color="auto"/>
        <w:left w:val="none" w:sz="0" w:space="0" w:color="auto"/>
        <w:bottom w:val="none" w:sz="0" w:space="0" w:color="auto"/>
        <w:right w:val="none" w:sz="0" w:space="0" w:color="auto"/>
      </w:divBdr>
    </w:div>
    <w:div w:id="742141639">
      <w:bodyDiv w:val="1"/>
      <w:marLeft w:val="0"/>
      <w:marRight w:val="0"/>
      <w:marTop w:val="0"/>
      <w:marBottom w:val="0"/>
      <w:divBdr>
        <w:top w:val="none" w:sz="0" w:space="0" w:color="auto"/>
        <w:left w:val="none" w:sz="0" w:space="0" w:color="auto"/>
        <w:bottom w:val="none" w:sz="0" w:space="0" w:color="auto"/>
        <w:right w:val="none" w:sz="0" w:space="0" w:color="auto"/>
      </w:divBdr>
    </w:div>
    <w:div w:id="796528296">
      <w:bodyDiv w:val="1"/>
      <w:marLeft w:val="0"/>
      <w:marRight w:val="0"/>
      <w:marTop w:val="0"/>
      <w:marBottom w:val="0"/>
      <w:divBdr>
        <w:top w:val="none" w:sz="0" w:space="0" w:color="auto"/>
        <w:left w:val="none" w:sz="0" w:space="0" w:color="auto"/>
        <w:bottom w:val="none" w:sz="0" w:space="0" w:color="auto"/>
        <w:right w:val="none" w:sz="0" w:space="0" w:color="auto"/>
      </w:divBdr>
    </w:div>
    <w:div w:id="1032651190">
      <w:bodyDiv w:val="1"/>
      <w:marLeft w:val="0"/>
      <w:marRight w:val="0"/>
      <w:marTop w:val="0"/>
      <w:marBottom w:val="0"/>
      <w:divBdr>
        <w:top w:val="none" w:sz="0" w:space="0" w:color="auto"/>
        <w:left w:val="none" w:sz="0" w:space="0" w:color="auto"/>
        <w:bottom w:val="none" w:sz="0" w:space="0" w:color="auto"/>
        <w:right w:val="none" w:sz="0" w:space="0" w:color="auto"/>
      </w:divBdr>
    </w:div>
    <w:div w:id="1320571478">
      <w:bodyDiv w:val="1"/>
      <w:marLeft w:val="0"/>
      <w:marRight w:val="0"/>
      <w:marTop w:val="0"/>
      <w:marBottom w:val="0"/>
      <w:divBdr>
        <w:top w:val="none" w:sz="0" w:space="0" w:color="auto"/>
        <w:left w:val="none" w:sz="0" w:space="0" w:color="auto"/>
        <w:bottom w:val="none" w:sz="0" w:space="0" w:color="auto"/>
        <w:right w:val="none" w:sz="0" w:space="0" w:color="auto"/>
      </w:divBdr>
    </w:div>
    <w:div w:id="1463302235">
      <w:bodyDiv w:val="1"/>
      <w:marLeft w:val="0"/>
      <w:marRight w:val="0"/>
      <w:marTop w:val="0"/>
      <w:marBottom w:val="0"/>
      <w:divBdr>
        <w:top w:val="none" w:sz="0" w:space="0" w:color="auto"/>
        <w:left w:val="none" w:sz="0" w:space="0" w:color="auto"/>
        <w:bottom w:val="none" w:sz="0" w:space="0" w:color="auto"/>
        <w:right w:val="none" w:sz="0" w:space="0" w:color="auto"/>
      </w:divBdr>
    </w:div>
    <w:div w:id="1556156972">
      <w:bodyDiv w:val="1"/>
      <w:marLeft w:val="0"/>
      <w:marRight w:val="0"/>
      <w:marTop w:val="0"/>
      <w:marBottom w:val="0"/>
      <w:divBdr>
        <w:top w:val="none" w:sz="0" w:space="0" w:color="auto"/>
        <w:left w:val="none" w:sz="0" w:space="0" w:color="auto"/>
        <w:bottom w:val="none" w:sz="0" w:space="0" w:color="auto"/>
        <w:right w:val="none" w:sz="0" w:space="0" w:color="auto"/>
      </w:divBdr>
    </w:div>
    <w:div w:id="1658605776">
      <w:bodyDiv w:val="1"/>
      <w:marLeft w:val="0"/>
      <w:marRight w:val="0"/>
      <w:marTop w:val="0"/>
      <w:marBottom w:val="0"/>
      <w:divBdr>
        <w:top w:val="none" w:sz="0" w:space="0" w:color="auto"/>
        <w:left w:val="none" w:sz="0" w:space="0" w:color="auto"/>
        <w:bottom w:val="none" w:sz="0" w:space="0" w:color="auto"/>
        <w:right w:val="none" w:sz="0" w:space="0" w:color="auto"/>
      </w:divBdr>
    </w:div>
    <w:div w:id="1772818359">
      <w:bodyDiv w:val="1"/>
      <w:marLeft w:val="0"/>
      <w:marRight w:val="0"/>
      <w:marTop w:val="0"/>
      <w:marBottom w:val="0"/>
      <w:divBdr>
        <w:top w:val="none" w:sz="0" w:space="0" w:color="auto"/>
        <w:left w:val="none" w:sz="0" w:space="0" w:color="auto"/>
        <w:bottom w:val="none" w:sz="0" w:space="0" w:color="auto"/>
        <w:right w:val="none" w:sz="0" w:space="0" w:color="auto"/>
      </w:divBdr>
    </w:div>
    <w:div w:id="1898317530">
      <w:bodyDiv w:val="1"/>
      <w:marLeft w:val="0"/>
      <w:marRight w:val="0"/>
      <w:marTop w:val="0"/>
      <w:marBottom w:val="0"/>
      <w:divBdr>
        <w:top w:val="none" w:sz="0" w:space="0" w:color="auto"/>
        <w:left w:val="none" w:sz="0" w:space="0" w:color="auto"/>
        <w:bottom w:val="none" w:sz="0" w:space="0" w:color="auto"/>
        <w:right w:val="none" w:sz="0" w:space="0" w:color="auto"/>
      </w:divBdr>
    </w:div>
    <w:div w:id="1951818205">
      <w:bodyDiv w:val="1"/>
      <w:marLeft w:val="0"/>
      <w:marRight w:val="0"/>
      <w:marTop w:val="0"/>
      <w:marBottom w:val="0"/>
      <w:divBdr>
        <w:top w:val="none" w:sz="0" w:space="0" w:color="auto"/>
        <w:left w:val="none" w:sz="0" w:space="0" w:color="auto"/>
        <w:bottom w:val="none" w:sz="0" w:space="0" w:color="auto"/>
        <w:right w:val="none" w:sz="0" w:space="0" w:color="auto"/>
      </w:divBdr>
    </w:div>
    <w:div w:id="1990934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_rels/endnotes.xml.rels><?xml version="1.0" encoding="UTF-8" standalone="yes"?>
<Relationships xmlns="http://schemas.openxmlformats.org/package/2006/relationships"><Relationship Id="rId2" Type="http://schemas.openxmlformats.org/officeDocument/2006/relationships/hyperlink" Target="mailto:mpolos1@unmsm.edu.pe" TargetMode="External"/><Relationship Id="rId1" Type="http://schemas.openxmlformats.org/officeDocument/2006/relationships/hyperlink" Target="https://dx.doi.org/10.4067/S0718-71812015000100008"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0833B4-C9DC-B742-9EBA-B609828E6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5</Pages>
  <Words>840</Words>
  <Characters>4625</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2023-12-12T13:41:00Z</dcterms:created>
  <dcterms:modified xsi:type="dcterms:W3CDTF">2023-12-12T14:21:00Z</dcterms:modified>
</cp:coreProperties>
</file>