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1D5C3" w14:textId="77777777" w:rsidR="00D17B00" w:rsidRDefault="00D17B00">
      <w:pPr>
        <w:pStyle w:val="Default"/>
        <w:rPr>
          <w:rFonts w:ascii="Arial" w:hAnsi="Arial" w:cs="Arial"/>
        </w:rPr>
      </w:pPr>
    </w:p>
    <w:p w14:paraId="1B926ED0" w14:textId="77777777" w:rsidR="00D17B00" w:rsidRDefault="00D17B00">
      <w:pPr>
        <w:pStyle w:val="Default"/>
        <w:jc w:val="center"/>
        <w:rPr>
          <w:rFonts w:ascii="Arial" w:hAnsi="Arial" w:cs="Arial"/>
          <w:sz w:val="32"/>
          <w:szCs w:val="32"/>
        </w:rPr>
      </w:pPr>
    </w:p>
    <w:p w14:paraId="5BB1D44A" w14:textId="77777777" w:rsidR="00D17B00" w:rsidRDefault="00D17B00">
      <w:pPr>
        <w:pStyle w:val="Default"/>
        <w:jc w:val="center"/>
        <w:rPr>
          <w:rFonts w:ascii="Arial" w:hAnsi="Arial" w:cs="Arial"/>
          <w:sz w:val="32"/>
          <w:szCs w:val="32"/>
        </w:rPr>
      </w:pPr>
    </w:p>
    <w:p w14:paraId="5029F399" w14:textId="77777777" w:rsidR="00D17B00" w:rsidRDefault="00D17B00">
      <w:pPr>
        <w:pStyle w:val="Default"/>
        <w:jc w:val="center"/>
        <w:rPr>
          <w:rFonts w:ascii="Arial" w:hAnsi="Arial" w:cs="Arial"/>
          <w:sz w:val="32"/>
          <w:szCs w:val="32"/>
        </w:rPr>
      </w:pPr>
    </w:p>
    <w:p w14:paraId="747310D1" w14:textId="664B2999" w:rsidR="00D17B00" w:rsidRDefault="00B65D09">
      <w:pPr>
        <w:pStyle w:val="Default"/>
        <w:jc w:val="center"/>
        <w:rPr>
          <w:rFonts w:ascii="Arial" w:hAnsi="Arial" w:cs="Arial"/>
          <w:b/>
          <w:sz w:val="40"/>
          <w:szCs w:val="40"/>
        </w:rPr>
      </w:pPr>
      <w:r>
        <w:rPr>
          <w:rFonts w:ascii="Arial" w:hAnsi="Arial" w:cs="Arial"/>
          <w:b/>
          <w:sz w:val="40"/>
          <w:szCs w:val="40"/>
        </w:rPr>
        <w:t>Y</w:t>
      </w:r>
      <w:r w:rsidR="00460EB1">
        <w:rPr>
          <w:rFonts w:ascii="Arial" w:hAnsi="Arial" w:cs="Arial"/>
          <w:b/>
          <w:sz w:val="40"/>
          <w:szCs w:val="40"/>
        </w:rPr>
        <w:t xml:space="preserve">vonne </w:t>
      </w:r>
      <w:proofErr w:type="spellStart"/>
      <w:r w:rsidR="00460EB1">
        <w:rPr>
          <w:rFonts w:ascii="Arial" w:hAnsi="Arial" w:cs="Arial"/>
          <w:b/>
          <w:sz w:val="40"/>
          <w:szCs w:val="40"/>
        </w:rPr>
        <w:t>Maumbe</w:t>
      </w:r>
      <w:proofErr w:type="spellEnd"/>
    </w:p>
    <w:p w14:paraId="7D5912C4" w14:textId="01FCD74E" w:rsidR="00D17B00" w:rsidRDefault="00460EB1">
      <w:pPr>
        <w:pStyle w:val="Default"/>
        <w:jc w:val="center"/>
        <w:rPr>
          <w:rFonts w:ascii="Arial" w:hAnsi="Arial" w:cs="Arial"/>
          <w:b/>
          <w:bCs/>
          <w:sz w:val="40"/>
          <w:szCs w:val="40"/>
        </w:rPr>
      </w:pPr>
      <w:r>
        <w:rPr>
          <w:rFonts w:ascii="Arial" w:hAnsi="Arial" w:cs="Arial"/>
          <w:b/>
          <w:bCs/>
          <w:sz w:val="40"/>
          <w:szCs w:val="40"/>
        </w:rPr>
        <w:t>a9UD82802</w:t>
      </w:r>
      <w:bookmarkStart w:id="0" w:name="_GoBack"/>
      <w:bookmarkEnd w:id="0"/>
    </w:p>
    <w:p w14:paraId="5D31D852" w14:textId="77777777" w:rsidR="00D17B00" w:rsidRDefault="00D17B00">
      <w:pPr>
        <w:pStyle w:val="Default"/>
        <w:jc w:val="center"/>
        <w:rPr>
          <w:rFonts w:ascii="Arial" w:hAnsi="Arial" w:cs="Arial"/>
          <w:b/>
          <w:bCs/>
          <w:sz w:val="40"/>
          <w:szCs w:val="40"/>
        </w:rPr>
      </w:pPr>
    </w:p>
    <w:p w14:paraId="5C44AA03" w14:textId="77777777" w:rsidR="00D17B00" w:rsidRDefault="00D17B00">
      <w:pPr>
        <w:pStyle w:val="Default"/>
        <w:jc w:val="center"/>
        <w:rPr>
          <w:rFonts w:ascii="Arial" w:hAnsi="Arial" w:cs="Arial"/>
          <w:b/>
          <w:bCs/>
          <w:sz w:val="40"/>
          <w:szCs w:val="40"/>
        </w:rPr>
      </w:pPr>
    </w:p>
    <w:p w14:paraId="513B2854" w14:textId="77777777" w:rsidR="00D17B00" w:rsidRDefault="00D17B00">
      <w:pPr>
        <w:pStyle w:val="Default"/>
        <w:jc w:val="center"/>
        <w:rPr>
          <w:rFonts w:ascii="Arial" w:hAnsi="Arial" w:cs="Arial"/>
          <w:b/>
          <w:bCs/>
          <w:sz w:val="40"/>
          <w:szCs w:val="40"/>
        </w:rPr>
      </w:pPr>
    </w:p>
    <w:p w14:paraId="6587064A" w14:textId="77777777" w:rsidR="00D17B00" w:rsidRDefault="00D17B00">
      <w:pPr>
        <w:pStyle w:val="Default"/>
        <w:jc w:val="center"/>
        <w:rPr>
          <w:rFonts w:ascii="Arial" w:hAnsi="Arial" w:cs="Arial"/>
          <w:b/>
          <w:bCs/>
          <w:sz w:val="40"/>
          <w:szCs w:val="40"/>
        </w:rPr>
      </w:pPr>
    </w:p>
    <w:p w14:paraId="080934AE" w14:textId="77777777" w:rsidR="00D17B00" w:rsidRDefault="00D17B00">
      <w:pPr>
        <w:pStyle w:val="Default"/>
        <w:jc w:val="center"/>
        <w:rPr>
          <w:rFonts w:ascii="Arial" w:hAnsi="Arial" w:cs="Arial"/>
          <w:b/>
          <w:bCs/>
          <w:sz w:val="40"/>
          <w:szCs w:val="40"/>
        </w:rPr>
      </w:pPr>
    </w:p>
    <w:p w14:paraId="6436AAFC" w14:textId="77777777" w:rsidR="00D17B00" w:rsidRDefault="00D17B00">
      <w:pPr>
        <w:pStyle w:val="Default"/>
        <w:jc w:val="center"/>
        <w:rPr>
          <w:rFonts w:ascii="Arial" w:hAnsi="Arial" w:cs="Arial"/>
          <w:sz w:val="40"/>
          <w:szCs w:val="40"/>
        </w:rPr>
      </w:pPr>
    </w:p>
    <w:p w14:paraId="204A7318" w14:textId="77777777" w:rsidR="00D17B00" w:rsidRDefault="00B65D09">
      <w:pPr>
        <w:pStyle w:val="Default"/>
        <w:jc w:val="center"/>
        <w:rPr>
          <w:rFonts w:ascii="Arial" w:hAnsi="Arial" w:cs="Arial"/>
          <w:sz w:val="40"/>
          <w:szCs w:val="40"/>
        </w:rPr>
      </w:pPr>
      <w:r>
        <w:rPr>
          <w:rFonts w:ascii="Arial" w:hAnsi="Arial" w:cs="Arial"/>
          <w:sz w:val="40"/>
          <w:szCs w:val="40"/>
        </w:rPr>
        <w:t>COURSE NAME:</w:t>
      </w:r>
    </w:p>
    <w:p w14:paraId="632E289F" w14:textId="26A87626" w:rsidR="00D17B00" w:rsidRDefault="00460EB1">
      <w:pPr>
        <w:pStyle w:val="Default"/>
        <w:jc w:val="center"/>
        <w:rPr>
          <w:rFonts w:ascii="Arial" w:hAnsi="Arial" w:cs="Arial"/>
          <w:b/>
          <w:sz w:val="40"/>
          <w:szCs w:val="40"/>
        </w:rPr>
      </w:pPr>
      <w:r>
        <w:rPr>
          <w:rFonts w:ascii="Arial" w:hAnsi="Arial" w:cs="Arial"/>
          <w:b/>
          <w:sz w:val="40"/>
          <w:szCs w:val="40"/>
        </w:rPr>
        <w:t>Advanced drug metabolism and Absorption</w:t>
      </w:r>
    </w:p>
    <w:p w14:paraId="7CD951D8" w14:textId="77777777" w:rsidR="00D17B00" w:rsidRDefault="00D17B00">
      <w:pPr>
        <w:pStyle w:val="Default"/>
        <w:jc w:val="center"/>
        <w:rPr>
          <w:rFonts w:ascii="Arial" w:hAnsi="Arial" w:cs="Arial"/>
          <w:sz w:val="40"/>
          <w:szCs w:val="40"/>
        </w:rPr>
      </w:pPr>
    </w:p>
    <w:p w14:paraId="3825D5DD" w14:textId="77777777" w:rsidR="00D17B00" w:rsidRDefault="00D17B00">
      <w:pPr>
        <w:pStyle w:val="Default"/>
        <w:jc w:val="center"/>
        <w:rPr>
          <w:rFonts w:ascii="Arial" w:hAnsi="Arial" w:cs="Arial"/>
          <w:sz w:val="40"/>
          <w:szCs w:val="40"/>
        </w:rPr>
      </w:pPr>
    </w:p>
    <w:p w14:paraId="1E8A45A5" w14:textId="77777777" w:rsidR="00D17B00" w:rsidRDefault="00D17B00">
      <w:pPr>
        <w:pStyle w:val="Default"/>
        <w:jc w:val="center"/>
        <w:rPr>
          <w:rFonts w:ascii="Arial" w:hAnsi="Arial" w:cs="Arial"/>
          <w:sz w:val="40"/>
          <w:szCs w:val="40"/>
        </w:rPr>
      </w:pPr>
    </w:p>
    <w:p w14:paraId="399E93EC" w14:textId="77777777" w:rsidR="00D17B00" w:rsidRDefault="00D17B00">
      <w:pPr>
        <w:pStyle w:val="Default"/>
        <w:jc w:val="center"/>
        <w:rPr>
          <w:rFonts w:ascii="Arial" w:hAnsi="Arial" w:cs="Arial"/>
          <w:sz w:val="40"/>
          <w:szCs w:val="40"/>
        </w:rPr>
      </w:pPr>
    </w:p>
    <w:p w14:paraId="139D9B6E" w14:textId="77777777" w:rsidR="00D17B00" w:rsidRDefault="00D17B00">
      <w:pPr>
        <w:pStyle w:val="Default"/>
        <w:jc w:val="center"/>
        <w:rPr>
          <w:rFonts w:ascii="Arial" w:hAnsi="Arial" w:cs="Arial"/>
          <w:sz w:val="40"/>
          <w:szCs w:val="40"/>
        </w:rPr>
      </w:pPr>
    </w:p>
    <w:p w14:paraId="20608482" w14:textId="77777777" w:rsidR="00D17B00" w:rsidRDefault="00D17B00">
      <w:pPr>
        <w:pStyle w:val="Default"/>
        <w:jc w:val="center"/>
        <w:rPr>
          <w:rFonts w:ascii="Arial" w:hAnsi="Arial" w:cs="Arial"/>
          <w:sz w:val="40"/>
          <w:szCs w:val="40"/>
        </w:rPr>
      </w:pPr>
    </w:p>
    <w:p w14:paraId="31C835E3" w14:textId="77777777" w:rsidR="00D17B00" w:rsidRDefault="00D17B00">
      <w:pPr>
        <w:pStyle w:val="Default"/>
        <w:jc w:val="center"/>
        <w:rPr>
          <w:rFonts w:ascii="Arial" w:hAnsi="Arial" w:cs="Arial"/>
          <w:sz w:val="40"/>
          <w:szCs w:val="40"/>
        </w:rPr>
      </w:pPr>
    </w:p>
    <w:p w14:paraId="68C803F4" w14:textId="77777777" w:rsidR="00D17B00" w:rsidRDefault="00D17B00">
      <w:pPr>
        <w:pStyle w:val="Default"/>
        <w:jc w:val="center"/>
        <w:rPr>
          <w:rFonts w:ascii="Arial" w:hAnsi="Arial" w:cs="Arial"/>
          <w:sz w:val="40"/>
          <w:szCs w:val="40"/>
        </w:rPr>
      </w:pPr>
    </w:p>
    <w:p w14:paraId="5C4C9436" w14:textId="77777777" w:rsidR="00D17B00" w:rsidRDefault="00B65D09">
      <w:pPr>
        <w:pStyle w:val="Default"/>
        <w:jc w:val="center"/>
        <w:rPr>
          <w:rFonts w:ascii="Arial" w:hAnsi="Arial" w:cs="Arial"/>
          <w:sz w:val="40"/>
          <w:szCs w:val="40"/>
        </w:rPr>
      </w:pPr>
      <w:r>
        <w:rPr>
          <w:rFonts w:ascii="Arial" w:hAnsi="Arial" w:cs="Arial"/>
          <w:sz w:val="40"/>
          <w:szCs w:val="40"/>
        </w:rPr>
        <w:t>ATLANTIC INTERNATIONAL UNIVERSITY</w:t>
      </w:r>
    </w:p>
    <w:p w14:paraId="00DEBD07" w14:textId="1AC561F3" w:rsidR="00D17B00" w:rsidRDefault="00460EB1">
      <w:pPr>
        <w:jc w:val="center"/>
        <w:rPr>
          <w:rFonts w:ascii="Arial" w:hAnsi="Arial" w:cs="Arial"/>
          <w:b/>
          <w:bCs/>
          <w:sz w:val="40"/>
          <w:szCs w:val="40"/>
        </w:rPr>
      </w:pPr>
      <w:r>
        <w:rPr>
          <w:rFonts w:ascii="Arial" w:hAnsi="Arial" w:cs="Arial"/>
          <w:b/>
          <w:bCs/>
          <w:sz w:val="40"/>
          <w:szCs w:val="40"/>
        </w:rPr>
        <w:t>February 2024</w:t>
      </w:r>
    </w:p>
    <w:p w14:paraId="7C066E1C" w14:textId="77777777" w:rsidR="00D17B00" w:rsidRDefault="00D17B00">
      <w:pPr>
        <w:rPr>
          <w:rFonts w:ascii="Arial" w:hAnsi="Arial" w:cs="Arial"/>
          <w:b/>
          <w:bCs/>
          <w:sz w:val="24"/>
          <w:szCs w:val="24"/>
        </w:rPr>
      </w:pPr>
    </w:p>
    <w:p w14:paraId="1DBB2DB3" w14:textId="77777777" w:rsidR="00D17B00" w:rsidRDefault="00D17B00">
      <w:pPr>
        <w:rPr>
          <w:rFonts w:ascii="Arial" w:hAnsi="Arial" w:cs="Arial"/>
          <w:b/>
          <w:bCs/>
          <w:sz w:val="24"/>
          <w:szCs w:val="24"/>
        </w:rPr>
      </w:pPr>
    </w:p>
    <w:p w14:paraId="30D4DEE8" w14:textId="77777777" w:rsidR="00D17B00" w:rsidRDefault="00D17B00">
      <w:pPr>
        <w:rPr>
          <w:rFonts w:ascii="Arial" w:hAnsi="Arial" w:cs="Arial"/>
          <w:b/>
          <w:bCs/>
          <w:sz w:val="24"/>
          <w:szCs w:val="24"/>
        </w:rPr>
      </w:pPr>
    </w:p>
    <w:p w14:paraId="71782A91" w14:textId="214B71C2" w:rsidR="00D17B00" w:rsidRDefault="00D17B00">
      <w:pPr>
        <w:rPr>
          <w:rFonts w:ascii="Arial" w:hAnsi="Arial" w:cs="Arial"/>
          <w:b/>
          <w:bCs/>
          <w:sz w:val="24"/>
          <w:szCs w:val="24"/>
        </w:rPr>
      </w:pPr>
    </w:p>
    <w:p w14:paraId="37F1C5F8" w14:textId="77777777" w:rsidR="00460EB1" w:rsidRDefault="00460EB1" w:rsidP="00460EB1">
      <w:pPr>
        <w:jc w:val="center"/>
        <w:rPr>
          <w:rFonts w:ascii="Times New Roman" w:hAnsi="Times New Roman" w:cs="Times New Roman"/>
          <w:b/>
          <w:sz w:val="24"/>
          <w:szCs w:val="24"/>
        </w:rPr>
      </w:pPr>
      <w:r>
        <w:rPr>
          <w:rFonts w:ascii="Times New Roman" w:hAnsi="Times New Roman" w:cs="Times New Roman"/>
          <w:b/>
          <w:sz w:val="24"/>
          <w:szCs w:val="24"/>
        </w:rPr>
        <w:lastRenderedPageBreak/>
        <w:t>YVONNE MAUMBE</w:t>
      </w:r>
    </w:p>
    <w:p w14:paraId="51449CA6" w14:textId="77777777" w:rsidR="00460EB1" w:rsidRDefault="00460EB1" w:rsidP="00460EB1">
      <w:pPr>
        <w:jc w:val="center"/>
        <w:rPr>
          <w:rFonts w:ascii="Times New Roman" w:hAnsi="Times New Roman" w:cs="Times New Roman"/>
          <w:b/>
          <w:sz w:val="24"/>
          <w:szCs w:val="24"/>
        </w:rPr>
      </w:pPr>
    </w:p>
    <w:p w14:paraId="503A792D" w14:textId="77777777" w:rsidR="00460EB1" w:rsidRDefault="00460EB1" w:rsidP="00460EB1">
      <w:pPr>
        <w:jc w:val="both"/>
        <w:rPr>
          <w:rFonts w:ascii="Times New Roman" w:hAnsi="Times New Roman" w:cs="Times New Roman"/>
          <w:b/>
          <w:sz w:val="24"/>
          <w:szCs w:val="24"/>
          <w:highlight w:val="yellow"/>
        </w:rPr>
      </w:pPr>
      <w:r>
        <w:rPr>
          <w:rFonts w:ascii="Times New Roman" w:hAnsi="Times New Roman" w:cs="Times New Roman"/>
          <w:b/>
          <w:sz w:val="24"/>
          <w:szCs w:val="24"/>
          <w:highlight w:val="yellow"/>
        </w:rPr>
        <w:t>Discuss the significance of drug metabolism and absorption in pharmacokinetics.</w:t>
      </w:r>
    </w:p>
    <w:p w14:paraId="6E478A4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Introduction</w:t>
      </w:r>
    </w:p>
    <w:p w14:paraId="4990212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Pharmacokinetics, an essential component of pharmacology, examines the dynamic mechanisms that regulate the movement of a medication inside the human body. Drug metabolism and absorption are two essential elements of pharmacokinetics. They both have a significant impact on the effectiveness, safety, and overall pharmacological characteristics of a drug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{"citationItems":[{"id":"ITEM-1","itemData":{"DOI":"10.1016/j.bcp.2022.115080","ISSN":"18732968","abstract":"Mass spectrometry imaging (MSI) is emerging as a powerful analytical tool for detection, quantification, and simultaneous spatial molecular imaging of endogenous and exogenous molecules via in situ mass spectrometry analysis of thin tissue sections without the requirement of chemical labeling. The MSI generates chemically specific and spatially resolved ion distribution information for administered drugs and metabolites, which allows numerous applications for studies involving various stages of drug absorption, distribution, metabolism, excretion, and toxicity (ADMET). MSI-based pharmacokinetic imaging analysis provides a histological context and cellular environment regarding dynamic drug distribution and metabolism processes, and facilitates the understanding of the spatial pharmacokinetics and pharmacodynamic properties of drugs. Herein, we discuss the MSI's current technological developments that offer qualitative, quantitative, and spatial location information of small molecule drugs, antibody, and oligonucleotides macromolecule drugs, and their metabolites in preclinical and clinical tissue specimens. We highlight the macro and micro drug-distribution in the whole-body, brain, lung, liver, kidney, stomach, intestine tissue sections, organoids, and the latest applications of MSI in pharmaceutical ADMET studies.","author":[{"dropping-particle":"","family":"Spruill","given":"Michelle L.","non-dropping-particle":"","parse-names":false,"suffix":""},{"dropping-particle":"","family":"Maletic-Savatic","given":"Mirjana","non-dropping-particle":"","parse-names":false,"suffix":""},{"dropping-particle":"","family":"Martin","given":"Howard","non-dropping-particle":"","parse-names":false,"suffix":""},{"dropping-particle":"","family":"Li","given":"Feng","non-dropping-particle":"","parse-names":false,"suffix":""},{"dropping-particle":"","family":"Liu","given":"Xinli","non-dropping-particle":"","parse-names":false,"suffix":""}],"container-title":"Biochemical Pharmacology","id":"ITEM-1","issued":{"date-parts":[["2022"]]},"title":"Spatial analysis of drug absorption, distribution, metabolism, and toxicology using mass spectrometry imaging","type":"article","volume":"201"},"uris":["http://www.mendeley.com/documents/?uuid=52791419-f3db-3888-996e-cea2389ba587"]}],"mendeley":{"formattedCitation":"(Spruill et al., 2022)","plainTextFormattedCitation":"(Spruill et al., 2022)","previouslyFormattedCitation":"(Spruill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(Spruill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3954B5E7" w14:textId="39C1EFA8"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BC4649" wp14:editId="3BCCC582">
            <wp:extent cx="5334000" cy="4333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34000" cy="4333875"/>
                    </a:xfrm>
                    <a:prstGeom prst="rect">
                      <a:avLst/>
                    </a:prstGeom>
                    <a:noFill/>
                    <a:ln>
                      <a:noFill/>
                    </a:ln>
                  </pic:spPr>
                </pic:pic>
              </a:graphicData>
            </a:graphic>
          </wp:inline>
        </w:drawing>
      </w:r>
    </w:p>
    <w:p w14:paraId="01D32581" w14:textId="77777777" w:rsidR="00460EB1" w:rsidRDefault="00460EB1" w:rsidP="00460EB1">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Source: </w:t>
      </w:r>
      <w:r>
        <w:rPr>
          <w:rFonts w:ascii="Times New Roman" w:hAnsi="Times New Roman" w:cs="Times New Roman"/>
          <w:b/>
          <w:sz w:val="24"/>
          <w:szCs w:val="24"/>
        </w:rPr>
        <w:fldChar w:fldCharType="begin" w:fldLock="1"/>
      </w:r>
      <w:r>
        <w:rPr>
          <w:rFonts w:ascii="Times New Roman" w:hAnsi="Times New Roman" w:cs="Times New Roman"/>
          <w:b/>
          <w:sz w:val="24"/>
          <w:szCs w:val="24"/>
        </w:rPr>
        <w:instrText>ADDIN CSL_CITATION {"citationItems":[{"id":"ITEM-1","itemData":{"DOI":"10.1016/j.bcp.2022.115080","ISSN":"18732968","abstract":"Mass spectrometry imaging (MSI) is emerging as a powerful analytical tool for detection, quantification, and simultaneous spatial molecular imaging of endogenous and exogenous molecules via in situ mass spectrometry analysis of thin tissue sections without the requirement of chemical labeling. The MSI generates chemically specific and spatially resolved ion distribution information for administered drugs and metabolites, which allows numerous applications for studies involving various stages of drug absorption, distribution, metabolism, excretion, and toxicity (ADMET). MSI-based pharmacokinetic imaging analysis provides a histological context and cellular environment regarding dynamic drug distribution and metabolism processes, and facilitates the understanding of the spatial pharmacokinetics and pharmacodynamic properties of drugs. Herein, we discuss the MSI's current technological developments that offer qualitative, quantitative, and spatial location information of small molecule drugs, antibody, and oligonucleotides macromolecule drugs, and their metabolites in preclinical and clinical tissue specimens. We highlight the macro and micro drug-distribution in the whole-body, brain, lung, liver, kidney, stomach, intestine tissue sections, organoids, and the latest applications of MSI in pharmaceutical ADMET studies.","author":[{"dropping-particle":"","family":"Spruill","given":"Michelle L.","non-dropping-particle":"","parse-names":false,"suffix":""},{"dropping-particle":"","family":"Maletic-Savatic","given":"Mirjana","non-dropping-particle":"","parse-names":false,"suffix":""},{"dropping-particle":"","family":"Martin","given":"Howard","non-dropping-particle":"","parse-names":false,"suffix":""},{"dropping-particle":"","family":"Li","given":"Feng","non-dropping-particle":"","parse-names":false,"suffix":""},{"dropping-particle":"","family":"Liu","given":"Xinli","non-dropping-particle":"","parse-names":false,"suffix":""}],"container-title":"Biochemical Pharmacology","id":"ITEM-1","issued":{"date-parts":[["2022"]]},"title":"Spatial analysis of drug absorption, distribution, metabolism, and toxicology using mass spectrometry imaging","type":"article","volume":"201"},"uris":["http://www.mendeley.com/documents/?uuid=52791419-f3db-3888-996e-cea2389ba587"]}],"mendeley":{"formattedCitation":"(Spruill et al., 2022)","plainTextFormattedCitation":"(Spruill et al., 2022)","previouslyFormattedCitation":"(Spruill et al., 2022)"},"properties":{"noteIndex":0},"schema":"https://github.com/citation-style-language/schema/raw/master/csl-citation.json"}</w:instrText>
      </w:r>
      <w:r>
        <w:rPr>
          <w:rFonts w:ascii="Times New Roman" w:hAnsi="Times New Roman" w:cs="Times New Roman"/>
          <w:b/>
          <w:sz w:val="24"/>
          <w:szCs w:val="24"/>
        </w:rPr>
        <w:fldChar w:fldCharType="separate"/>
      </w:r>
      <w:r>
        <w:rPr>
          <w:rFonts w:ascii="Times New Roman" w:hAnsi="Times New Roman" w:cs="Times New Roman"/>
          <w:b/>
          <w:noProof/>
          <w:sz w:val="24"/>
          <w:szCs w:val="24"/>
        </w:rPr>
        <w:t>(Spruill et al., 2022)</w:t>
      </w:r>
      <w:r>
        <w:rPr>
          <w:rFonts w:ascii="Times New Roman" w:hAnsi="Times New Roman" w:cs="Times New Roman"/>
          <w:b/>
          <w:sz w:val="24"/>
          <w:szCs w:val="24"/>
        </w:rPr>
        <w:fldChar w:fldCharType="end"/>
      </w:r>
    </w:p>
    <w:p w14:paraId="1C527D6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4 stages of pharmacokinetics delineate the trajectory of a medicine as it traverses the body. The acronym ADME is used in pharmacy to denote the sequential processes involved in the processing of a medication. The four steps encompass absorption, distribution, metabolism, and elimination. Every stage in this procedure plays a crucial part in comprehending the efficacy of the medication, the duration of its effects, and its eventual elimination from the body. Having knowledge of these parameters allows pharmacists and doctors to ascertain variables such as the correct dosage, timing of administration, and potential adverse reactions.</w:t>
      </w:r>
    </w:p>
    <w:p w14:paraId="23A1094C"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Pharmaceutical Assimilation</w:t>
      </w:r>
    </w:p>
    <w:p w14:paraId="73EE7A4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drug's journey commences with absorption, as it moves from the place of administration into the bloodstream. The magnitude and velocity of this process, commonly referred to as bioavailability, have a substantial impact on the therapeutic effectiveness of a medicine. Different methods of delivery, such as oral, intravenous, or intramuscular, provide unique patterns of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{"citationItems":[{"id":"ITEM-1","itemData":{"DOI":"10.1007/s40262-023-01213-x","ISSN":"11791926","abstract":"Haemodynamic, metabolic, and biochemical derangements in critically ill patients affect drug pharmacokinetics and pharmacodynamics making dose optimisation particularly challenging. Appropriate therapeutic dosing depends on the knowledge of the physiologic changes caused by the patient’s comorbidities, underlying disease, resuscitation strategies, and polypharmacy. Critical illness will result in altered drug protein binding, ionisation, and volume of distribution; it will also decrease oral drug absorption, intestinal and hepatic metabolism, and renal clearance. In contrast, the resuscitation strategies and the use of vasoactive drugs may oppose these effects by leading to a hyperdynamic state that will increase blood flow towards the major organs including the brain, heart, kidneys, and liver, with the subsequent increase of drug hepatic metabolism and renal excretion. Metabolism is the main mechanism for drug clearance and is one of the main pharmacokinetic processes affected; it is influenced by patient-specific factors, such as comorbidities and genetics; therapeutic-specific factors, including drug characteristics and interactions; and disease-specific factors, like organ dysfunction. Moreover, organ support such as mechanical ventilation, renal replacement therapy, and extracorporeal membrane oxygenation may contribute to both inter- and intra-patient variability of drug pharmacokinetics. The combination of these competing factors makes it difficult to predict drug response in critically ill patients. Pharmacotherapy targeted to therapeutic goals and therapeutic drug monitoring is currently the best option for the safe care of the critically ill. The aim of this paper is to review the alterations in drug pharmacokinetics associated with critical illness and to summarise the available evidence.","author":[{"dropping-particle":"","family":"Morales Castro","given":"Diana","non-dropping-particle":"","parse-names":false,"suffix":""},{"dropping-particle":"","family":"Dresser","given":"Linda","non-dropping-particle":"","parse-names":false,"suffix":""},{"dropping-particle":"","family":"Granton","given":"John","non-dropping-particle":"","parse-names":false,"suffix":""},{"dropping-particle":"","family":"Fan","given":"Eddy","non-dropping-particle":"","parse-names":false,"suffix":""}],"container-title":"Clinical Pharmacokinetics","id":"ITEM-1","issue":"2","issued":{"date-parts":[["2023"]]},"title":"Pharmacokinetic Alterations Associated with Critical Illness","type":"article","volume":"62"},"uris":["http://www.mendeley.com/documents/?uuid=d5e15fa0-9cc8-3306-91ea-91626b12376c"]}],"mendeley":{"formattedCitation":"(Morales Castro et al., 2023)","plainTextFormattedCitation":"(Morales Castro et al., 2023)","previouslyFormattedCitation":"(Morales Castro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(Morales Castro et al., 2023)</w:t>
      </w:r>
      <w:r>
        <w:rPr>
          <w:rFonts w:ascii="Times New Roman" w:hAnsi="Times New Roman" w:cs="Times New Roman"/>
          <w:sz w:val="24"/>
          <w:szCs w:val="24"/>
        </w:rPr>
        <w:fldChar w:fldCharType="end"/>
      </w:r>
      <w:r>
        <w:rPr>
          <w:rFonts w:ascii="Times New Roman" w:hAnsi="Times New Roman" w:cs="Times New Roman"/>
          <w:sz w:val="24"/>
          <w:szCs w:val="24"/>
        </w:rPr>
        <w:t xml:space="preserve">. For example, when a medicine is delivered intravenously, it is quickly and fully available in the body, without being affected by processes like first-pass metabolism that might reduce the effectiveness of orally taken drugs. Comprehending these absorption patterns is essential for customizing medication formulations to maximize bioavailability and, as a result, improve therapeutic results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{"citationItems":[{"id":"ITEM-1","itemData":{"DOI":"10.1007/s40262-023-01213-x","ISSN":"11791926","abstract":"Haemodynamic, metabolic, and biochemical derangements in critically ill patients affect drug pharmacokinetics and pharmacodynamics making dose optimisation particularly challenging. Appropriate therapeutic dosing depends on the knowledge of the physiologic changes caused by the patient’s comorbidities, underlying disease, resuscitation strategies, and polypharmacy. Critical illness will result in altered drug protein binding, ionisation, and volume of distribution; it will also decrease oral drug absorption, intestinal and hepatic metabolism, and renal clearance. In contrast, the resuscitation strategies and the use of vasoactive drugs may oppose these effects by leading to a hyperdynamic state that will increase blood flow towards the major organs including the brain, heart, kidneys, and liver, with the subsequent increase of drug hepatic metabolism and renal excretion. Metabolism is the main mechanism for drug clearance and is one of the main pharmacokinetic processes affected; it is influenced by patient-specific factors, such as comorbidities and genetics; therapeutic-specific factors, including drug characteristics and interactions; and disease-specific factors, like organ dysfunction. Moreover, organ support such as mechanical ventilation, renal replacement therapy, and extracorporeal membrane oxygenation may contribute to both inter- and intra-patient variability of drug pharmacokinetics. The combination of these competing factors makes it difficult to predict drug response in critically ill patients. Pharmacotherapy targeted to therapeutic goals and therapeutic drug monitoring is currently the best option for the safe care of the critically ill. The aim of this paper is to review the alterations in drug pharmacokinetics associated with critical illness and to summarise the available evidence.","author":[{"dropping-particle":"","family":"Morales Castro","given":"Diana","non-dropping-particle":"","parse-names":false,"suffix":""},{"dropping-particle":"","family":"Dresser","given":"Linda","non-dropping-particle":"","parse-names":false,"suffix":""},{"dropping-particle":"","family":"Granton","given":"John","non-dropping-particle":"","parse-names":false,"suffix":""},{"dropping-particle":"","family":"Fan","given":"Eddy","non-dropping-particle":"","parse-names":false,"suffix":""}],"container-title":"Clinical Pharmacokinetics","id":"ITEM-1","issue":"2","issued":{"date-parts":[["2023"]]},"title":"Pharmacokinetic Alterations Associated with Critical Illness","type":"article","volume":"62"},"uris":["http://www.mendeley.com/documents/?uuid=d5e15fa0-9cc8-3306-91ea-91626b12376c"]}],"mendeley":{"formattedCitation":"(Morales Castro et al., 2023)","plainTextFormattedCitation":"(Morales Castro et al., 2023)","previouslyFormattedCitation":"(Morales Castro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(Morales Castro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1ED5F58C"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Pharmacokinetics</w:t>
      </w:r>
    </w:p>
    <w:p w14:paraId="1139CA2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entering the bloodstream, a drug comes into contact with the liver, which is the main location for drug metabolism or biotransformation. Enzymes, particularly cytochrome P450 enzymes, facilitate the transformation of medicines into metabolites. This process can result in either the activation or deactivation of the medication, making it more soluble in water and aiding </w:t>
      </w:r>
      <w:r>
        <w:rPr>
          <w:rFonts w:ascii="Times New Roman" w:hAnsi="Times New Roman" w:cs="Times New Roman"/>
          <w:sz w:val="24"/>
          <w:szCs w:val="24"/>
        </w:rPr>
        <w:lastRenderedPageBreak/>
        <w:t xml:space="preserve">in its elimination from the body. The liver plays a significant role in the process of first-pass metabolism, which is particularly notable when it comes to medications that are taken orally. The initial metabolic obstacle can greatly modify a drug's bioavailability, hence affecting its pharmacological activity and clinical effectiveness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{"citationItems":[{"id":"ITEM-1","itemData":{"DOI":"10.1126/science.aat9931","ISSN":"10959203","abstract":"The gut microbiota is implicated in the metabolism of many medical drugs, with consequences for interpersonal variation in drug efficacy and toxicity. However, quantifying microbial contributions to drug metabolism is challenging, particularly in cases where host and microbiome perform the same metabolic transformation. We combined gut commensal genetics with gnotobiotics to measure brivudine drug metabolism across tissues in mice that vary in a single microbiome-encoded enzyme. Informed by these measurements, we built a pharmacokinetic model that quantitatively predicts microbiome contributions to systemic drug and metabolite exposure, as a function of bioavailability, host and microbial drug-metabolizing activity, drug and metabolite absorption, and intestinal transit kinetics. Clonazepam studies illustrate how this approach disentangles microbiome contributions to metabolism of drugs subject to multiple metabolic routes and transformations.","author":[{"dropping-particle":"","family":"Zimmermann","given":"Michael","non-dropping-particle":"","parse-names":false,"suffix":""},{"dropping-particle":"","family":"Zimmermann-Kogadeeva","given":"Maria","non-dropping-particle":"","parse-names":false,"suffix":""},{"dropping-particle":"","family":"Wegmann","given":"Rebekka","non-dropping-particle":"","parse-names":false,"suffix":""},{"dropping-particle":"","family":"Goodman","given":"Andrew L.","non-dropping-particle":"","parse-names":false,"suffix":""}],"container-title":"Science","id":"ITEM-1","issue":"6427","issued":{"date-parts":[["2019"]]},"title":"Separating host and microbiome contributions to drug pharmacokinetics and toxicity","type":"article-journal","volume":"363"},"uris":["http://www.mendeley.com/documents/?uuid=cdb0112f-c488-308d-a516-83d6abc68cc4"]}],"mendeley":{"formattedCitation":"(Zimmermann et al., 2019)","plainTextFormattedCitation":"(Zimmermann et al., 2019)","previouslyFormattedCitation":"(Zimmermann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(Zimmermann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710D599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The interaction between drug development and dosing strategies</w:t>
      </w:r>
    </w:p>
    <w:p w14:paraId="2833CA4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designers and researchers carefully take into account the processes of absorption and metabolism while creating novel medicinal medicines. It is essential to design medications that have attractive absorption profiles and predictable metabolic routes in order to achieve good pharmacokinetics. Furthermore, the determination of dosing methods relies on these principles, where the speed at which the medication is eliminated from the body and its metabolism influence decisions regarding the frequency and quantity of dosage needed to sustain therapeutic levels in the body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{"citationItems":[{"id":"ITEM-1","itemData":{"DOI":"10.1016/j.mpaic.2021.10.014","ISSN":"18787584","abstract":"Pharmacokinetics is the study of how the body handles an administered drug, including absorption, distribution, metabolism and excretion. Pharmacokinetic variation is when there is variability in the drug concentration at the effector site after administration of a standard dose. This can result in one dose of a drug being ineffective in one patient, but potentially toxic with unwanted side effects in another. There are four factors which are responsible for pharmacokinetic variation: absorption, distribution, metabolism and excretion. This article will review how physiological, pathological and pharmacological processes can influence all of these factors.","author":[{"dropping-particle":"V.","family":"Eusuf","given":"Danielle","non-dropping-particle":"","parse-names":false,"suffix":""},{"dropping-particle":"","family":"Thomas","given":"Elizabeth","non-dropping-particle":"","parse-names":false,"suffix":""}],"container-title":"Anaesthesia and Intensive Care Medicine","id":"ITEM-1","issue":"1","issued":{"date-parts":[["2022"]]},"title":"Pharmacokinetic variation","type":"article","volume":"23"},"uris":["http://www.mendeley.com/documents/?uuid=83807207-a86d-360c-9e1f-9fe5331ae982"]}],"mendeley":{"formattedCitation":"(Eusuf &amp; Thomas, 2022)","plainTextFormattedCitation":"(Eusuf &amp; Thomas, 2022)","previouslyFormattedCitation":"(Eusuf &amp; Thomas,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(Eusuf &amp; Thomas, 2022)</w:t>
      </w:r>
      <w:r>
        <w:rPr>
          <w:rFonts w:ascii="Times New Roman" w:hAnsi="Times New Roman" w:cs="Times New Roman"/>
          <w:sz w:val="24"/>
          <w:szCs w:val="24"/>
        </w:rPr>
        <w:fldChar w:fldCharType="end"/>
      </w:r>
      <w:r>
        <w:rPr>
          <w:rFonts w:ascii="Times New Roman" w:hAnsi="Times New Roman" w:cs="Times New Roman"/>
          <w:sz w:val="24"/>
          <w:szCs w:val="24"/>
        </w:rPr>
        <w:t>.</w:t>
      </w:r>
    </w:p>
    <w:p w14:paraId="65E300F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Variability and individual differences</w:t>
      </w:r>
    </w:p>
    <w:p w14:paraId="50A81BE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Recognizing the extensive inter-individual heterogeneity is a fundamental principle in understanding medication metabolism and absorption. Individuals exhibit distinct pharmacokinetic profiles due to genetic variables, age, gender, and concurrent medicines. The presence of diverse genetic backgrounds can lead to differences in how individuals respond to drugs and their vulnerability to experiencing negative side effects. Furthermore, the complex relationship between medications in terms of their metabolism highlights the significance of identifying potential drug-drug interactions. Enzyme induction or inhibition can alter the way co-administered medications are metabolized, which can impact their effectiveness and safety.</w:t>
      </w:r>
    </w:p>
    <w:p w14:paraId="5C426A04"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Conclusion </w:t>
      </w:r>
    </w:p>
    <w:p w14:paraId="7AEA0F2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 metabolism and absorption are crucial components of pharmacokinetics, playing a vital role in determining the fate of therapeutic agents in the human body. An intricate comprehension of these systems not only guarantees the secure and efficient utilization of drugs but also directs drug development endeavors towards maximizing pharmacological results. The ongoing development of the area highlights the importance of understanding the intricate relationship between pharmaceuticals and the human body. This relationship emphasizes the need to untangle the complexity of absorption and metabolism in order to enhance pharmacotherapy.</w:t>
      </w:r>
    </w:p>
    <w:p w14:paraId="0053C34E" w14:textId="77777777" w:rsidR="00460EB1" w:rsidRDefault="00460EB1" w:rsidP="00460EB1">
      <w:pPr>
        <w:spacing w:line="480" w:lineRule="auto"/>
        <w:jc w:val="center"/>
        <w:rPr>
          <w:rFonts w:ascii="Times New Roman" w:hAnsi="Times New Roman" w:cs="Times New Roman"/>
          <w:b/>
          <w:sz w:val="24"/>
          <w:szCs w:val="24"/>
        </w:rPr>
      </w:pPr>
      <w:r>
        <w:rPr>
          <w:rFonts w:ascii="Times New Roman" w:hAnsi="Times New Roman" w:cs="Times New Roman"/>
          <w:b/>
          <w:sz w:val="24"/>
          <w:szCs w:val="24"/>
          <w:highlight w:val="yellow"/>
        </w:rPr>
        <w:t>Explain the processes involved in drug absorption, including passive diffusion, active transport, and facilitated diffusion.</w:t>
      </w:r>
    </w:p>
    <w:p w14:paraId="2878381E" w14:textId="77777777" w:rsidR="00460EB1" w:rsidRDefault="00460EB1" w:rsidP="00460EB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Drug absorption, a critical stage in pharmacokinetics, entails complex mechanisms that dictate the movement of a therapeutic substance through biological barriers to reach its intended destination. Drug absorption is primarily governed by three mechanisms: passive diffusion, active transport, and enhanced diffusion. Several factors can affect the absorption of a drug into the body. These include:</w:t>
      </w:r>
    </w:p>
    <w:p w14:paraId="270D93E5" w14:textId="77777777" w:rsidR="00460EB1" w:rsidRDefault="00460EB1" w:rsidP="00460EB1">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physicochemical properties (e.g. solubility)</w:t>
      </w:r>
    </w:p>
    <w:p w14:paraId="4EEF7482" w14:textId="77777777" w:rsidR="00460EB1" w:rsidRDefault="00460EB1" w:rsidP="00460EB1">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drug formulation (e.g. tablets, capsules, solutions)</w:t>
      </w:r>
    </w:p>
    <w:p w14:paraId="53558188" w14:textId="77777777" w:rsidR="00460EB1" w:rsidRDefault="00460EB1" w:rsidP="00460EB1">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the route of administration (e.g. oral, buccal, sublingual, rectal, parenteral, topical, or inhaled)</w:t>
      </w:r>
    </w:p>
    <w:p w14:paraId="1257243D" w14:textId="77777777" w:rsidR="00460EB1" w:rsidRDefault="00460EB1" w:rsidP="00460EB1">
      <w:pPr>
        <w:pStyle w:val="ListParagraph"/>
        <w:numPr>
          <w:ilvl w:val="0"/>
          <w:numId w:val="2"/>
        </w:numPr>
        <w:spacing w:line="480" w:lineRule="auto"/>
        <w:jc w:val="both"/>
        <w:rPr>
          <w:rFonts w:ascii="Times New Roman" w:hAnsi="Times New Roman" w:cs="Times New Roman"/>
          <w:sz w:val="24"/>
          <w:szCs w:val="24"/>
        </w:rPr>
      </w:pPr>
      <w:r>
        <w:rPr>
          <w:rFonts w:ascii="Times New Roman" w:hAnsi="Times New Roman" w:cs="Times New Roman"/>
          <w:sz w:val="24"/>
          <w:szCs w:val="24"/>
        </w:rPr>
        <w:t>the rate of gastric emptying</w:t>
      </w:r>
    </w:p>
    <w:p w14:paraId="3415E5DE"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The main pharmacokinetic parameters for absorption include:</w:t>
      </w:r>
    </w:p>
    <w:p w14:paraId="472047D8" w14:textId="77777777" w:rsidR="00460EB1" w:rsidRDefault="00460EB1" w:rsidP="00460EB1">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Absorption rate constant: absorption rate / amount of drug remaining to be absorbed</w:t>
      </w:r>
    </w:p>
    <w:p w14:paraId="3C710D46" w14:textId="77777777" w:rsidR="00460EB1" w:rsidRDefault="00460EB1" w:rsidP="00460EB1">
      <w:pPr>
        <w:pStyle w:val="ListParagraph"/>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Bioavailability: amount of drug absorbed / drug dose</w:t>
      </w:r>
    </w:p>
    <w:p w14:paraId="58170E2B"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A drug must be solubilized in order to cross the semipermeable cell membranes to reach the systemic circulation. These biological barriers exist to selectively allow or inhibit the passage of native and foreign particles through them.</w:t>
      </w:r>
    </w:p>
    <w:p w14:paraId="07877C5D"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b/>
          <w:i/>
          <w:sz w:val="24"/>
          <w:szCs w:val="24"/>
        </w:rPr>
        <w:t>1. Passive Diffusion:</w:t>
      </w:r>
      <w:r>
        <w:rPr>
          <w:rFonts w:ascii="Times New Roman" w:hAnsi="Times New Roman" w:cs="Times New Roman"/>
          <w:sz w:val="24"/>
          <w:szCs w:val="24"/>
        </w:rPr>
        <w:t xml:space="preserve"> This refers to the process by which molecules move across a membrane without the need for energy input. It occurs due to the natural tendency of molecules to move from an area of higher concentration to an area of lower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{"citationItems":[{"id":"ITEM-1","itemData":{"DOI":"10.1016/j.mpaic.2022.12.023","ISSN":"18787584","abstract":"Pharmacokinetics describes the processes that underpin how the human body handles a drug. There are four elements to pharmacokinetics: absorption, distribution, metabolism, and excretion. Drug absorption involves the movement of the drug across a cell membrane and is largely dependent on diffusion. The absorption rate is determined by the preparation of the drug, route of administration, size of the molecule, concentration gradient, degree of protein binding and lipid solubility of the drug. First pass metabolism can be responsible for reducing the bioavailability of drugs via certain routes like oral administration. Different compartment models can be used to predict the pharmacokinetic process of drug distribution. Multicompartmental models are used to understand how the drug is distributed to model the uptake of the drug into different tissues at varying rates. These models are utilized for targeted controlled infusions in practice to maintain anaesthesia at an effect site concentration that is specified by the user.","author":[{"dropping-particle":"","family":"Bertram-Ralph","given":"Elliott","non-dropping-particle":"","parse-names":false,"suffix":""},{"dropping-particle":"","family":"Amare","given":"Muataz","non-dropping-particle":"","parse-names":false,"suffix":""}],"container-title":"Anaesthesia and Intensive Care Medicine","id":"ITEM-1","issue":"4","issued":{"date-parts":[["2023"]]},"title":"Factors affecting drug absorption and distribution","type":"article","volume":"24"},"uris":["http://www.mendeley.com/documents/?uuid=5b5138bb-dd69-3b3c-9801-b48bd0957322"]}],"mendeley":{"formattedCitation":"(Bertram-Ralph &amp; Amare, 2023)","plainTextFormattedCitation":"(Bertram-Ralph &amp; Amare, 2023)","previouslyFormattedCitation":"(Bertram-Ralph &amp; Amare,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(Bertram-Ralph &amp; Amare, 2023)</w:t>
      </w:r>
      <w:r>
        <w:rPr>
          <w:rFonts w:ascii="Times New Roman" w:hAnsi="Times New Roman" w:cs="Times New Roman"/>
          <w:sz w:val="24"/>
          <w:szCs w:val="24"/>
        </w:rPr>
        <w:fldChar w:fldCharType="end"/>
      </w:r>
    </w:p>
    <w:p w14:paraId="73BAAF1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Passive diffusion is the most prevalent and fundamental mechanism of drug absorption. During this process, medicines pass across cell membranes by moving from regions of higher concentration to regions of lower concentration, propelled by the concentration gradient. The lipid bilayer of cell membranes facilitates the easy permeation of lipophilic or hydrophobic medicines. Passive diffusion is the primary method of absorption for small, non-polar compounds, including certain medicines and lipid-soluble vitamins. This mechanism is straightforward, but its importance resides in its widespread occurrence, enabling the uptake of a diverse range of medications across different tissues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{"citationItems":[{"id":"ITEM-1","itemData":{"DOI":"10.1016/j.mpaic.2022.12.023","ISSN":"18787584","abstract":"Pharmacokinetics describes the processes that underpin how the human body handles a drug. There are four elements to pharmacokinetics: absorption, distribution, metabolism, and excretion. Drug absorption involves the movement of the drug across a cell membrane and is largely dependent on diffusion. The absorption rate is determined by the preparation of the drug, route of administration, size of the molecule, concentration gradient, degree of protein binding and lipid solubility of the drug. First pass metabolism can be responsible for reducing the bioavailability of drugs via certain routes like oral administration. Different compartment models can be used to predict the pharmacokinetic process of drug distribution. Multicompartmental models are used to understand how the drug is distributed to model the uptake of the drug into different tissues at varying rates. These models are utilized for targeted controlled infusions in practice to maintain anaesthesia at an effect site concentration that is specified by the user.","author":[{"dropping-particle":"","family":"Bertram-Ralph","given":"Elliott","non-dropping-particle":"","parse-names":false,"suffix":""},{"dropping-particle":"","family":"Amare","given":"Muataz","non-dropping-particle":"","parse-names":false,"suffix":""}],"container-title":"Anaesthesia and Intensive Care Medicine","id":"ITEM-1","issue":"4","issued":{"date-parts":[["2023"]]},"title":"Factors affecting drug absorption and distribution","type":"article","volume":"24"},"uris":["http://www.mendeley.com/documents/?uuid=5b5138bb-dd69-3b3c-9801-b48bd0957322"]}],"mendeley":{"formattedCitation":"(Bertram-Ralph &amp; Amare, 2023)","plainTextFormattedCitation":"(Bertram-Ralph &amp; Amare, 2023)","previouslyFormattedCitation":"(Bertram-Ralph &amp; Amare,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(Bertram-Ralph &amp; Amare, 2023)</w:t>
      </w:r>
      <w:r>
        <w:rPr>
          <w:rFonts w:ascii="Times New Roman" w:hAnsi="Times New Roman" w:cs="Times New Roman"/>
          <w:sz w:val="24"/>
          <w:szCs w:val="24"/>
        </w:rPr>
        <w:fldChar w:fldCharType="end"/>
      </w:r>
      <w:r>
        <w:rPr>
          <w:rFonts w:ascii="Times New Roman" w:hAnsi="Times New Roman" w:cs="Times New Roman"/>
          <w:sz w:val="24"/>
          <w:szCs w:val="24"/>
        </w:rPr>
        <w:t>.</w:t>
      </w:r>
    </w:p>
    <w:p w14:paraId="5BDCAF45" w14:textId="3C31C3C1"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E116B8" wp14:editId="0C192875">
            <wp:extent cx="4152900" cy="2524125"/>
            <wp:effectExtent l="0" t="0" r="0" b="9525"/>
            <wp:docPr id="14" name="Picture 14" descr="Mechanisms of Drug Absorption - Biopharmaceutics and Pharmacokine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chanisms of Drug Absorption - Biopharmaceutics and Pharmacokinet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2900" cy="2524125"/>
                    </a:xfrm>
                    <a:prstGeom prst="rect">
                      <a:avLst/>
                    </a:prstGeom>
                    <a:noFill/>
                    <a:ln>
                      <a:noFill/>
                    </a:ln>
                  </pic:spPr>
                </pic:pic>
              </a:graphicData>
            </a:graphic>
          </wp:inline>
        </w:drawing>
      </w:r>
    </w:p>
    <w:p w14:paraId="3C3CCBB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2. Active Transport</w:t>
      </w:r>
    </w:p>
    <w:p w14:paraId="035F5F8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Active transport is an energy-dependent process that enables the movement of pharmaceuticals against their concentration gradient, from an area of lower concentration to a higher concentration. Transporters, which are integral membrane proteins, actively transport certain medicines across cell membranes. This mechanism is crucial for the uptake of numerous important nutrients and specific medications that may possess polarity or charge. Active transport enables the body to selectively uptake chemicals, hence preserving homeostasis and facilitating specialized tasks. The energy requirement linked to this mechanism emphasizes its importance in facilitating the uptake of vital chemicals against concentration gradients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{"citationItems":[{"id":"ITEM-1","itemData":{"ISSN":"2827-9212","abstract":"ABSTRAC The administration of pharmaceutical preparations consists of 4 routes with different absorption patterns. The first is by the intravenous route. Pharmaceutical preparations that pass through the intravenous route do not absorb and give immediate drug action. Then through the subcutaneous route, preparations given via the subcutaneous route can be absorbed quickly as well as the intramuscular route. Then through the oral route, pharmaceutical preparations that go through this route can be absorbed quickly or vice versa because they are influenced by several factors. Pharmacokinetic processes of absorption, distribution, metabolism and elimination determine how fast and how long the drug will be in the target organs. After the drug is absorbed through the intestinal wall, the drug will be transported by the portal blood to the liver before entering the systemic circulation. is responsible for metabolism before the drug reaches systemic circulation. The initial stage in this community service is by conducting counseling related to the Mechanism of Drug Action in the Body and continuing with the provision of education and questions and answers to the presenters. The community service activity was carried out on November 13, 2022 at the Balai Hila Village, Leihitu District, Central Maluku Regency from 12.00-13.30. At the time of the counseling the speaker explained material related to the Mechanism of Drug Action in the Human Body which includes the ADME (Absorption, Distribution, Metabolism, Elimination) process with several routes of drug administration not only for drugs that are used orally. The lack of knowledge of the people of Hila Village about the Mechanism of Drug Action in the Human Body is caused by several factors, including the environment and information. The results of community service in the form of counseling on Mechanisms of Drug Action in the Human Body in the Hila Village community show that this counseling can add insight and knowledge to the community about medicines as well as how the drugs consumed by the community can work in the human body so that they can reduce the symptoms of diseases that are suffered by someone.","author":[{"dropping-particle":"","family":"Djarami","given":"Jayanti","non-dropping-particle":"","parse-names":false,"suffix":""}],"container-title":"Jurnal Pengabdian Ilmu Kesehatan","id":"ITEM-1","issue":"3","issued":{"date-parts":[["2021"]]},"title":"Jurnal Pengabdian Ilmu Kesehatan Penyuluhan Tentang Mekanisme Kerja Obat Didalam Tubuh Di Desa Hila","type":"article-journal","volume":"1"},"uris":["http://www.mendeley.com/documents/?uuid=a816cc3c-118a-3c4b-b73b-c8292245ce61"]}],"mendeley":{"formattedCitation":"(Djarami, 2021)","plainTextFormattedCitation":"(Djarami, 2021)","previouslyFormattedCitation":"(Djarami,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(Djarami, 2021)</w:t>
      </w:r>
      <w:r>
        <w:rPr>
          <w:rFonts w:ascii="Times New Roman" w:hAnsi="Times New Roman" w:cs="Times New Roman"/>
          <w:sz w:val="24"/>
          <w:szCs w:val="24"/>
        </w:rPr>
        <w:fldChar w:fldCharType="end"/>
      </w:r>
      <w:r>
        <w:rPr>
          <w:rFonts w:ascii="Times New Roman" w:hAnsi="Times New Roman" w:cs="Times New Roman"/>
          <w:sz w:val="24"/>
          <w:szCs w:val="24"/>
        </w:rPr>
        <w:t>.</w:t>
      </w:r>
    </w:p>
    <w:p w14:paraId="7CDFAAA8" w14:textId="5B32ECCD"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E314D29" wp14:editId="1413EB34">
            <wp:extent cx="5514975" cy="2628900"/>
            <wp:effectExtent l="0" t="0" r="9525" b="0"/>
            <wp:docPr id="13" name="Picture 13" descr="Absorption of drugs 2 |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orption of drugs 2 | PP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14975" cy="2628900"/>
                    </a:xfrm>
                    <a:prstGeom prst="rect">
                      <a:avLst/>
                    </a:prstGeom>
                    <a:noFill/>
                    <a:ln>
                      <a:noFill/>
                    </a:ln>
                  </pic:spPr>
                </pic:pic>
              </a:graphicData>
            </a:graphic>
          </wp:inline>
        </w:drawing>
      </w:r>
    </w:p>
    <w:p w14:paraId="2BA2E438" w14:textId="77777777" w:rsidR="00460EB1" w:rsidRDefault="00460EB1" w:rsidP="00460EB1">
      <w:pPr>
        <w:spacing w:line="480" w:lineRule="auto"/>
        <w:jc w:val="center"/>
        <w:rPr>
          <w:rFonts w:ascii="Times New Roman" w:hAnsi="Times New Roman" w:cs="Times New Roman"/>
          <w:b/>
          <w:i/>
          <w:sz w:val="24"/>
          <w:szCs w:val="24"/>
        </w:rPr>
      </w:pPr>
      <w:r>
        <w:rPr>
          <w:rFonts w:ascii="Times New Roman" w:hAnsi="Times New Roman" w:cs="Times New Roman"/>
          <w:b/>
          <w:i/>
          <w:sz w:val="24"/>
          <w:szCs w:val="24"/>
        </w:rPr>
        <w:t xml:space="preserve">Source: </w:t>
      </w:r>
      <w:r>
        <w:rPr>
          <w:rFonts w:ascii="Times New Roman" w:hAnsi="Times New Roman" w:cs="Times New Roman"/>
          <w:b/>
          <w:i/>
          <w:sz w:val="24"/>
          <w:szCs w:val="24"/>
        </w:rPr>
        <w:fldChar w:fldCharType="begin" w:fldLock="1"/>
      </w:r>
      <w:r>
        <w:rPr>
          <w:rFonts w:ascii="Times New Roman" w:hAnsi="Times New Roman" w:cs="Times New Roman"/>
          <w:b/>
          <w:i/>
          <w:sz w:val="24"/>
          <w:szCs w:val="24"/>
        </w:rPr>
        <w:instrText>ADDIN CSL_CITATION {"citationItems":[{"id":"ITEM-1","itemData":{"ISSN":"2827-9212","abstract":"ABSTRAC The administration of pharmaceutical preparations consists of 4 routes with different absorption patterns. The first is by the intravenous route. Pharmaceutical preparations that pass through the intravenous route do not absorb and give immediate drug action. Then through the subcutaneous route, preparations given via the subcutaneous route can be absorbed quickly as well as the intramuscular route. Then through the oral route, pharmaceutical preparations that go through this route can be absorbed quickly or vice versa because they are influenced by several factors. Pharmacokinetic processes of absorption, distribution, metabolism and elimination determine how fast and how long the drug will be in the target organs. After the drug is absorbed through the intestinal wall, the drug will be transported by the portal blood to the liver before entering the systemic circulation. is responsible for metabolism before the drug reaches systemic circulation. The initial stage in this community service is by conducting counseling related to the Mechanism of Drug Action in the Body and continuing with the provision of education and questions and answers to the presenters. The community service activity was carried out on November 13, 2022 at the Balai Hila Village, Leihitu District, Central Maluku Regency from 12.00-13.30. At the time of the counseling the speaker explained material related to the Mechanism of Drug Action in the Human Body which includes the ADME (Absorption, Distribution, Metabolism, Elimination) process with several routes of drug administration not only for drugs that are used orally. The lack of knowledge of the people of Hila Village about the Mechanism of Drug Action in the Human Body is caused by several factors, including the environment and information. The results of community service in the form of counseling on Mechanisms of Drug Action in the Human Body in the Hila Village community show that this counseling can add insight and knowledge to the community about medicines as well as how the drugs consumed by the community can work in the human body so that they can reduce the symptoms of diseases that are suffered by someone.","author":[{"dropping-particle":"","family":"Djarami","given":"Jayanti","non-dropping-particle":"","parse-names":false,"suffix":""}],"container-title":"Jurnal Pengabdian Ilmu Kesehatan","id":"ITEM-1","issue":"3","issued":{"date-parts":[["2021"]]},"title":"Jurnal Pengabdian Ilmu Kesehatan Penyuluhan Tentang Mekanisme Kerja Obat Didalam Tubuh Di Desa Hila","type":"article-journal","volume":"1"},"uris":["http://www.mendeley.com/documents/?uuid=a816cc3c-118a-3c4b-b73b-c8292245ce61"]}],"mendeley":{"formattedCitation":"(Djarami, 2021)","plainTextFormattedCitation":"(Djarami, 2021)","previouslyFormattedCitation":"(Djarami, 2021)"},"properties":{"noteIndex":0},"schema":"https://github.com/citation-style-language/schema/raw/master/csl-citation.json"}</w:instrText>
      </w:r>
      <w:r>
        <w:rPr>
          <w:rFonts w:ascii="Times New Roman" w:hAnsi="Times New Roman" w:cs="Times New Roman"/>
          <w:b/>
          <w:i/>
          <w:sz w:val="24"/>
          <w:szCs w:val="24"/>
        </w:rPr>
        <w:fldChar w:fldCharType="separate"/>
      </w:r>
      <w:r>
        <w:rPr>
          <w:rFonts w:ascii="Times New Roman" w:hAnsi="Times New Roman" w:cs="Times New Roman"/>
          <w:b/>
          <w:i/>
          <w:noProof/>
          <w:sz w:val="24"/>
          <w:szCs w:val="24"/>
        </w:rPr>
        <w:t>(Djarami, 2021)</w:t>
      </w:r>
      <w:r>
        <w:rPr>
          <w:rFonts w:ascii="Times New Roman" w:hAnsi="Times New Roman" w:cs="Times New Roman"/>
          <w:b/>
          <w:i/>
          <w:sz w:val="24"/>
          <w:szCs w:val="24"/>
        </w:rPr>
        <w:fldChar w:fldCharType="end"/>
      </w:r>
    </w:p>
    <w:p w14:paraId="231A157B"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3. Process of facilitated diffusion</w:t>
      </w:r>
    </w:p>
    <w:p w14:paraId="3AB6E10E"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Facilitated diffusion exhibits resemblances to both passive diffusion and active transport. Similar to passive diffusion, this process depends on the concentration gradient, but it requires the aid of carrier proteins to transport molecules across cell membranes. Facilitated diffusion, as contrast to active transport, does not necessitate energy expenditure. Instead, it takes advantage of the inherent kinetic energy of molecules. This mechanism is especially applicable to bigger or polar molecules that may encounter difficulty in traversing cell membranes alone by passive diffusion. Facilitated diffusion is essential for the absorption of certain nutrients and medications, offering a balanced process that combines specificity with energy efficiency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{"citationItems":[{"id":"ITEM-1","itemData":{"abstract":"To understand how drugs work, one must understand the concept of drug kinetics. In short, drug kinetics refers to the actions taken by the human body to deal with a medicine. These actions involve the processes of drug absorption into the body, distribution of that drug to various tissues, metabolism (or breakdown), and excretion (or elimination). Of the above processes, absorption is the most significant","author":[{"dropping-particle":"","family":"Miller","given":"W. R.","non-dropping-particle":"","parse-names":false,"suffix":""},{"dropping-particle":"","family":"Forcehimes","given":"A.A.","non-dropping-particle":"","parse-names":false,"suffix":""},{"dropping-particle":"","family":"Zweben","given":"A.","non-dropping-particle":"","parse-names":false,"suffix":""}],"container-title":"Editorsweb.Org","id":"ITEM-1","issued":{"date-parts":[["2022"]]},"title":"How Do Drugs Work ?","type":"article-journal"},"uris":["http://www.mendeley.com/documents/?uuid=f7cc68ec-2db2-35d6-8bf2-38e19e7e7614"]}],"mendeley":{"formattedCitation":"(Miller et al., 2022)","plainTextFormattedCitation":"(Miller et al., 2022)","previouslyFormattedCitation":"(Miller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(Miller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14E4B9F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25BF177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To summarize, drug absorption is a complex process influenced by the interaction of passive diffusion, active transport, and assisted diffusion. Comprehending these processes is </w:t>
      </w:r>
      <w:r>
        <w:rPr>
          <w:rFonts w:ascii="Times New Roman" w:hAnsi="Times New Roman" w:cs="Times New Roman"/>
          <w:sz w:val="24"/>
          <w:szCs w:val="24"/>
        </w:rPr>
        <w:lastRenderedPageBreak/>
        <w:t>crucial for the creation of drugs, as the characteristics of drug molecules determine the most advantageous method of absorption. The intricate balance upheld by these absorption systems guarantees that a wide array of therapeutic drugs can efficiently traverse the barriers of cellular membranes, finally reaching their intended destinations and exerting their pharmacological effects. As research in pharmacokinetics progresses, the investigation of these absorption mechanisms continues to reveal fresh insights into the enhancement of medication distribution and therapeutic results.</w:t>
      </w:r>
    </w:p>
    <w:p w14:paraId="2EF3144E"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Compare and contrast the mechanisms of drug absorption in different routes of administration (e.g., oral, intravenous, transdermal).</w:t>
      </w:r>
    </w:p>
    <w:p w14:paraId="3E5ECE6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drug must be solubilized in order to cross the semipermeable cell membranes to reach the systemic circulation. These biological barriers exist to selectively allow or inhibit the passage of native and foreign. Drug absorption is a critical aspect of pharmacokinetics, and the mechanisms governing this process vary significantly depending on the route of administration. These are the distinctions and commonalities in drug absorption mechanisms for three diverse routes: oral, intravenous, and transdermal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{"citationItems":[{"id":"ITEM-1","itemData":{"DOI":"10.1007/s40262-020-00960-5","ISSN":"11791926","abstract":"Background: In 4 decades, numerous nicotine replacement therapy products have been developed. Population pharmacokinetic models can support exposure–response modeling and inform nicotine replacement therapy product development, but only limited model-based cross-study population pharmacokinetic analyses for nicotine replacement therapy products have been published. Objectives: The aim of this retrospective analysis was to assess the population pharmacokinetics of nicotine across intravenous, oral, transdermal and oromucosal (mouth spray, chewing gum, lozenge and inhaler) routes and formulations in healthy smoking subjects. Methods: Data on 930 unique subjects (46,016 observations) from 29 single- and repeated-dose studies with multiple formulations across intravenous, oral, transdermal and oromucosal routes of administration were included. Data from intravenous and extravascular routes of administration were modelled separately for run efficiency reasons. For developing extravascular models, clearance and disposition parameters and their inter-individual variabilities were fixed to the estimates for intravenously delivered nicotine. Detectable pre-dose nicotine concentrations were modelled as a hypothetical nicotine bolus into the central compartment at the start of wash-out. Modelling repeated-dose oral and buccal administrations required a time-dependent increase in clearance or decrease in bioavailability to describe the data adequately. Results: Disposition of intravenous nicotine was best described by a three-compartment model with initial and terminal half-lives of 7 min and 4.5 h, respectively, and the absorption of single oral doses was best described with a first-order absorption rate constant of 1.55 h−1. The data of buccal formulations were modelled with parallel oromucosal absorption and gastrointestinal absorption of a part of the dose that is swallowed. For transdermal nicotine, parallel zero- and first-order release from the patch and a transit-compartment absorption model best described the data. Key pharmacokinetic parameters were reliably estimated, with typical values for clearance (67 L/h for a 70-kg subject), volume of distribution (4.3 L/kg), oral bioavailability (40%) and transdermal bioavailability (76%) within expected ranges. The estimated fraction of the dose swallowed for buccal formulations ranged from 55% (gum) to 69% (lozenge). Conclusions: Robust population pharmacokinetic models were developed for five nicotine replaceme…","author":[{"dropping-particle":"","family":"Olsson Gisleskog","given":"Per O.","non-dropping-particle":"","parse-names":false,"suffix":""},{"dropping-particle":"","family":"Perez Ruixo","given":"Juan José","non-dropping-particle":"","parse-names":false,"suffix":""},{"dropping-particle":"","family":"Westin","given":"Åke","non-dropping-particle":"","parse-names":false,"suffix":""},{"dropping-particle":"","family":"Hansson","given":"Anna C.","non-dropping-particle":"","parse-names":false,"suffix":""},{"dropping-particle":"","family":"Soons","given":"Paul A.","non-dropping-particle":"","parse-names":false,"suffix":""}],"container-title":"Clinical Pharmacokinetics","id":"ITEM-1","issue":"4","issued":{"date-parts":[["2021"]]},"title":"Nicotine Population Pharmacokinetics in Healthy Smokers After Intravenous, Oral, Buccal and Transdermal Administration","type":"article-journal","volume":"60"},"uris":["http://www.mendeley.com/documents/?uuid=c4570545-360b-316a-97f0-28790e6128aa"]}],"mendeley":{"formattedCitation":"(Olsson Gisleskog et al., 2021)","plainTextFormattedCitation":"(Olsson Gisleskog et al., 2021)","previouslyFormattedCitation":"(Olsson Gisleskog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(Olsson Gisleskog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62105A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1. Oral Administration:</w:t>
      </w:r>
    </w:p>
    <w:p w14:paraId="4BE1E4E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Mechanism:</w:t>
      </w:r>
    </w:p>
    <w:p w14:paraId="34165B1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Oral administration is a widely used route, involving the absorption of drugs through the gastrointestinal tract. The primary mechanism is passive diffusion, where drugs traverse the gastrointestinal epithelium to enter the bloodstream. However, additional factors such as solubility, pH, and first-pass metabolism in the liver can significantly impact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{"citationItems":[{"id":"ITEM-1","itemData":{"DOI":"10.1002/jps.21079","ISSN":"15206017","abstract":"Dendrimers have successfully proved themselves as useful additives in different routes of drug administration because they can render drugs greater water-solubility, bioavailability, and biocompatibility. This review demonstrated the potential of dendrimers to be applied in these detailed routes with particular reference to intravenous, oral, transdermal, and ocular delivery systems. As a necessary introduction, the structures, synthesis, and properties of dendrimers were presented. Furthermore, the interaction mechanisms between dendrimers and drug molecules, including simple encapsulation, electrostatic interaction, and covalent conjugation, were elaborated. © 2007 Wiley-Liss, Inc. and the American Pharmacists Association.","author":[{"dropping-particle":"","family":"Cheng","given":"Yiyun","non-dropping-particle":"","parse-names":false,"suffix":""},{"dropping-particle":"","family":"Xu","given":"Zhenhua","non-dropping-particle":"","parse-names":false,"suffix":""},{"dropping-particle":"","family":"Ma","given":"Minglu","non-dropping-particle":"","parse-names":false,"suffix":""},{"dropping-particle":"","family":"Xu","given":"Tongwen","non-dropping-particle":"","parse-names":false,"suffix":""}],"container-title":"Journal of Pharmaceutical Sciences","id":"ITEM-1","issue":"1","issued":{"date-parts":[["2008"]]},"title":"Dendrimers as drug carriers: Applications in different routes of drug administration","type":"article-journal","volume":"97"},"uris":["http://www.mendeley.com/documents/?uuid=8b15f6b1-a0a0-3a42-8775-49dd41359782"]}],"mendeley":{"formattedCitation":"(Cheng et al., 2008)","plainTextFormattedCitation":"(Cheng et al., 2008)","previouslyFormattedCitation":"(Cheng et al., 2008)"},"properties":{"noteIndex":0},"schema":"https://github.com/citation-style-language/schema/raw/master/csl-citation.json"}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(Cheng et al., 2008)</w:t>
      </w:r>
      <w:r>
        <w:rPr>
          <w:rFonts w:ascii="Times New Roman" w:hAnsi="Times New Roman" w:cs="Times New Roman"/>
          <w:sz w:val="24"/>
          <w:szCs w:val="24"/>
        </w:rPr>
        <w:fldChar w:fldCharType="end"/>
      </w:r>
      <w:r>
        <w:rPr>
          <w:rFonts w:ascii="Times New Roman" w:hAnsi="Times New Roman" w:cs="Times New Roman"/>
          <w:sz w:val="24"/>
          <w:szCs w:val="24"/>
        </w:rPr>
        <w:t>.</w:t>
      </w:r>
    </w:p>
    <w:p w14:paraId="58B1428B"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Advantages and Challenges</w:t>
      </w:r>
    </w:p>
    <w:p w14:paraId="2352A96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One key advantage of oral administration is its convenience. However, challenges arise due to variable absorption rates among individuals and the influence of factors like food and gastric emptying. First-pass metabolism in the liver can alter drug concentrations before reaching systemic circulation, affecting bioavailability.</w:t>
      </w:r>
    </w:p>
    <w:p w14:paraId="3538FB1B" w14:textId="77400DAC"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6A0034" wp14:editId="26E6971D">
            <wp:extent cx="4562475" cy="3190875"/>
            <wp:effectExtent l="0" t="0" r="9525" b="9525"/>
            <wp:docPr id="12" name="Picture 12" descr="Medicinal Chemistry Basics (All you need to know): Routes of drug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cinal Chemistry Basics (All you need to know): Routes of drug  administr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2475" cy="3190875"/>
                    </a:xfrm>
                    <a:prstGeom prst="rect">
                      <a:avLst/>
                    </a:prstGeom>
                    <a:noFill/>
                    <a:ln>
                      <a:noFill/>
                    </a:ln>
                  </pic:spPr>
                </pic:pic>
              </a:graphicData>
            </a:graphic>
          </wp:inline>
        </w:drawing>
      </w:r>
    </w:p>
    <w:p w14:paraId="660600D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2. Intravenous Administration:</w:t>
      </w:r>
    </w:p>
    <w:p w14:paraId="0F5C181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Mechanism:</w:t>
      </w:r>
    </w:p>
    <w:p w14:paraId="5B161E1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Intravenous administration delivers drugs directly into the bloodstream, bypassing absorption barriers. This method ensures 100% bioavailability as the drug is immediately available for distribution throughout the body. Absorption is not a concern, as the drug is already in the systemic circulation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{"citationItems":[{"id":"ITEM-1","itemData":{"DOI":"10.3390/ijms24043293","ISSN":"14220067","abstract":"This paper reviews recent studies investigating chitosan nanoparticles as drug delivery systems for quercetin. The therapeutic properties of quercetin include antioxidant, antibacterial and anti-cancer potential, but its therapeutic value is limited by its hydrophobic nature, low bioavailability and fast metabolism. Quercetin may also act synergistically with other stronger drugs for specific disease states. The encapsulation of quercetin in nanoparticles may increase its therapeutic value. Chitosan nanoparticles are a popular candidate in preliminary research, but the complex nature of chitosan makes standardisation difficult. Recent studies have used in-vitro, and in-vivo experiments to study the delivery of quercetin alone or in combination with another active pharmaceutical ingredient encapsulated in chitosan nanoparticles. These studies were compared with the administration of non-encapsulated quercetin formulation. Results suggest that encapsulated nanoparticle formulations are better. In-vivo or animal models simulated the type of disease required to be treated. The types of diseases were breast, lung, liver and colon cancers, mechanical and UVB-induced skin damage, cataracts and general oxidative stress. The reviewed studies included various routes of administration: oral, intravenous and transdermal routes. Although toxicity tests were often included, it is believed that the toxicity of loaded nanoparticles needs to be further researched, especially when not orally administered.","author":[{"dropping-particle":"","family":"Lawson","given":"Michael Kenneth","non-dropping-particle":"","parse-names":false,"suffix":""}],"container-title":"International Journal of Molecular Sciences","id":"ITEM-1","issue":"4","issued":{"date-parts":[["2023"]]},"title":"Improvement of Therapeutic Value of Quercetin with Chitosan Nanoparticle Delivery Systems and Potential Applications","type":"article","volume":"24"},"uris":["http://www.mendeley.com/documents/?uuid=c8a19028-4f42-3e44-872f-9b19be03fd0c"]}],"mendeley":{"formattedCitation":"(Lawson, 2023)","plainTextFormattedCitation":"(Lawson, 2023)","previouslyFormattedCitation":"(Lawson,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(Lawson, 2023)</w:t>
      </w:r>
      <w:r>
        <w:rPr>
          <w:rFonts w:ascii="Times New Roman" w:hAnsi="Times New Roman" w:cs="Times New Roman"/>
          <w:sz w:val="24"/>
          <w:szCs w:val="24"/>
        </w:rPr>
        <w:fldChar w:fldCharType="end"/>
      </w:r>
      <w:r>
        <w:rPr>
          <w:rFonts w:ascii="Times New Roman" w:hAnsi="Times New Roman" w:cs="Times New Roman"/>
          <w:sz w:val="24"/>
          <w:szCs w:val="24"/>
        </w:rPr>
        <w:t>.</w:t>
      </w:r>
    </w:p>
    <w:p w14:paraId="7A8C9D4F" w14:textId="69071FC2"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1968A5A" wp14:editId="2BBC11E4">
            <wp:extent cx="5314950" cy="3286125"/>
            <wp:effectExtent l="0" t="0" r="0" b="9525"/>
            <wp:docPr id="11" name="Picture 11" descr="Angles of Administration of Injection - ID, IM, SC,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les of Administration of Injection - ID, IM, SC, IV"/>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4950" cy="3286125"/>
                    </a:xfrm>
                    <a:prstGeom prst="rect">
                      <a:avLst/>
                    </a:prstGeom>
                    <a:noFill/>
                    <a:ln>
                      <a:noFill/>
                    </a:ln>
                  </pic:spPr>
                </pic:pic>
              </a:graphicData>
            </a:graphic>
          </wp:inline>
        </w:drawing>
      </w:r>
    </w:p>
    <w:p w14:paraId="7F7BDACE"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Advantages and Challenges:</w:t>
      </w:r>
    </w:p>
    <w:p w14:paraId="4D85FB7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main advantage of intravenous administration is the rapid onset of action, making it suitable for emergencies. However, this route requires skilled personnel, carries infection risks, and lacks the flexibility of self-administration compared to oral routes.</w:t>
      </w:r>
    </w:p>
    <w:p w14:paraId="280CA3A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3. Transdermal Administration:</w:t>
      </w:r>
    </w:p>
    <w:p w14:paraId="07EE0F1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Mechanism:</w:t>
      </w:r>
    </w:p>
    <w:p w14:paraId="52C5904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Transdermal drug delivery involves absorption through the skin. The primary mechanisms include passive diffusion through the lipid-rich stratum corneum and, in some cases, the use of active transport systems or physical enhancement methods (e.g., iontophoresis).</w:t>
      </w:r>
    </w:p>
    <w:p w14:paraId="003D43CC" w14:textId="77EC92E1"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7469921" wp14:editId="6B3C0083">
            <wp:extent cx="5362575" cy="3324225"/>
            <wp:effectExtent l="0" t="0" r="9525" b="9525"/>
            <wp:docPr id="10" name="Picture 10" descr="Transdermal drug delivery systems - ppt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dermal drug delivery systems - ppt downlo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2575" cy="3324225"/>
                    </a:xfrm>
                    <a:prstGeom prst="rect">
                      <a:avLst/>
                    </a:prstGeom>
                    <a:noFill/>
                    <a:ln>
                      <a:noFill/>
                    </a:ln>
                  </pic:spPr>
                </pic:pic>
              </a:graphicData>
            </a:graphic>
          </wp:inline>
        </w:drawing>
      </w:r>
    </w:p>
    <w:p w14:paraId="495EA59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Advantages and Challenges:</w:t>
      </w:r>
    </w:p>
    <w:p w14:paraId="4F02E8A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Transdermal administration provides a controlled release of drugs over an extended period, enhancing patient compliance. However, not all drugs can penetrate the skin effectively, limiting the range of applicable medications. Skin conditions and individual variability in skin permeability also influence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{"citationItems":[{"id":"ITEM-1","itemData":{"DOI":"10.3390/molecules25184330","ISSN":"14203049","abstract":"Several researchers have reported the use of cholesterol-based carriers in drug delivery. The presence of cholesterol in cell membranes and its wide distribution in the body has led to it being used in preparing carriers for the delivery of a variety of therapeutic agents such as anticancer, antimalarials and antivirals. These cholesterol-based carriers were designed as micelles, nanoparticles, copolymers, liposomes, etc. and their routes of administration include oral, intravenous and transdermal. The biocompatibility, good bioavailability and biological activity of cholesterol-based carriers make them potent prodrugs. Several in vitro and in vivo studies revealed cholesterol-based carriers potentials in delivering bioactive agents. In this manuscript, a critical review of the efficacy of cholesterol-based carriers is reported.","author":[{"dropping-particle":"","family":"Ruwizhi","given":"Ngonidzashe","non-dropping-particle":"","parse-names":false,"suffix":""},{"dropping-particle":"","family":"Aderibigbe","given":"Blessing Atim","non-dropping-particle":"","parse-names":false,"suffix":""}],"container-title":"Molecules","id":"ITEM-1","issue":"18","issued":{"date-parts":[["2020"]]},"title":"The efficacy of cholesterol-based carriers in drug delivery","type":"article","volume":"25"},"uris":["http://www.mendeley.com/documents/?uuid=9b4f2e39-b12b-3af6-bef1-b56f06a3e775"]}],"mendeley":{"formattedCitation":"(Ruwizhi &amp; Aderibigbe, 2020)","plainTextFormattedCitation":"(Ruwizhi &amp; Aderibigbe, 2020)","previouslyFormattedCitation":"(Ruwizhi &amp; Aderibigbe,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(Ruwizhi &amp; Aderibigbe, 2020)</w:t>
      </w:r>
      <w:r>
        <w:rPr>
          <w:rFonts w:ascii="Times New Roman" w:hAnsi="Times New Roman" w:cs="Times New Roman"/>
          <w:sz w:val="24"/>
          <w:szCs w:val="24"/>
        </w:rPr>
        <w:fldChar w:fldCharType="end"/>
      </w:r>
      <w:r>
        <w:rPr>
          <w:rFonts w:ascii="Times New Roman" w:hAnsi="Times New Roman" w:cs="Times New Roman"/>
          <w:sz w:val="24"/>
          <w:szCs w:val="24"/>
        </w:rPr>
        <w:t>.</w:t>
      </w:r>
    </w:p>
    <w:p w14:paraId="3DA3EDE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Comparative Analysis</w:t>
      </w:r>
    </w:p>
    <w:p w14:paraId="54EAFA08"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Similarities</w:t>
      </w:r>
    </w:p>
    <w:p w14:paraId="5586DE7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Passive diffusion is a common mechanism in all three routes, emphasizing the role of concentration gradients in drug absorption. Additionally, each route presents its set of challenges related to variability among individuals, impacting the predictability of drug absorption.</w:t>
      </w:r>
    </w:p>
    <w:p w14:paraId="3210979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Differences</w:t>
      </w:r>
    </w:p>
    <w:p w14:paraId="4193CC4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Oral administration relies heavily on gastrointestinal absorption, subject to variability influenced by factors like pH and first-pass metabolism. Intravenous administration bypasses absorption barriers entirely, providing rapid and predictable bioavailability. Transdermal absorption leverages the unique properties of the skin, offering controlled release but facing challenges related to drug penetration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{"citationItems":[{"id":"ITEM-1","itemData":{"DOI":"10.3390/molecules25184330","ISSN":"14203049","abstract":"Several researchers have reported the use of cholesterol-based carriers in drug delivery. The presence of cholesterol in cell membranes and its wide distribution in the body has led to it being used in preparing carriers for the delivery of a variety of therapeutic agents such as anticancer, antimalarials and antivirals. These cholesterol-based carriers were designed as micelles, nanoparticles, copolymers, liposomes, etc. and their routes of administration include oral, intravenous and transdermal. The biocompatibility, good bioavailability and biological activity of cholesterol-based carriers make them potent prodrugs. Several in vitro and in vivo studies revealed cholesterol-based carriers potentials in delivering bioactive agents. In this manuscript, a critical review of the efficacy of cholesterol-based carriers is reported.","author":[{"dropping-particle":"","family":"Ruwizhi","given":"Ngonidzashe","non-dropping-particle":"","parse-names":false,"suffix":""},{"dropping-particle":"","family":"Aderibigbe","given":"Blessing Atim","non-dropping-particle":"","parse-names":false,"suffix":""}],"container-title":"Molecules","id":"ITEM-1","issue":"18","issued":{"date-parts":[["2020"]]},"title":"The efficacy of cholesterol-based carriers in drug delivery","type":"article","volume":"25"},"uris":["http://www.mendeley.com/documents/?uuid=9b4f2e39-b12b-3af6-bef1-b56f06a3e775"]}],"mendeley":{"formattedCitation":"(Ruwizhi &amp; Aderibigbe, 2020)","plainTextFormattedCitation":"(Ruwizhi &amp; Aderibigbe, 2020)","previouslyFormattedCitation":"(Ruwizhi &amp; Aderibigbe,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(Ruwizhi &amp; Aderibigbe, 2020)</w:t>
      </w:r>
      <w:r>
        <w:rPr>
          <w:rFonts w:ascii="Times New Roman" w:hAnsi="Times New Roman" w:cs="Times New Roman"/>
          <w:sz w:val="24"/>
          <w:szCs w:val="24"/>
        </w:rPr>
        <w:fldChar w:fldCharType="end"/>
      </w:r>
      <w:r>
        <w:rPr>
          <w:rFonts w:ascii="Times New Roman" w:hAnsi="Times New Roman" w:cs="Times New Roman"/>
          <w:sz w:val="24"/>
          <w:szCs w:val="24"/>
        </w:rPr>
        <w:t>.</w:t>
      </w:r>
    </w:p>
    <w:p w14:paraId="5E108C8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14:paraId="3BEBA42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the mechanisms of drug absorption vary significantly across different routes of administration. Each route comes with its advantages and challenges, influencing factors such as onset of action, convenience, and bioavailability. Understanding these variations is crucial for healthcare professionals in optimizing drug delivery strategies based on the specific needs of patients and therapeutic goals. particles through them.</w:t>
      </w:r>
    </w:p>
    <w:p w14:paraId="5A056434"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Analyze the factors influencing drug absorption, including physicochemical properties of drugs and physiological factors</w:t>
      </w:r>
    </w:p>
    <w:p w14:paraId="1BE1F84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absorption is a complex and dynamic process influenced by a myriad of factors that can be broadly categorized into physicochemical properties of drugs and physiological factors. Understanding the interplay between these elements is essential for designing effective drug formulations and optimizing therapeutic outcomes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{"citationItems":[{"id":"ITEM-1","itemData":{"DOI":"10.30574/gscarr.2021.9.3.0296","abstract":"The goal of brain drug targeting technology is the delivery of therapeutics across the blood brain barrier (BBB), including the human BBB. Nose to brain drug delivery has received a great deal of attention as a non- invasive, convenient and reliable drug delivery system. For the systemic and targetedadministration of drug. The various drug deliveries through some drug transport pathways, Factor influencing nasal drug absorption, formulation strategies nose to brain, colloidal carriers in nose to brain drug delivery system and nasal delivery systems. Physiological barriers (BBB) that restricts the delivery of drug to CNS. Thus intranasal route has attracted a wide attention of convenient, non-invasive, reliable, and safe route to achieve faster and higher level of drug in the brain through olfactory region by passing blood brain barrier. Intranasal administration rapid onset of action, no first –pass effect , no gastrointestinal degradation lungs toxicity and non-invasiveness application and also improves bioavailability.","author":[{"dropping-particle":"","family":"Priyadarshani G Patil","given":"","non-dropping-particle":"","parse-names":false,"suffix":""},{"dropping-particle":"","family":"Sampada V Marodkar","given":"","non-dropping-particle":"","parse-names":false,"suffix":""},{"dropping-particle":"","family":"Sachin J Dighade","given":"","non-dropping-particle":"","parse-names":false,"suffix":""},{"dropping-particle":"","family":"Prajakta N Dongare","given":"","non-dropping-particle":"","parse-names":false,"suffix":""},{"dropping-particle":"","family":"Bhagyashri A Borade","given":"","non-dropping-particle":"","parse-names":false,"suffix":""}],"container-title":"GSC Advanced Research and Reviews","id":"ITEM-1","issue":"3","issued":{"date-parts":[["2021"]]},"title":"Innovative approach for nasal drug delivery system for brain target","type":"article-journal","volume":"9"},"uris":["http://www.mendeley.com/documents/?uuid=96437e66-10fe-367d-9d91-84d495a07efa"]}],"mendeley":{"formattedCitation":"(Priyadarshani G Patil et al., 2021)","plainTextFormattedCitation":"(Priyadarshani G Patil et al., 2021)","previouslyFormattedCitation":"(Priyadarshani G Patil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(Priyadarshani G Patil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46FEB06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Physicochemical Properties of Drugs</w:t>
      </w:r>
    </w:p>
    <w:p w14:paraId="33C16B5B"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Molecular Size and Shape</w:t>
      </w:r>
    </w:p>
    <w:p w14:paraId="1E404E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physicochemical properties of drugs play a pivotal role in determining their absorption characteristics. Molecular size and shape influence a drug's ability to traverse biological </w:t>
      </w:r>
      <w:r>
        <w:rPr>
          <w:rFonts w:ascii="Times New Roman" w:hAnsi="Times New Roman" w:cs="Times New Roman"/>
          <w:sz w:val="24"/>
          <w:szCs w:val="24"/>
        </w:rPr>
        <w:lastRenderedPageBreak/>
        <w:t xml:space="preserve">membranes. Small, lipophilic molecules tend to diffuse more easily through cell membranes, facilitating absorption. Larger or polar molecules may face challenges in crossing membranes, necessitating specialized transport mechanisms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{"citationItems":[{"id":"ITEM-1","itemData":{"DOI":"10.52458/9789391842451.nsp2022.eb.asu.ch-04","abstract":"Dr. Mohini Kalra; Dr. Mukesh Kumar Kumawat","author":[{"dropping-particle":"","family":"Kalra","given":"Dr. Mohini","non-dropping-particle":"","parse-names":false,"suffix":""}],"container-title":"BIOPHARMACEUTICS AND PHARMACOKINETICS","id":"ITEM-1","issued":{"date-parts":[["2022"]]},"title":"FACTORS INFLUENCING DRUG ABSORPTION","type":"chapter"},"uris":["http://www.mendeley.com/documents/?uuid=ba1d7d72-fa48-3356-ba41-372dbfe7dba8"]}],"mendeley":{"formattedCitation":"(Kalra, 2022)","plainTextFormattedCitation":"(Kalra, 2022)","previouslyFormattedCitation":"(Kalra,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(Kalra, 2022)</w:t>
      </w:r>
      <w:r>
        <w:rPr>
          <w:rFonts w:ascii="Times New Roman" w:hAnsi="Times New Roman" w:cs="Times New Roman"/>
          <w:sz w:val="24"/>
          <w:szCs w:val="24"/>
        </w:rPr>
        <w:fldChar w:fldCharType="end"/>
      </w:r>
      <w:r>
        <w:rPr>
          <w:rFonts w:ascii="Times New Roman" w:hAnsi="Times New Roman" w:cs="Times New Roman"/>
          <w:sz w:val="24"/>
          <w:szCs w:val="24"/>
        </w:rPr>
        <w:t>.</w:t>
      </w:r>
    </w:p>
    <w:p w14:paraId="23FE902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Lipophilicity and Hydrophilicity</w:t>
      </w:r>
    </w:p>
    <w:p w14:paraId="77ECFCA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lipophilicity (fat solubility) and hydrophilicity (water solubility) of a drug impact its ability to traverse biological barriers. Lipophilic drugs can readily dissolve in cell membranes, enhancing passive diffusion. On the other hand, hydrophilic drugs may require specialized transport mechanisms or face limitations in membrane permeability. The balance between lipophilicity and hydrophilicity is crucial in designing drugs with optimal absorption profiles.</w:t>
      </w:r>
    </w:p>
    <w:p w14:paraId="59A6C19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sz w:val="24"/>
          <w:szCs w:val="24"/>
        </w:rPr>
        <w:t xml:space="preserve"> </w:t>
      </w:r>
      <w:r>
        <w:rPr>
          <w:rFonts w:ascii="Times New Roman" w:hAnsi="Times New Roman" w:cs="Times New Roman"/>
          <w:b/>
          <w:i/>
          <w:sz w:val="24"/>
          <w:szCs w:val="24"/>
        </w:rPr>
        <w:t>Ionization State</w:t>
      </w:r>
    </w:p>
    <w:p w14:paraId="6D5D3C4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ionization state of a drug is influenced by its </w:t>
      </w:r>
      <w:proofErr w:type="spellStart"/>
      <w:r>
        <w:rPr>
          <w:rFonts w:ascii="Times New Roman" w:hAnsi="Times New Roman" w:cs="Times New Roman"/>
          <w:sz w:val="24"/>
          <w:szCs w:val="24"/>
        </w:rPr>
        <w:t>pKa</w:t>
      </w:r>
      <w:proofErr w:type="spellEnd"/>
      <w:r>
        <w:rPr>
          <w:rFonts w:ascii="Times New Roman" w:hAnsi="Times New Roman" w:cs="Times New Roman"/>
          <w:sz w:val="24"/>
          <w:szCs w:val="24"/>
        </w:rPr>
        <w:t xml:space="preserve"> and the pH of the surrounding environment. Ionized (charged) and non-ionized (uncharged) forms of a drug exhibit different solubilities and permeabilities. The degree of ionization affects a drug's ability to cross biological membranes through passive diffusion. Understanding the pH conditions at different absorption sites is vital for predicting and manipulating the ionization state of drugs.</w:t>
      </w:r>
    </w:p>
    <w:p w14:paraId="2CDE771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Solubility</w:t>
      </w:r>
    </w:p>
    <w:p w14:paraId="6D8C6F2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solubility of a drug in the physiological fluids at the site of administration is a critical determinant of its absorption. Poorly soluble drugs may form precipitates or crystals, limiting their dissolution and subsequent absorption. Formulating drugs in ways that enhance their solubility, such as using prodrug strategies or incorporating solubilizing agents, is a common approach to address this challenge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{"citationItems":[{"id":"ITEM-1","itemData":{"DOI":"10.52458/9789391842451.nsp2022.eb.asu.ch-04","abstract":"Dr. Mohini Kalra; Dr. Mukesh Kumar Kumawat","author":[{"dropping-particle":"","family":"Kalra","given":"Dr. Mohini","non-dropping-particle":"","parse-names":false,"suffix":""}],"container-title":"BIOPHARMACEUTICS AND PHARMACOKINETICS","id":"ITEM-1","issued":{"date-parts":[["2022"]]},"title":"FACTORS INFLUENCING DRUG ABSORPTION","type":"chapter"},"uris":["http://www.mendeley.com/documents/?uuid=ba1d7d72-fa48-3356-ba41-372dbfe7dba8"]}],"mendeley":{"formattedCitation":"(Kalra, 2022)","plainTextFormattedCitation":"(Kalra, 2022)","previouslyFormattedCitation":"(Kalra,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(Kalra, 2022)</w:t>
      </w:r>
      <w:r>
        <w:rPr>
          <w:rFonts w:ascii="Times New Roman" w:hAnsi="Times New Roman" w:cs="Times New Roman"/>
          <w:sz w:val="24"/>
          <w:szCs w:val="24"/>
        </w:rPr>
        <w:fldChar w:fldCharType="end"/>
      </w:r>
      <w:r>
        <w:rPr>
          <w:rFonts w:ascii="Times New Roman" w:hAnsi="Times New Roman" w:cs="Times New Roman"/>
          <w:sz w:val="24"/>
          <w:szCs w:val="24"/>
        </w:rPr>
        <w:t>.</w:t>
      </w:r>
    </w:p>
    <w:p w14:paraId="3F91CA72"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Chemical Stability</w:t>
      </w:r>
    </w:p>
    <w:p w14:paraId="57103AC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chemical stability of a drug influences its integrity throughout the absorption process. Some drugs may undergo degradation due to factors such as pH changes or enzymatic activity. Ensuring chemical stability is essential to maintain the therapeutic efficacy of the drug from administration to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{"citationItems":[{"id":"ITEM-1","itemData":{"DOI":"10.52458/9789391842451.nsp2022.eb.asu.ch-04","abstract":"Dr. Mohini Kalra; Dr. Mukesh Kumar Kumawat","author":[{"dropping-particle":"","family":"Kalra","given":"Dr. Mohini","non-dropping-particle":"","parse-names":false,"suffix":""}],"container-title":"BIOPHARMACEUTICS AND PHARMACOKINETICS","id":"ITEM-1","issued":{"date-parts":[["2022"]]},"title":"FACTORS INFLUENCING DRUG ABSORPTION","type":"chapter"},"uris":["http://www.mendeley.com/documents/?uuid=ba1d7d72-fa48-3356-ba41-372dbfe7dba8"]}],"mendeley":{"formattedCitation":"(Kalra, 2022)","plainTextFormattedCitation":"(Kalra, 2022)","previouslyFormattedCitation":"(Kalra,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(Kalra, 2022)</w:t>
      </w:r>
      <w:r>
        <w:rPr>
          <w:rFonts w:ascii="Times New Roman" w:hAnsi="Times New Roman" w:cs="Times New Roman"/>
          <w:sz w:val="24"/>
          <w:szCs w:val="24"/>
        </w:rPr>
        <w:fldChar w:fldCharType="end"/>
      </w:r>
      <w:r>
        <w:rPr>
          <w:rFonts w:ascii="Times New Roman" w:hAnsi="Times New Roman" w:cs="Times New Roman"/>
          <w:sz w:val="24"/>
          <w:szCs w:val="24"/>
        </w:rPr>
        <w:t>.</w:t>
      </w:r>
    </w:p>
    <w:p w14:paraId="24ABA31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Physiological Factors</w:t>
      </w:r>
    </w:p>
    <w:p w14:paraId="679C3EB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Gastrointestinal Factors</w:t>
      </w:r>
    </w:p>
    <w:p w14:paraId="701E9D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gastrointestinal tract serves as a primary site for drug absorption in oral administration. Factors such as gastric pH, gastric emptying time, and intestinal transit time significantly impact drug absorption. The stomach's acidic environment can affect the solubility and stability of certain drugs. Additionally, variations in gastric emptying and intestinal motility contribute to the variability in drug absorption rates among individuals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{"citationItems":[{"id":"ITEM-1","itemData":{"DOI":"10.1201/9780824744694-7","abstract":"In this chapter we examine dosage forms as drug-delivery systems. The scope of the examination will, however, be limited to those oral dosage forms in which the drug is not in solution when taken by the patient. Usually the absorption of drugs from aqueous solutions can be defined by the principles discussed in Chapter 2. However, occasionally drugs in solution may precipitate in the gastrointestinal (GI) fluids and effectively be considered as suspensions. Nevertheless, the dosage forms considered in this chapter are tablets, capsules, and suspensions. In addition, the discussion is limited to drugs absorbed by passive diffusion that thus appear to obey first-order linear absorption kinetics.","author":[{"dropping-particle":"","family":"Hoener","given":"Betty Ann","non-dropping-particle":"","parse-names":false,"suffix":""},{"dropping-particle":"","family":"Benet","given":"Leslie Z.","non-dropping-particle":"","parse-names":false,"suffix":""}],"container-title":"Modern Pharmaceutics, Fourth Edition, Revised and Expanded","id":"ITEM-1","issued":{"date-parts":[["2002"]]},"title":"Factors influencing drug absorption and drug availability","type":"chapter"},"uris":["http://www.mendeley.com/documents/?uuid=f48a0d3b-3da8-3ed9-b187-317f5f5dfb6b"]}],"mendeley":{"formattedCitation":"(Hoener &amp; Benet, 2002)","plainTextFormattedCitation":"(Hoener &amp; Benet, 2002)","previouslyFormattedCitation":"(Hoener &amp; Benet, 2002)"},"properties":{"noteIndex":0},"schema":"https://github.com/citation-style-language/schema/raw/master/csl-citation.json"}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(Hoener &amp; Benet, 2002)</w:t>
      </w:r>
      <w:r>
        <w:rPr>
          <w:rFonts w:ascii="Times New Roman" w:hAnsi="Times New Roman" w:cs="Times New Roman"/>
          <w:sz w:val="24"/>
          <w:szCs w:val="24"/>
        </w:rPr>
        <w:fldChar w:fldCharType="end"/>
      </w:r>
      <w:r>
        <w:rPr>
          <w:rFonts w:ascii="Times New Roman" w:hAnsi="Times New Roman" w:cs="Times New Roman"/>
          <w:sz w:val="24"/>
          <w:szCs w:val="24"/>
        </w:rPr>
        <w:t>.</w:t>
      </w:r>
    </w:p>
    <w:p w14:paraId="617B691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Blood Flow and Capillary Permeability</w:t>
      </w:r>
    </w:p>
    <w:p w14:paraId="567A825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Blood flow to the site of drug administration is crucial for delivering the drug to systemic circulation. Highly vascularized tissues, such as the muscles, facilitate faster absorption. Capillary permeability also influences drug absorption, with fenestrated capillaries allowing greater passage of substances. Factors affecting blood flow, such as local vasoconstriction or vasodilation, can alter drug absorption rates.</w:t>
      </w:r>
    </w:p>
    <w:p w14:paraId="34E67921" w14:textId="1D0812C9" w:rsidR="00460EB1" w:rsidRDefault="00460EB1" w:rsidP="00460EB1">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A6D5956" wp14:editId="61C6A72B">
            <wp:extent cx="5219700" cy="2447925"/>
            <wp:effectExtent l="0" t="0" r="0" b="9525"/>
            <wp:docPr id="9" name="Picture 9" descr="Capilla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illary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9700" cy="2447925"/>
                    </a:xfrm>
                    <a:prstGeom prst="rect">
                      <a:avLst/>
                    </a:prstGeom>
                    <a:noFill/>
                    <a:ln>
                      <a:noFill/>
                    </a:ln>
                  </pic:spPr>
                </pic:pic>
              </a:graphicData>
            </a:graphic>
          </wp:inline>
        </w:drawing>
      </w:r>
    </w:p>
    <w:p w14:paraId="08C1ABB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 xml:space="preserve">Source: </w:t>
      </w:r>
      <w:r>
        <w:rPr>
          <w:rFonts w:ascii="Times New Roman" w:hAnsi="Times New Roman" w:cs="Times New Roman"/>
          <w:b/>
          <w:i/>
          <w:sz w:val="24"/>
          <w:szCs w:val="24"/>
        </w:rPr>
        <w:fldChar w:fldCharType="begin" w:fldLock="1"/>
      </w:r>
      <w:r>
        <w:rPr>
          <w:rFonts w:ascii="Times New Roman" w:hAnsi="Times New Roman" w:cs="Times New Roman"/>
          <w:b/>
          <w:i/>
          <w:sz w:val="24"/>
          <w:szCs w:val="24"/>
        </w:rPr>
        <w:instrText>ADDIN CSL_CITATION {"citationItems":[{"id":"ITEM-1","itemData":{"DOI":"10.1201/9780824744694-7","abstract":"In this chapter we examine dosage forms as drug-delivery systems. The scope of the examination will, however, be limited to those oral dosage forms in which the drug is not in solution when taken by the patient. Usually the absorption of drugs from aqueous solutions can be defined by the principles discussed in Chapter 2. However, occasionally drugs in solution may precipitate in the gastrointestinal (GI) fluids and effectively be considered as suspensions. Nevertheless, the dosage forms considered in this chapter are tablets, capsules, and suspensions. In addition, the discussion is limited to drugs absorbed by passive diffusion that thus appear to obey first-order linear absorption kinetics.","author":[{"dropping-particle":"","family":"Hoener","given":"Betty Ann","non-dropping-particle":"","parse-names":false,"suffix":""},{"dropping-particle":"","family":"Benet","given":"Leslie Z.","non-dropping-particle":"","parse-names":false,"suffix":""}],"container-title":"Modern Pharmaceutics, Fourth Edition, Revised and Expanded","id":"ITEM-1","issued":{"date-parts":[["2002"]]},"title":"Factors influencing drug absorption and drug availability","type":"chapter"},"uris":["http://www.mendeley.com/documents/?uuid=f48a0d3b-3da8-3ed9-b187-317f5f5dfb6b"]}],"mendeley":{"formattedCitation":"(Hoener &amp; Benet, 2002)","plainTextFormattedCitation":"(Hoener &amp; Benet, 2002)","previouslyFormattedCitation":"(Hoener &amp; Benet, 2002)"},"properties":{"noteIndex":0},"schema":"https://github.com/citation-style-language/schema/raw/master/csl-citation.json"}</w:instrText>
      </w:r>
      <w:r>
        <w:rPr>
          <w:rFonts w:ascii="Times New Roman" w:hAnsi="Times New Roman" w:cs="Times New Roman"/>
          <w:b/>
          <w:i/>
          <w:sz w:val="24"/>
          <w:szCs w:val="24"/>
        </w:rPr>
        <w:fldChar w:fldCharType="separate"/>
      </w:r>
      <w:r>
        <w:rPr>
          <w:rFonts w:ascii="Times New Roman" w:hAnsi="Times New Roman" w:cs="Times New Roman"/>
          <w:b/>
          <w:i/>
          <w:noProof/>
          <w:sz w:val="24"/>
          <w:szCs w:val="24"/>
        </w:rPr>
        <w:t>(Hoener &amp; Benet, 2002)</w:t>
      </w:r>
      <w:r>
        <w:rPr>
          <w:rFonts w:ascii="Times New Roman" w:hAnsi="Times New Roman" w:cs="Times New Roman"/>
          <w:b/>
          <w:i/>
          <w:sz w:val="24"/>
          <w:szCs w:val="24"/>
        </w:rPr>
        <w:fldChar w:fldCharType="end"/>
      </w:r>
    </w:p>
    <w:p w14:paraId="08E4BB29"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 xml:space="preserve"> Absorption Surface Area</w:t>
      </w:r>
    </w:p>
    <w:p w14:paraId="49ECD22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surface area available for drug absorption is a critical determinant, especially in the gastrointestinal tract. The small intestine, with its extensive surface area provided by villi and microvilli, offers an optimal environment for absorption. Diseases affecting the surface area, such as inflammatory conditions or surgeries, can impact drug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{"citationItems":[{"id":"ITEM-1","itemData":{"DOI":"10.1016/0378-5173(96)85200-8","ISSN":"03785173","abstract":"The authors firstly review the literature dealing with drug absorption sites in the gastrointestinal tract. Descriptions are given of the methods used in determining the location of these sites, and the advantages and disadvantages of each method are critically discussed. The results obtained concerning the absorption sites of the drugs used in the in vivo methods studied are given in a tabular form and several factors influencing drug absorption are briefly reported. Mechanisms of drug absorption in the human body and their influence on absorption sites are examined. Finally, there is a discussion of various dosage forms which are used for targeting drug absorption to specific sites.","author":[{"dropping-particle":"","family":"Rouge","given":"N.","non-dropping-particle":"","parse-names":false,"suffix":""},{"dropping-particle":"","family":"Buri","given":"P.","non-dropping-particle":"","parse-names":false,"suffix":""},{"dropping-particle":"","family":"Doelker","given":"E.","non-dropping-particle":"","parse-names":false,"suffix":""}],"container-title":"International Journal of Pharmaceutics","id":"ITEM-1","issue":"1-2","issued":{"date-parts":[["1996"]]},"title":"Drug absorption sites in the gastrointestinal tract and dosage forms for site-specific delivery","type":"article-journal","volume":"136"},"uris":["http://www.mendeley.com/documents/?uuid=1199385a-63a8-3e4e-b443-b9f864fd9b96"]}],"mendeley":{"formattedCitation":"(Rouge et al., 1996)","plainTextFormattedCitation":"(Rouge et al., 1996)","previouslyFormattedCitation":"(Rouge et al., 1996)"},"properties":{"noteIndex":0},"schema":"https://github.com/citation-style-language/schema/raw/master/csl-citation.json"}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(Rouge et al., 1996)</w:t>
      </w:r>
      <w:r>
        <w:rPr>
          <w:rFonts w:ascii="Times New Roman" w:hAnsi="Times New Roman" w:cs="Times New Roman"/>
          <w:sz w:val="24"/>
          <w:szCs w:val="24"/>
        </w:rPr>
        <w:fldChar w:fldCharType="end"/>
      </w:r>
      <w:r>
        <w:rPr>
          <w:rFonts w:ascii="Times New Roman" w:hAnsi="Times New Roman" w:cs="Times New Roman"/>
          <w:sz w:val="24"/>
          <w:szCs w:val="24"/>
        </w:rPr>
        <w:t>.</w:t>
      </w:r>
    </w:p>
    <w:p w14:paraId="1D47469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Enzymatic Activity</w:t>
      </w:r>
    </w:p>
    <w:p w14:paraId="526AC9B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Enzymes in the gastrointestinal tract and liver play a crucial role in drug metabolism and can influence absorption. For instance, the presence of enzymes like cytochrome P450 in the liver can metabolize drugs before they reach systemic circulation, affecting bioavailability. Understanding the enzymatic landscape is essential in predicting and optimizing drug absorption.</w:t>
      </w:r>
    </w:p>
    <w:p w14:paraId="65C975A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Disease States and Age</w:t>
      </w:r>
    </w:p>
    <w:p w14:paraId="7CB3716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Disease states can alter the physiological conditions relevant to drug absorption. Conditions affecting gastrointestinal motility, mucosal integrity, or blood flow can impact the absorption of orally administered drugs. Similarly, age-related changes in gastrointestinal physiology, such as reduced gastric acidity or altered intestinal transit time, can influence drug absorption patterns in pediatric and geriatric populations.</w:t>
      </w:r>
    </w:p>
    <w:p w14:paraId="0B11EE7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Interplay between Physicochemical and Physiological Factors</w:t>
      </w:r>
    </w:p>
    <w:p w14:paraId="49F6C6E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absorption of a drug is a dynamic interplay between its physicochemical properties and the physiological conditions at the site of administration. For instance, a lipophilic drug designed for passive diffusion may encounter challenges in a highly polar environment. Conversely, a hydrophilic drug may struggle to penetrate cell membranes via passive diffusion, necessitating specialized transport mechanisms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{"citationItems":[{"id":"ITEM-1","itemData":{"DOI":"10.1201/9780824744694-7","abstract":"In this chapter we examine dosage forms as drug-delivery systems. The scope of the examination will, however, be limited to those oral dosage forms in which the drug is not in solution when taken by the patient. Usually the absorption of drugs from aqueous solutions can be defined by the principles discussed in Chapter 2. However, occasionally drugs in solution may precipitate in the gastrointestinal (GI) fluids and effectively be considered as suspensions. Nevertheless, the dosage forms considered in this chapter are tablets, capsules, and suspensions. In addition, the discussion is limited to drugs absorbed by passive diffusion that thus appear to obey first-order linear absorption kinetics.","author":[{"dropping-particle":"","family":"Hoener","given":"Betty Ann","non-dropping-particle":"","parse-names":false,"suffix":""},{"dropping-particle":"","family":"Benet","given":"Leslie Z.","non-dropping-particle":"","parse-names":false,"suffix":""}],"container-title":"Modern Pharmaceutics, Fourth Edition, Revised and Expanded","id":"ITEM-1","issued":{"date-parts":[["2002"]]},"title":"Factors influencing drug absorption and drug availability","type":"chapter"},"uris":["http://www.mendeley.com/documents/?uuid=f48a0d3b-3da8-3ed9-b187-317f5f5dfb6b"]}],"mendeley":{"formattedCitation":"(Hoener &amp; Benet, 2002)","plainTextFormattedCitation":"(Hoener &amp; Benet, 2002)","previouslyFormattedCitation":"(Hoener &amp; Benet, 2002)"},"properties":{"noteIndex":0},"schema":"https://github.com/citation-style-language/schema/raw/master/csl-citation.json"}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(Hoener &amp; Benet, 2002)</w:t>
      </w:r>
      <w:r>
        <w:rPr>
          <w:rFonts w:ascii="Times New Roman" w:hAnsi="Times New Roman" w:cs="Times New Roman"/>
          <w:sz w:val="24"/>
          <w:szCs w:val="24"/>
        </w:rPr>
        <w:fldChar w:fldCharType="end"/>
      </w:r>
      <w:r>
        <w:rPr>
          <w:rFonts w:ascii="Times New Roman" w:hAnsi="Times New Roman" w:cs="Times New Roman"/>
          <w:sz w:val="24"/>
          <w:szCs w:val="24"/>
        </w:rPr>
        <w:t>.</w:t>
      </w:r>
    </w:p>
    <w:p w14:paraId="1B39DDD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Moreover, the physicochemical properties of drugs can influence the formulation design to optimize absorption. Prodrugs, for example, are inactive compounds that undergo enzymatic or chemical transformations to become active drugs. This strategy is often employed to enhance the solubility, stability, or membrane permeability of drugs, thereby improving their absorption characteristics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{"citationItems":[{"id":"ITEM-1","itemData":{"DOI":"10.1016/0378-5173(96)85200-8","ISSN":"03785173","abstract":"The authors firstly review the literature dealing with drug absorption sites in the gastrointestinal tract. Descriptions are given of the methods used in determining the location of these sites, and the advantages and disadvantages of each method are critically discussed. The results obtained concerning the absorption sites of the drugs used in the in vivo methods studied are given in a tabular form and several factors influencing drug absorption are briefly reported. Mechanisms of drug absorption in the human body and their influence on absorption sites are examined. Finally, there is a discussion of various dosage forms which are used for targeting drug absorption to specific sites.","author":[{"dropping-particle":"","family":"Rouge","given":"N.","non-dropping-particle":"","parse-names":false,"suffix":""},{"dropping-particle":"","family":"Buri","given":"P.","non-dropping-particle":"","parse-names":false,"suffix":""},{"dropping-particle":"","family":"Doelker","given":"E.","non-dropping-particle":"","parse-names":false,"suffix":""}],"container-title":"International Journal of Pharmaceutics","id":"ITEM-1","issue":"1-2","issued":{"date-parts":[["1996"]]},"title":"Drug absorption sites in the gastrointestinal tract and dosage forms for site-specific delivery","type":"article-journal","volume":"136"},"uris":["http://www.mendeley.com/documents/?uuid=1199385a-63a8-3e4e-b443-b9f864fd9b96"]}],"mendeley":{"formattedCitation":"(Rouge et al., 1996)","plainTextFormattedCitation":"(Rouge et al., 1996)","previouslyFormattedCitation":"(Rouge et al., 1996)"},"properties":{"noteIndex":0},"schema":"https://github.com/citation-style-language/schema/raw/master/csl-citation.json"}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(Rouge et al., 1996)</w:t>
      </w:r>
      <w:r>
        <w:rPr>
          <w:rFonts w:ascii="Times New Roman" w:hAnsi="Times New Roman" w:cs="Times New Roman"/>
          <w:sz w:val="24"/>
          <w:szCs w:val="24"/>
        </w:rPr>
        <w:fldChar w:fldCharType="end"/>
      </w:r>
      <w:r>
        <w:rPr>
          <w:rFonts w:ascii="Times New Roman" w:hAnsi="Times New Roman" w:cs="Times New Roman"/>
          <w:sz w:val="24"/>
          <w:szCs w:val="24"/>
        </w:rPr>
        <w:t>.</w:t>
      </w:r>
    </w:p>
    <w:p w14:paraId="160165D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4EACBAE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drug absorption is a multifaceted process influenced by a myriad of factors. The physicochemical properties of drugs, including molecular size, lipophilicity, ionization state, solubility, and chemical stability, interact intricately with physiological factors such as gastrointestinal conditions, blood flow, enzymatic activity, and absorption surface area. </w:t>
      </w:r>
      <w:r>
        <w:rPr>
          <w:rFonts w:ascii="Times New Roman" w:hAnsi="Times New Roman" w:cs="Times New Roman"/>
          <w:sz w:val="24"/>
          <w:szCs w:val="24"/>
        </w:rPr>
        <w:lastRenderedPageBreak/>
        <w:t>Understanding this complex interplay is essential for designing effective drug formulations, predicting absorption patterns, and optimizing therapeutic outcomes. As pharmaceutical research advances, the integration of these factors will continue to be a central focus in the development of novel drug delivery strategies and personalized medicine approaches.</w:t>
      </w:r>
    </w:p>
    <w:p w14:paraId="538BFD6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Explain the concept of bioavailability and its relevance to drug absorption and pharmacokinetics.</w:t>
      </w:r>
    </w:p>
    <w:p w14:paraId="3C86049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7C6A94A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Bioavailability is a crucial concept in pharmacology that describes the fraction of an administered drug that reaches the systemic circulation and is available to exert its pharmacological effects. This measure is pivotal in understanding the efficiency of drug absorption and its subsequent impact on pharmacokinetics—the study of drug movement within the body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{"citationItems":[{"id":"ITEM-1","itemData":{"DOI":"10.1038/srep42717","ISSN":"20452322","abstract":"To be effective as a drug, a potent molecule must reach its target in the body in sufficient concentration, and stay there in a bioactive form long enough for the expected biologic events to occur. Drug development involves assessment of absorption, distribution, metabolism and excretion (ADME) increasingly earlier in the discovery process, at a stage when considered compounds are numerous but access to the physical samples is limited. In that context, computer models constitute valid alternatives to experiments. Here, we present the new SwissADME web tool that gives free access to a pool of fast yet robust predictive models for physicochemical properties, pharmacokinetics, drug-likeness and medicinal chemistry friendliness, among which in-house proficient methods such as the BOILED-Egg, iLOGP and Bioavailability Radar. Easy efficient input and interpretation are ensured thanks to a user-friendly interface through the login-free website http://www.swissadme.ch. Specialists, but also nonexpert in cheminformatics or computational chemistry can predict rapidly key parameters for a collection of molecules to support their drug discovery endeavours.","author":[{"dropping-particle":"","family":"Daina","given":"Antoine","non-dropping-particle":"","parse-names":false,"suffix":""},{"dropping-particle":"","family":"Michielin","given":"Olivier","non-dropping-particle":"","parse-names":false,"suffix":""},{"dropping-particle":"","family":"Zoete","given":"Vincent","non-dropping-particle":"","parse-names":false,"suffix":""}],"container-title":"Scientific Reports","id":"ITEM-1","issued":{"date-parts":[["2017"]]},"title":"SwissADME: A free web tool to evaluate pharmacokinetics, drug-likeness and medicinal chemistry friendliness of small molecules","type":"article-journal","volume":"7"},"uris":["http://www.mendeley.com/documents/?uuid=9e3b3ac3-81b7-3284-a3db-70ec1aeca38e"]}],"mendeley":{"formattedCitation":"(Daina et al., 2017)","plainTextFormattedCitation":"(Daina et al., 2017)","previouslyFormattedCitation":"(Daina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(Daina et al., 2017)</w:t>
      </w:r>
      <w:r>
        <w:rPr>
          <w:rFonts w:ascii="Times New Roman" w:hAnsi="Times New Roman" w:cs="Times New Roman"/>
          <w:sz w:val="24"/>
          <w:szCs w:val="24"/>
        </w:rPr>
        <w:fldChar w:fldCharType="end"/>
      </w:r>
      <w:r>
        <w:rPr>
          <w:rFonts w:ascii="Times New Roman" w:hAnsi="Times New Roman" w:cs="Times New Roman"/>
          <w:sz w:val="24"/>
          <w:szCs w:val="24"/>
        </w:rPr>
        <w:t>.</w:t>
      </w:r>
    </w:p>
    <w:p w14:paraId="1FD4CFC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Definition and Calculation</w:t>
      </w:r>
    </w:p>
    <w:p w14:paraId="4234300E"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Bioavailability is typically expressed as a percentage and is calculated by comparing the amount of the drug that reaches the bloodstream after a specific route of administration to the total dose administered. The formula for bioavailability is:</w:t>
      </w:r>
    </w:p>
    <w:p w14:paraId="67246159" w14:textId="77777777" w:rsidR="00460EB1" w:rsidRDefault="00460EB1" w:rsidP="00460EB1">
      <w:pPr>
        <w:spacing w:line="480" w:lineRule="auto"/>
        <w:jc w:val="both"/>
        <w:rPr>
          <w:rFonts w:ascii="Times New Roman" w:hAnsi="Times New Roman" w:cs="Times New Roman"/>
          <w:b/>
          <w:i/>
          <w:sz w:val="24"/>
          <w:szCs w:val="24"/>
        </w:rPr>
      </w:pPr>
      <w:r>
        <w:rPr>
          <w:rStyle w:val="mord"/>
          <w:rFonts w:ascii="Times New Roman" w:hAnsi="Times New Roman" w:cs="Times New Roman"/>
          <w:b/>
          <w:i/>
          <w:color w:val="374151"/>
          <w:sz w:val="24"/>
          <w:szCs w:val="24"/>
        </w:rPr>
        <w:t>Bioavailability (</w:t>
      </w:r>
      <w:proofErr w:type="gramStart"/>
      <w:r>
        <w:rPr>
          <w:rStyle w:val="mord"/>
          <w:rFonts w:ascii="Times New Roman" w:hAnsi="Times New Roman" w:cs="Times New Roman"/>
          <w:b/>
          <w:i/>
          <w:color w:val="374151"/>
          <w:sz w:val="24"/>
          <w:szCs w:val="24"/>
        </w:rPr>
        <w:t>%)</w:t>
      </w:r>
      <w:r>
        <w:rPr>
          <w:rStyle w:val="mrel"/>
          <w:rFonts w:ascii="Times New Roman" w:hAnsi="Times New Roman" w:cs="Times New Roman"/>
          <w:b/>
          <w:i/>
          <w:color w:val="374151"/>
          <w:sz w:val="24"/>
          <w:szCs w:val="24"/>
        </w:rPr>
        <w:t>=</w:t>
      </w:r>
      <w:proofErr w:type="gramEnd"/>
      <w:r>
        <w:rPr>
          <w:rStyle w:val="mrel"/>
          <w:rFonts w:ascii="Times New Roman" w:hAnsi="Times New Roman" w:cs="Times New Roman"/>
          <w:b/>
          <w:i/>
          <w:color w:val="374151"/>
          <w:sz w:val="24"/>
          <w:szCs w:val="24"/>
        </w:rPr>
        <w:t xml:space="preserve"> </w:t>
      </w:r>
      <w:r>
        <w:rPr>
          <w:rStyle w:val="delimsizing"/>
          <w:rFonts w:ascii="Times New Roman" w:hAnsi="Times New Roman" w:cs="Times New Roman"/>
          <w:b/>
          <w:i/>
          <w:color w:val="374151"/>
          <w:sz w:val="24"/>
          <w:szCs w:val="24"/>
        </w:rPr>
        <w:t>(</w:t>
      </w:r>
      <w:r>
        <w:rPr>
          <w:rStyle w:val="mord"/>
          <w:rFonts w:ascii="Times New Roman" w:hAnsi="Times New Roman" w:cs="Times New Roman"/>
          <w:b/>
          <w:i/>
          <w:color w:val="374151"/>
          <w:sz w:val="24"/>
          <w:szCs w:val="24"/>
        </w:rPr>
        <w:t>Total Administered DoseAmount of Drug Reaching Systemic Circulation</w:t>
      </w:r>
      <w:r>
        <w:rPr>
          <w:rStyle w:val="vlist-s"/>
          <w:rFonts w:ascii="Times New Roman" w:hAnsi="Times New Roman" w:cs="Times New Roman"/>
          <w:b/>
          <w:i/>
          <w:color w:val="374151"/>
          <w:sz w:val="24"/>
          <w:szCs w:val="24"/>
        </w:rPr>
        <w:t>​</w:t>
      </w:r>
      <w:r>
        <w:rPr>
          <w:rStyle w:val="delimsizing"/>
          <w:rFonts w:ascii="Times New Roman" w:hAnsi="Times New Roman" w:cs="Times New Roman"/>
          <w:b/>
          <w:i/>
          <w:color w:val="374151"/>
          <w:sz w:val="24"/>
          <w:szCs w:val="24"/>
        </w:rPr>
        <w:t>)</w:t>
      </w:r>
      <w:r>
        <w:rPr>
          <w:rStyle w:val="mbin"/>
          <w:rFonts w:ascii="Times New Roman" w:hAnsi="Times New Roman" w:cs="Times New Roman"/>
          <w:b/>
          <w:i/>
          <w:color w:val="374151"/>
          <w:sz w:val="24"/>
          <w:szCs w:val="24"/>
        </w:rPr>
        <w:t xml:space="preserve"> ×</w:t>
      </w:r>
      <w:r>
        <w:rPr>
          <w:rStyle w:val="mord"/>
          <w:rFonts w:ascii="Times New Roman" w:hAnsi="Times New Roman" w:cs="Times New Roman"/>
          <w:b/>
          <w:i/>
          <w:color w:val="374151"/>
          <w:sz w:val="24"/>
          <w:szCs w:val="24"/>
        </w:rPr>
        <w:t>100</w:t>
      </w:r>
    </w:p>
    <w:p w14:paraId="79B7927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Oral Bioavailability</w:t>
      </w:r>
    </w:p>
    <w:p w14:paraId="127B824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concept gains particular significance in oral drug administration due to the challenges posed by the gastrointestinal tract. Upon oral ingestion, drugs may undergo degradation in the </w:t>
      </w:r>
      <w:r>
        <w:rPr>
          <w:rFonts w:ascii="Times New Roman" w:hAnsi="Times New Roman" w:cs="Times New Roman"/>
          <w:sz w:val="24"/>
          <w:szCs w:val="24"/>
        </w:rPr>
        <w:lastRenderedPageBreak/>
        <w:t xml:space="preserve">acidic environment of the stomach, encounter barriers in intestinal absorption, and undergo first-pass metabolism in the liver. First-pass metabolism involves the biotransformation of a drug before it reaches systemic circulation, potentially reducing its bioavailability. Understanding and optimizing oral bioavailability are critical in ensuring that the administered dose effectively reaches its target site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{"citationItems":[{"id":"ITEM-1","itemData":{"DOI":"10.3390/pharmaceutics15010164","ISSN":"19994923","abstract":"Nano-emulgel is an emerging drug delivery system intended to enhance the therapeutic profile of lipophilic drugs. Lipophilic formulations have a variety of limitations, which includes poor solubility, unpredictable absorption, and low oral bioavailability. Nano-emulgel, an amalgamated preparation of different systems aims to deal with these limitations. The novel system prepared by the incorporation of nano-emulsion into gel improves stability and enables drug delivery for both immediate and controlled release. The focus on nano-emulgel has also increased due to its ability to achieve targeted delivery, ease of application, absence of gastrointestinal degradation or the first pass metabolism, and safety profile. This review focuses on the formulation components of nano-emulgel for topical drug delivery, pharmacokinetics and safety profiles.","author":[{"dropping-particle":"","family":"Donthi","given":"Mahipal Reddy","non-dropping-particle":"","parse-names":false,"suffix":""},{"dropping-particle":"","family":"Munnangi","given":"Siva Ram","non-dropping-particle":"","parse-names":false,"suffix":""},{"dropping-particle":"","family":"Krishna","given":"Kowthavarapu Venkata","non-dropping-particle":"","parse-names":false,"suffix":""},{"dropping-particle":"","family":"Saha","given":"Ranendra Narayan","non-dropping-particle":"","parse-names":false,"suffix":""},{"dropping-particle":"","family":"Singhvi","given":"Gautam","non-dropping-particle":"","parse-names":false,"suffix":""},{"dropping-particle":"","family":"Dubey","given":"Sunil Kumar","non-dropping-particle":"","parse-names":false,"suffix":""}],"container-title":"Pharmaceutics","id":"ITEM-1","issue":"1","issued":{"date-parts":[["2023"]]},"title":"Nanoemulgel: A Novel Nano Carrier as a Tool for Topical Drug Delivery","type":"article","volume":"15"},"uris":["http://www.mendeley.com/documents/?uuid=4c632cb8-bd19-360d-b271-af8d19f2c1e5"]}],"mendeley":{"formattedCitation":"(Donthi et al., 2023)","plainTextFormattedCitation":"(Donthi et al., 2023)","previouslyFormattedCitation":"(Donthi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(Donthi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2740BDF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Factors Influencing Bioavailability</w:t>
      </w:r>
    </w:p>
    <w:p w14:paraId="79C4C26F"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Several factors influence bioavailability, reflecting the intricate interplay between drug properties and physiological processes.</w:t>
      </w:r>
    </w:p>
    <w:p w14:paraId="0C641962"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Drug Formulation</w:t>
      </w:r>
    </w:p>
    <w:p w14:paraId="772E7E3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formulation of a drug, such as its solubility and dosage form, significantly affects its absorption. Formulations that enhance solubility, stability, and dissolution rates contribute to improved bioavailability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{"citationItems":[{"id":"ITEM-1","itemData":{"DOI":"10.3390/pharmaceutics9040041","ISSN":"19994923","abstract":"Most marketed drugs are administered orally, despite the complex process of oral absorption that is difficult to predict. Oral bioavailability is dependent on the interplay between many processes that are dependent on both compound and physiological properties. Because of this complexity, computational oral physiologically-based pharmacokinetic (PBPK) models have emerged as a tool to integrate these factors in an attempt to mechanistically capture the process of oral absorption. These models use inputs from in vitro assays to predict the pharmacokinetic behavior of drugs in the human body. The most common oral PBPK models are compartmental approaches, in which the gastrointestinal tract is characterized as a series of compartments through which the drug transits. The focus of this review is on the development of oral absorption PBPK models, followed by a brief discussion of the major applications of oral PBPK models in the pharmaceutical industry.","author":[{"dropping-particle":"","family":"Lin","given":"Louis","non-dropping-particle":"","parse-names":false,"suffix":""},{"dropping-particle":"","family":"Wong","given":"Harvey","non-dropping-particle":"","parse-names":false,"suffix":""}],"container-title":"Pharmaceutics","id":"ITEM-1","issue":"4","issued":{"date-parts":[["2017"]]},"title":"Predicting oral drug absorption: Mini review on physiologically-based pharmacokinetic models","type":"article","volume":"9"},"uris":["http://www.mendeley.com/documents/?uuid=38e7085e-e7dd-33c9-bc7b-bfc3bee79b8a"]}],"mendeley":{"formattedCitation":"(Lin &amp; Wong, 2017)","plainTextFormattedCitation":"(Lin &amp; Wong, 2017)","previouslyFormattedCitation":"(Lin &amp; Wong,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(Lin &amp; Wong, 2017)</w:t>
      </w:r>
      <w:r>
        <w:rPr>
          <w:rFonts w:ascii="Times New Roman" w:hAnsi="Times New Roman" w:cs="Times New Roman"/>
          <w:sz w:val="24"/>
          <w:szCs w:val="24"/>
        </w:rPr>
        <w:fldChar w:fldCharType="end"/>
      </w:r>
      <w:r>
        <w:rPr>
          <w:rFonts w:ascii="Times New Roman" w:hAnsi="Times New Roman" w:cs="Times New Roman"/>
          <w:sz w:val="24"/>
          <w:szCs w:val="24"/>
        </w:rPr>
        <w:t>.</w:t>
      </w:r>
    </w:p>
    <w:p w14:paraId="4DAD1E5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Route of Administration</w:t>
      </w:r>
    </w:p>
    <w:p w14:paraId="0571839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Different routes of administration exhibit varying bioavailability’s. For example, intravenous administration typically provides 100% bioavailability as the drug bypasses absorption barriers, while oral administration may face challenges like first-pass metabolism, influencing bioavailability.</w:t>
      </w:r>
    </w:p>
    <w:p w14:paraId="6ED2E49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Drug Properties</w:t>
      </w:r>
    </w:p>
    <w:p w14:paraId="2B995F4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physicochemical properties of a drug, including its molecular size, lipophilicity, and ionization state, play a crucial role. Lipophilic drugs, for instance, may have higher bioavailability due to better membrane permeability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{"citationItems":[{"id":"ITEM-1","itemData":{"DOI":"10.1016/S0928-0987(00)00114-7","ISSN":"09280987","abstract":"In recent years, there has been an increased understanding of P-glycoprotein (P-GP)-mediated pharmacokinetic interactions. In addition, its role in modifying the bioavailability of orally administered drugs via induction or inhibition has been also been demonstrated in various studies. This overview presents a background on some of the commonly documented mechanisms of multidrug resistance (MDR), reversal using modulators of MDR, followed by a discussion on the functional aspects of P-GP in the context of the pharmacokinetic interactions when multiple agents are coadministered. While adverse pharmacokinetic interactions have been documented with first and second generation MDR modulators, certain newer agents of the third generation class of compounds have been less susceptible in eliciting pharmacokinetic interactions. Although the review focuses on P-GP and the pharmacology of MDR reversal using MDR modulators, relevance of these drug transport proteins in the context of pharmacokinetic implications (drug absorption, distribution, clearance, and interactions) will also be discussed. Copyright (C) 2000 Elsevier Science B.V.","author":[{"dropping-particle":"","family":"Krishna","given":"Rajesh","non-dropping-particle":"","parse-names":false,"suffix":""},{"dropping-particle":"","family":"Mayer","given":"Lawrence D.","non-dropping-particle":"","parse-names":false,"suffix":""}],"container-title":"European Journal of Pharmaceutical Sciences","id":"ITEM-1","issue":"4","issued":{"date-parts":[["2000"]]},"title":"Multidrug resistance (MDR) in cancerMechanisms, reversal using modulators of MDR and the role of MDR modulators in influencing the pharmacokinetics of anticancer drugs","type":"article","volume":"11"},"uris":["http://www.mendeley.com/documents/?uuid=ae186862-1aae-3fad-b134-d664d1d2aa63"]}],"mendeley":{"formattedCitation":"(R. Krishna &amp; Mayer, 2000)","plainTextFormattedCitation":"(R. Krishna &amp; Mayer, 2000)","previouslyFormattedCitation":"(R. Krishna &amp; Mayer, 2000)"},"properties":{"noteIndex":0},"schema":"https://github.com/citation-style-language/schema/raw/master/csl-citation.json"}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 Krishna &amp; Mayer, 2000)</w:t>
      </w:r>
      <w:r>
        <w:rPr>
          <w:rFonts w:ascii="Times New Roman" w:hAnsi="Times New Roman" w:cs="Times New Roman"/>
          <w:sz w:val="24"/>
          <w:szCs w:val="24"/>
        </w:rPr>
        <w:fldChar w:fldCharType="end"/>
      </w:r>
      <w:r>
        <w:rPr>
          <w:rFonts w:ascii="Times New Roman" w:hAnsi="Times New Roman" w:cs="Times New Roman"/>
          <w:sz w:val="24"/>
          <w:szCs w:val="24"/>
        </w:rPr>
        <w:t>.</w:t>
      </w:r>
    </w:p>
    <w:p w14:paraId="35E93DE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Gastrointestinal Factors</w:t>
      </w:r>
    </w:p>
    <w:p w14:paraId="4FF96EBC" w14:textId="77777777" w:rsidR="00460EB1" w:rsidRDefault="00460EB1" w:rsidP="00460EB1">
      <w:pPr>
        <w:spacing w:line="480" w:lineRule="auto"/>
        <w:jc w:val="both"/>
        <w:rPr>
          <w:rFonts w:ascii="Times New Roman" w:hAnsi="Times New Roman" w:cs="Times New Roman"/>
          <w:sz w:val="24"/>
          <w:szCs w:val="24"/>
        </w:rPr>
      </w:pPr>
    </w:p>
    <w:p w14:paraId="2F1A00A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Gastrointestinal conditions, such as pH levels, gastric emptying time, and intestinal transit time, influence the absorption of orally administered drugs. Variations in these factors can impact the bioavailability of drugs.</w:t>
      </w:r>
    </w:p>
    <w:p w14:paraId="139714A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Enzymatic Activity</w:t>
      </w:r>
    </w:p>
    <w:p w14:paraId="25FF2CC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Enzymes in the gastrointestinal tract and liver can metabolize drugs, affecting their bioavailability. Understanding the enzymatic landscape is essential in predicting and optimizing bioavailability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{"citationItems":[{"id":"ITEM-1","itemData":{"DOI":"10.1016/j.dmpk.2023.100491","ISSN":"18800920","abstract":"Drug absorption from drug products may be affected by pharmaceutical excipients and/or food additives through different mechanisms. Chitosan is a recognized nutraceutical, with potential as an excipient due to its permeability enhancer properties. While chitosan properties have been evaluated in in vitro and pre-clinical models, studies in humans are scarce. Unexpectedly, a controlled clinical trial showed chitosan actually reduced acyclovir bioavailability. The effect seems to be related to an interaction with gastrointestinal mucus that prevents further absorption, although more in depth research is needed to unravel the mechanism. In this paper, we propose a mechanism underlying this excipient effect. The mucus – chitosan interaction was characterized and its effect on acyclovir diffusion, permeation and bioaccessibility was investigated. Further, pharmacokinetic modeling was used to assess the clinical relevance of our findings. Results suggest that in situ coacervation between endogenous mucus and chitosan rapidly entrap 20–30% of acyclovir dissolved dose in the intestinal lumen. This local reduction of acyclovir concentration together with its short absorption window in the small intestine would explain the reduction in acyclovir Cmax and AUC. This study highlights the importance of considering mucus in any biorelevant absorption model attempting to anticipate the effect of chitosan on drug absorption.","author":[{"dropping-particle":"","family":"García","given":"Mauricio A.","non-dropping-particle":"","parse-names":false,"suffix":""},{"dropping-particle":"","family":"Hensler","given":"Gönül","non-dropping-particle":"","parse-names":false,"suffix":""},{"dropping-particle":"","family":"Al-Gousous","given":"Jozef","non-dropping-particle":"","parse-names":false,"suffix":""},{"dropping-particle":"","family":"Pielenhofer","given":"Jonas","non-dropping-particle":"","parse-names":false,"suffix":""},{"dropping-particle":"","family":"Wagner","given":"Manfred","non-dropping-particle":"","parse-names":false,"suffix":""},{"dropping-particle":"","family":"Lennernäs","given":"Hans","non-dropping-particle":"","parse-names":false,"suffix":""},{"dropping-particle":"","family":"Langguth","given":"Peter","non-dropping-particle":"","parse-names":false,"suffix":""}],"container-title":"Drug Metabolism and Pharmacokinetics","id":"ITEM-1","issued":{"date-parts":[["2023"]]},"title":"Novel food drug interaction mechanism involving acyclovir, chitosan and endogenous mucus","type":"article-journal","volume":"49"},"uris":["http://www.mendeley.com/documents/?uuid=5c9137dc-84b8-38e2-bd27-5ce47ea012cb"]}],"mendeley":{"formattedCitation":"(García et al., 2023)","plainTextFormattedCitation":"(García et al., 2023)","previouslyFormattedCitation":"(García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(García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49664C7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Importance in Pharmacokinetics</w:t>
      </w:r>
    </w:p>
    <w:p w14:paraId="748FB66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Bioavailability is integral to pharmacokinetic studies as it directly influences the concentration of a drug in the systemic circulation over time. Pharmacokinetics involves the processes of absorption, distribution, metabolism, and elimination (ADME) of a drug within the body. The bioavailability of a drug dictates the amount available for distribution to target tissues, the extent of metabolism, and ultimately, the therapeutic effect achieved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{"citationItems":[{"id":"ITEM-1","itemData":{"DOI":"10.36303/SAJAA.2020.26.6.S3.2562","ISSN":"22201181","abstract":"Pharmacokinetics and pharmacodynamics are vast and complex topics with medical textbooks dedicating entire chapters to explain the details. Due to this, only some of the many relevant concepts have been explained. Compartment models have not been discussed despite their importance to the anaesthetist. These two concepts have been described as mathematical expressions of the relationship between drug dose and concentration for pharmacokinetics, and drug concentration and effect for pharmacodynamics. Concentration provides the link between pharmacokinetics and pharmacodynamics and will enable rational dosing. Pharmacokinetics consists of four linked processes namely absorption, distribution, biotransformation and excretion. Clinical pharmacokinetics including bioavailability, bioequivalence, first-order and zero-order kinetics as well as context-sensitive half-life have been discussed. A basic explanation of drug-receptor interactions, dose-response relationships and therapeutic index is given for pharmacodynamics. The purpose of understanding these concepts is to enable doctors to simultaneously achieve the desired therapeutic effects while minimising adverse effects. This is particularly relevant to the practising anaesthetist where multiple agents are required to produce optimal anaesthesia.","author":[{"dropping-particle":"","family":"Rimmington","given":"F.","non-dropping-particle":"","parse-names":false,"suffix":""}],"container-title":"Southern African Journal of Anaesthesia and Analgesia","id":"ITEM-1","issue":"6","issued":{"date-parts":[["2020"]]},"title":"Pharmacokinetics and pharmacodynamics","type":"article-journal","volume":"26"},"uris":["http://www.mendeley.com/documents/?uuid=018c0725-f8cd-3f0e-9b63-de3bcb7d64d6"]}],"mendeley":{"formattedCitation":"(Rimmington, 2020)","plainTextFormattedCitation":"(Rimmington, 2020)","previouslyFormattedCitation":"(Rimmington,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(Rimmington, 2020)</w:t>
      </w:r>
      <w:r>
        <w:rPr>
          <w:rFonts w:ascii="Times New Roman" w:hAnsi="Times New Roman" w:cs="Times New Roman"/>
          <w:sz w:val="24"/>
          <w:szCs w:val="24"/>
        </w:rPr>
        <w:fldChar w:fldCharType="end"/>
      </w:r>
      <w:r>
        <w:rPr>
          <w:rFonts w:ascii="Times New Roman" w:hAnsi="Times New Roman" w:cs="Times New Roman"/>
          <w:sz w:val="24"/>
          <w:szCs w:val="24"/>
        </w:rPr>
        <w:t>.</w:t>
      </w:r>
    </w:p>
    <w:p w14:paraId="4855C3C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drug development, bioavailability studies are crucial for optimizing formulations and dosing regimens. Formulations may be modified to enhance bioavailability, ensuring that a therapeutic dose reaches the systemic circulation. Additionally, bioequivalence studies, comparing the bioavailability of generic and brand-name drugs, help ensure the safety and efficacy of generic formulations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{"citationItems":[{"id":"ITEM-1","itemData":{"DOI":"10.36303/SAJAA.2020.26.6.S3.2562","ISSN":"22201181","abstract":"Pharmacokinetics and pharmacodynamics are vast and complex topics with medical textbooks dedicating entire chapters to explain the details. Due to this, only some of the many relevant concepts have been explained. Compartment models have not been discussed despite their importance to the anaesthetist. These two concepts have been described as mathematical expressions of the relationship between drug dose and concentration for pharmacokinetics, and drug concentration and effect for pharmacodynamics. Concentration provides the link between pharmacokinetics and pharmacodynamics and will enable rational dosing. Pharmacokinetics consists of four linked processes namely absorption, distribution, biotransformation and excretion. Clinical pharmacokinetics including bioavailability, bioequivalence, first-order and zero-order kinetics as well as context-sensitive half-life have been discussed. A basic explanation of drug-receptor interactions, dose-response relationships and therapeutic index is given for pharmacodynamics. The purpose of understanding these concepts is to enable doctors to simultaneously achieve the desired therapeutic effects while minimising adverse effects. This is particularly relevant to the practising anaesthetist where multiple agents are required to produce optimal anaesthesia.","author":[{"dropping-particle":"","family":"Rimmington","given":"F.","non-dropping-particle":"","parse-names":false,"suffix":""}],"container-title":"Southern African Journal of Anaesthesia and Analgesia","id":"ITEM-1","issue":"6","issued":{"date-parts":[["2020"]]},"title":"Pharmacokinetics and pharmacodynamics","type":"article-journal","volume":"26"},"uris":["http://www.mendeley.com/documents/?uuid=018c0725-f8cd-3f0e-9b63-de3bcb7d64d6"]}],"mendeley":{"formattedCitation":"(Rimmington, 2020)","plainTextFormattedCitation":"(Rimmington, 2020)","previouslyFormattedCitation":"(Rimmington,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(Rimmington, 2020)</w:t>
      </w:r>
      <w:r>
        <w:rPr>
          <w:rFonts w:ascii="Times New Roman" w:hAnsi="Times New Roman" w:cs="Times New Roman"/>
          <w:sz w:val="24"/>
          <w:szCs w:val="24"/>
        </w:rPr>
        <w:fldChar w:fldCharType="end"/>
      </w:r>
      <w:r>
        <w:rPr>
          <w:rFonts w:ascii="Times New Roman" w:hAnsi="Times New Roman" w:cs="Times New Roman"/>
          <w:sz w:val="24"/>
          <w:szCs w:val="24"/>
        </w:rPr>
        <w:t>.</w:t>
      </w:r>
    </w:p>
    <w:p w14:paraId="1D45211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0012F06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summary, bioavailability is a fundamental concept in pharmacokinetics, reflecting the efficiency with which a drug is absorbed and becomes available in the systemic circulation. The interplay of drug properties, formulation design, and physiological factors determines bioavailability, influencing the overall pharmacological effect and therapeutic outcomes. As the field of pharmacology advances, a nuanced understanding of bioavailability continues to guide drug development, dosage optimization, and the realization of personalized medicine approaches.</w:t>
      </w:r>
    </w:p>
    <w:p w14:paraId="719D8E16"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highlight w:val="yellow"/>
        </w:rPr>
        <w:t>Explore the challenges and strategies for improving the bioavailability of poorly absorbed drugs.</w:t>
      </w:r>
    </w:p>
    <w:p w14:paraId="4460C6B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14:paraId="4FB3871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bioavailability of a drug, defined as the proportion of the administered dose that reaches the systemic circulation, is a critical determinant of its therapeutic efficacy. However, some drugs face challenges in achieving optimal bioavailability due to factors such as poor solubility, low permeability, or susceptibility to extensive first-pass metabolism. Overcoming these challenges requires a multifaceted approach that integrates pharmaceutical, chemical, and formulation strategies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{"citationItems":[{"id":"ITEM-1","itemData":{"DOI":"10.2174/1567201817999200729121914","ISSN":"15672018","abstract":"Nowadays, the focus has been shifted to new technologies for improving drug solubility, permeability, and bioavailability, amid unprecedentedly increasing the number of newly discovered Active Pharmaceutical Ingredients (APIs), which are mostly categorized under Biopharmaceutical Classification System (BCS) as class-II and class IV. Traditional technologies and classical formulation strategies often fail to address most of the formulation problems associated with new APIs, particularly solubility and bioavailability. Therefore, exploring new and innovative technologies on an industrial scale is a prerequisite and requires modernization of manufacturing processes, as well as more advanced research and development. Liquisolid technology is a new, innovative industrial technology, particularly designed for either improving the release rates of poorly absorbed drugs or controlling their release pattern by achieving sustained-release profiles with zero-order release kinetics. Besides, it is a promising photoprotective system for photosensitive drugs and can further be used for modulating the drug microenvironmental pH. The next generation of liquisolid systems stems from a set of emerging technologies, such as liqui-pellet technology, which originates from combining liquisolid technology with pelletization technique, particularly extrusion-spheronization technique. This review article high-lights the current state of liquisolid technology, ongoing challenges, characterization and applications, possible future prospects, the advent of new and emerging technologies, and the revolution of the next generation of liquisolid technology. © 2020 Bentham Science Publishers.","author":[{"dropping-particle":"","family":"Agiba","given":"Ahmed M.","non-dropping-particle":"","parse-names":false,"suffix":""}],"container-title":"Current Drug Delivery","id":"ITEM-1","issue":"9","issued":{"date-parts":[["2020"]]},"title":"Liquisolid Technology: A State-of-the-Art Review on the Current State, Challenges, New and Emerging Technologies for Next Generation","type":"article-journal","volume":"17"},"uris":["http://www.mendeley.com/documents/?uuid=04832823-9259-3e5e-ace9-9858212e8f73"]}],"mendeley":{"formattedCitation":"(Agiba, 2020)","plainTextFormattedCitation":"(Agiba, 2020)","previouslyFormattedCitation":"(Agiba,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(Agiba, 2020)</w:t>
      </w:r>
      <w:r>
        <w:rPr>
          <w:rFonts w:ascii="Times New Roman" w:hAnsi="Times New Roman" w:cs="Times New Roman"/>
          <w:sz w:val="24"/>
          <w:szCs w:val="24"/>
        </w:rPr>
        <w:fldChar w:fldCharType="end"/>
      </w:r>
      <w:r>
        <w:rPr>
          <w:rFonts w:ascii="Times New Roman" w:hAnsi="Times New Roman" w:cs="Times New Roman"/>
          <w:sz w:val="24"/>
          <w:szCs w:val="24"/>
        </w:rPr>
        <w:t>.</w:t>
      </w:r>
    </w:p>
    <w:p w14:paraId="35522A7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Challenges in Improving Bioavailability</w:t>
      </w:r>
    </w:p>
    <w:p w14:paraId="2C33D80C"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Poor Solubility</w:t>
      </w:r>
    </w:p>
    <w:p w14:paraId="5BF3FC6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One of the major challenges is posed by drugs with low solubility. Poorly soluble drugs may form crystals or precipitates, hindering their dissolution and subsequent absorption in the gastrointestinal tract. This limitation significantly impacts bioavailability.</w:t>
      </w:r>
    </w:p>
    <w:p w14:paraId="3A26F68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Low Permeability</w:t>
      </w:r>
    </w:p>
    <w:p w14:paraId="03CC5D3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Drugs with low permeability across biological membranes face challenges in achieving efficient absorption. The rate-limiting step often lies in the drug's ability to traverse cell membranes, especially in the gastrointestinal tract, impacting bioavailability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{"citationItems":[{"id":"ITEM-1","itemData":{"DOI":"10.2174/1567201817999200729121914","ISSN":"15672018","abstract":"Nowadays, the focus has been shifted to new technologies for improving drug solubility, permeability, and bioavailability, amid unprecedentedly increasing the number of newly discovered Active Pharmaceutical Ingredients (APIs), which are mostly categorized under Biopharmaceutical Classification System (BCS) as class-II and class IV. Traditional technologies and classical formulation strategies often fail to address most of the formulation problems associated with new APIs, particularly solubility and bioavailability. Therefore, exploring new and innovative technologies on an industrial scale is a prerequisite and requires modernization of manufacturing processes, as well as more advanced research and development. Liquisolid technology is a new, innovative industrial technology, particularly designed for either improving the release rates of poorly absorbed drugs or controlling their release pattern by achieving sustained-release profiles with zero-order release kinetics. Besides, it is a promising photoprotective system for photosensitive drugs and can further be used for modulating the drug microenvironmental pH. The next generation of liquisolid systems stems from a set of emerging technologies, such as liqui-pellet technology, which originates from combining liquisolid technology with pelletization technique, particularly extrusion-spheronization technique. This review article high-lights the current state of liquisolid technology, ongoing challenges, characterization and applications, possible future prospects, the advent of new and emerging technologies, and the revolution of the next generation of liquisolid technology. © 2020 Bentham Science Publishers.","author":[{"dropping-particle":"","family":"Agiba","given":"Ahmed M.","non-dropping-particle":"","parse-names":false,"suffix":""}],"container-title":"Current Drug Delivery","id":"ITEM-1","issue":"9","issued":{"date-parts":[["2020"]]},"title":"Liquisolid Technology: A State-of-the-Art Review on the Current State, Challenges, New and Emerging Technologies for Next Generation","type":"article-journal","volume":"17"},"uris":["http://www.mendeley.com/documents/?uuid=04832823-9259-3e5e-ace9-9858212e8f73"]}],"mendeley":{"formattedCitation":"(Agiba, 2020)","plainTextFormattedCitation":"(Agiba, 2020)","previouslyFormattedCitation":"(Agiba,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(Agiba, 2020)</w:t>
      </w:r>
      <w:r>
        <w:rPr>
          <w:rFonts w:ascii="Times New Roman" w:hAnsi="Times New Roman" w:cs="Times New Roman"/>
          <w:sz w:val="24"/>
          <w:szCs w:val="24"/>
        </w:rPr>
        <w:fldChar w:fldCharType="end"/>
      </w:r>
      <w:r>
        <w:rPr>
          <w:rFonts w:ascii="Times New Roman" w:hAnsi="Times New Roman" w:cs="Times New Roman"/>
          <w:sz w:val="24"/>
          <w:szCs w:val="24"/>
        </w:rPr>
        <w:t>.</w:t>
      </w:r>
    </w:p>
    <w:p w14:paraId="52215F2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First-Pass Metabolism</w:t>
      </w:r>
    </w:p>
    <w:p w14:paraId="654C0FE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First-pass metabolism in the liver can extensively metabolize a drug before it reaches systemic circulation, reducing its bioavailability. This is a significant concern for orally administered drugs, particularly those susceptible to hepatic enzymes.</w:t>
      </w:r>
    </w:p>
    <w:p w14:paraId="320B7F6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Gastrointestinal Factors</w:t>
      </w:r>
    </w:p>
    <w:p w14:paraId="7E23E59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Variability in gastrointestinal conditions, such as pH levels, gastric emptying time, and intestinal transit time, can impact the absorption of drugs. These factors contribute to the challenge of predicting and optimizing the bioavailability of poorly absorbed drugs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{"citationItems":[{"id":"ITEM-1","itemData":{"abstract":"Most of the drugs that are emerging from contemporary drug discovery programs are poorly water-soluble often present formulators with considerable technical challenges. The absorption of such compounds when presented in the crystalline state to the gastrointestinal tract is typically dissolution rate-limited, and the drugs are typically BCS class II or class IV compounds. The rate and extent of absorption of class II compounds is highly dependent on the performance of the formulated product. These drugs can be successfully formulated for oral administration, but care needs to be taken with formulation design to ensure consistent bioavailability. Essentially the options available involve either reduction of particle size (of crystalline drug) or formulation of the drug in solution, as an amorphous system or lipid formulations. The performance of amorphous or lipid formulations is dependent on their interaction with the contents of the gastrointestinal tract, therefore, a formulation exercise should involve the use of techniques which can predict the influence of gut physiology. A major consideration is the fate of metastable supersaturated solutions of drug, which are formed typically after dispersion of the formulation and its exposure to gastrointestinal digestion. A better understanding of the factors which affect drug crystallization is required, and the introduction of standardized predictive in vitro tests would be valuable. The use of a lipid formulation classification system combined with appropriate in vitro tests will help to establish a database for in vitro–in vivo correlation studies. For lipophilic drugs, which display dissolution rate-limited absorption, SEDDS may be a promising strategy to improve the rate and extent of oral absorption. Self-emulsifying drug delivery systems (SEDDS) possess unparalleled potential in improving oral bioavailability of poorly water-soluble drugs. Following their oral administration, these systems rapidly disperse in gastrointestinal fluids, yielding micro- or nanoemulsions containing the solubilized drug. Owing to its miniscule globule size, the micro/nanoemulsified drug can easily be absorbed through lymphatic pathways, by passing the hepatic first-pass effect.","author":[{"dropping-particle":"","family":"Vivek Chavda*, M M Soniwala","given":"J R Chavda","non-dropping-particle":"","parse-names":false,"suffix":""}],"container-title":"Inventi:prndds/9897/21","id":"ITEM-1","issued":{"date-parts":[["2012"]]},"title":"LIPID BASED DELIVERY SYSTEMS: ONE STEP AHEAD IN IMPROVING SOLUBILITY OF POORLY SOLUBLE DRUGS","type":"article-journal"},"uris":["http://www.mendeley.com/documents/?uuid=e2e7ea43-bd07-3d0d-be0d-86ea100ae5a9"]}],"mendeley":{"formattedCitation":"(Vivek Chavda*, M M Soniwala, 2012)","plainTextFormattedCitation":"(Vivek Chavda*, M M Soniwala, 2012)","previouslyFormattedCitation":"(Vivek Chavda*, M M Soniwala,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(Vivek Chavda*, M M Soniwala, 2012)</w:t>
      </w:r>
      <w:r>
        <w:rPr>
          <w:rFonts w:ascii="Times New Roman" w:hAnsi="Times New Roman" w:cs="Times New Roman"/>
          <w:sz w:val="24"/>
          <w:szCs w:val="24"/>
        </w:rPr>
        <w:fldChar w:fldCharType="end"/>
      </w:r>
      <w:r>
        <w:rPr>
          <w:rFonts w:ascii="Times New Roman" w:hAnsi="Times New Roman" w:cs="Times New Roman"/>
          <w:sz w:val="24"/>
          <w:szCs w:val="24"/>
        </w:rPr>
        <w:t>.</w:t>
      </w:r>
    </w:p>
    <w:p w14:paraId="422AC04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Strategies for Improving Bioavailability</w:t>
      </w:r>
    </w:p>
    <w:p w14:paraId="7D1EF3C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Prodrug Design</w:t>
      </w:r>
    </w:p>
    <w:p w14:paraId="277A01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Prodrugs are inactive drug forms that undergo enzymatic or chemical transformations in the body to become active drugs. Designing prodrugs can be an effective strategy to improve the solubility, stability, and membrane permeability of poorly absorbed drugs, thereby enhancing their bioavailability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{"citationItems":[{"id":"ITEM-1","itemData":{"abstract":"Most of the drugs that are emerging from contemporary drug discovery programs are poorly water-soluble often present formulators with considerable technical challenges. The absorption of such compounds when presented in the crystalline state to the gastrointestinal tract is typically dissolution rate-limited, and the drugs are typically BCS class II or class IV compounds. The rate and extent of absorption of class II compounds is highly dependent on the performance of the formulated product. These drugs can be successfully formulated for oral administration, but care needs to be taken with formulation design to ensure consistent bioavailability. Essentially the options available involve either reduction of particle size (of crystalline drug) or formulation of the drug in solution, as an amorphous system or lipid formulations. The performance of amorphous or lipid formulations is dependent on their interaction with the contents of the gastrointestinal tract, therefore, a formulation exercise should involve the use of techniques which can predict the influence of gut physiology. A major consideration is the fate of metastable supersaturated solutions of drug, which are formed typically after dispersion of the formulation and its exposure to gastrointestinal digestion. A better understanding of the factors which affect drug crystallization is required, and the introduction of standardized predictive in vitro tests would be valuable. The use of a lipid formulation classification system combined with appropriate in vitro tests will help to establish a database for in vitro–in vivo correlation studies. For lipophilic drugs, which display dissolution rate-limited absorption, SEDDS may be a promising strategy to improve the rate and extent of oral absorption. Self-emulsifying drug delivery systems (SEDDS) possess unparalleled potential in improving oral bioavailability of poorly water-soluble drugs. Following their oral administration, these systems rapidly disperse in gastrointestinal fluids, yielding micro- or nanoemulsions containing the solubilized drug. Owing to its miniscule globule size, the micro/nanoemulsified drug can easily be absorbed through lymphatic pathways, by passing the hepatic first-pass effect.","author":[{"dropping-particle":"","family":"Vivek Chavda*, M M Soniwala","given":"J R Chavda","non-dropping-particle":"","parse-names":false,"suffix":""}],"container-title":"Inventi:prndds/9897/21","id":"ITEM-1","issued":{"date-parts":[["2012"]]},"title":"LIPID BASED DELIVERY SYSTEMS: ONE STEP AHEAD IN IMPROVING SOLUBILITY OF POORLY SOLUBLE DRUGS","type":"article-journal"},"uris":["http://www.mendeley.com/documents/?uuid=e2e7ea43-bd07-3d0d-be0d-86ea100ae5a9"]}],"mendeley":{"formattedCitation":"(Vivek Chavda*, M M Soniwala, 2012)","plainTextFormattedCitation":"(Vivek Chavda*, M M Soniwala, 2012)","previouslyFormattedCitation":"(Vivek Chavda*, M M Soniwala,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(Vivek Chavda*, M M Soniwala, 2012)</w:t>
      </w:r>
      <w:r>
        <w:rPr>
          <w:rFonts w:ascii="Times New Roman" w:hAnsi="Times New Roman" w:cs="Times New Roman"/>
          <w:sz w:val="24"/>
          <w:szCs w:val="24"/>
        </w:rPr>
        <w:fldChar w:fldCharType="end"/>
      </w:r>
      <w:r>
        <w:rPr>
          <w:rFonts w:ascii="Times New Roman" w:hAnsi="Times New Roman" w:cs="Times New Roman"/>
          <w:sz w:val="24"/>
          <w:szCs w:val="24"/>
        </w:rPr>
        <w:t>.</w:t>
      </w:r>
    </w:p>
    <w:p w14:paraId="0E86B2E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Nanotechnology and Nanoparticle Formulations</w:t>
      </w:r>
    </w:p>
    <w:p w14:paraId="608917D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Utilizing nanotechnology to formulate drugs into nanoparticles can improve their solubility and dissolution rates. Nanoparticles provide a larger surface area for drug dissolution, enhancing absorption. This approach has been successful in improving the bioavailability of various poorly soluble drugs.</w:t>
      </w:r>
    </w:p>
    <w:p w14:paraId="06644C2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Lipid-Based Formulations</w:t>
      </w:r>
    </w:p>
    <w:p w14:paraId="50C94A3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Lipid-based formulations, such as micelles, liposomes, or </w:t>
      </w:r>
      <w:proofErr w:type="spellStart"/>
      <w:r>
        <w:rPr>
          <w:rFonts w:ascii="Times New Roman" w:hAnsi="Times New Roman" w:cs="Times New Roman"/>
          <w:sz w:val="24"/>
          <w:szCs w:val="24"/>
        </w:rPr>
        <w:t>nanoemulsions</w:t>
      </w:r>
      <w:proofErr w:type="spellEnd"/>
      <w:r>
        <w:rPr>
          <w:rFonts w:ascii="Times New Roman" w:hAnsi="Times New Roman" w:cs="Times New Roman"/>
          <w:sz w:val="24"/>
          <w:szCs w:val="24"/>
        </w:rPr>
        <w:t>, can enhance the solubility of lipophilic drugs. These formulations improve drug absorption by facilitating the transport of poorly soluble drugs through the aqueous environment of the gastrointestinal tract.</w:t>
      </w:r>
    </w:p>
    <w:p w14:paraId="553194C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Complexation and Cyclodextrins</w:t>
      </w:r>
    </w:p>
    <w:p w14:paraId="6A25338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Complexing poorly soluble drugs with cyclodextrins or other complexation agents can enhance their solubility and bioavailability. These complexes can form inclusion complexes, improving drug dissolution and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{"citationItems":[{"id":"ITEM-1","itemData":{"ISSN":"09757619","abstract":"The solubility problem of drugs is always one of the most challenging aspects in formulation and development of dosage forms. In fact, most new chemical entities are poorly water soluble drugs, not well-absorbed after oral administration resulting in low bioavailability. The current challenge of the pharmaceutical industry is related to techniques that improve the water solubility of drugs. Solid dispersions are one of the most successful strategies to enhance the oral bioavailability of poorly water soluble drugs by reducing particle size of drugs and improving drug wettability. This article begins with the discussion of the recent advances related on the area of solid dispersions including new manufacturing processes to eliminate the demerits of the initial process. The remaining portion of the article deals with the selection of carrier for solid dispersion, the methods used for the characterization of solid dispersions and various application fields.","author":[{"dropping-particle":"","family":"Dhiman","given":"Sonia","non-dropping-particle":"","parse-names":false,"suffix":""},{"dropping-particle":"","family":"Kaur","given":"Parmjit","non-dropping-particle":"","parse-names":false,"suffix":""},{"dropping-particle":"","family":"Arora","given":"Sandeep","non-dropping-particle":"","parse-names":false,"suffix":""}],"container-title":"Drug Invention Today","id":"ITEM-1","issue":"10","issued":{"date-parts":[["2012"]]},"title":"Solid dispersions: Opportunity in drug delivery system","type":"article","volume":"4"},"uris":["http://www.mendeley.com/documents/?uuid=7eeead66-82f8-36f9-a7c1-764bc7f2ad22"]}],"mendeley":{"formattedCitation":"(Dhiman et al., 2012)","plainTextFormattedCitation":"(Dhiman et al., 2012)","previouslyFormattedCitation":"(Dhiman et al.,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(Dhiman et al., 2012)</w:t>
      </w:r>
      <w:r>
        <w:rPr>
          <w:rFonts w:ascii="Times New Roman" w:hAnsi="Times New Roman" w:cs="Times New Roman"/>
          <w:sz w:val="24"/>
          <w:szCs w:val="24"/>
        </w:rPr>
        <w:fldChar w:fldCharType="end"/>
      </w:r>
      <w:r>
        <w:rPr>
          <w:rFonts w:ascii="Times New Roman" w:hAnsi="Times New Roman" w:cs="Times New Roman"/>
          <w:sz w:val="24"/>
          <w:szCs w:val="24"/>
        </w:rPr>
        <w:t>.</w:t>
      </w:r>
    </w:p>
    <w:p w14:paraId="303622A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Particle Size Reduction</w:t>
      </w:r>
    </w:p>
    <w:p w14:paraId="27DC100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Reducing the particle size of drug particles through techniques like </w:t>
      </w:r>
      <w:proofErr w:type="spellStart"/>
      <w:r>
        <w:rPr>
          <w:rFonts w:ascii="Times New Roman" w:hAnsi="Times New Roman" w:cs="Times New Roman"/>
          <w:sz w:val="24"/>
          <w:szCs w:val="24"/>
        </w:rPr>
        <w:t>micronization</w:t>
      </w:r>
      <w:proofErr w:type="spellEnd"/>
      <w:r>
        <w:rPr>
          <w:rFonts w:ascii="Times New Roman" w:hAnsi="Times New Roman" w:cs="Times New Roman"/>
          <w:sz w:val="24"/>
          <w:szCs w:val="24"/>
        </w:rPr>
        <w:t xml:space="preserve"> or nanosizing can increase the surface area available for dissolution. This strategy enhances the drug's solubility and can lead to improved bioavailability.</w:t>
      </w:r>
    </w:p>
    <w:p w14:paraId="405F883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pH-Dependent Release Systems</w:t>
      </w:r>
    </w:p>
    <w:p w14:paraId="2BF9EEF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Formulating drugs in pH-dependent release systems can optimize drug release at specific locations in the gastrointestinal tract, where pH conditions favor solubility and absorption. This strategy is particularly relevant for drugs with pH-dependent solubility profiles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{"citationItems":[{"id":"ITEM-1","itemData":{"ISSN":"09757619","abstract":"The solubility problem of drugs is always one of the most challenging aspects in formulation and development of dosage forms. In fact, most new chemical entities are poorly water soluble drugs, not well-absorbed after oral administration resulting in low bioavailability. The current challenge of the pharmaceutical industry is related to techniques that improve the water solubility of drugs. Solid dispersions are one of the most successful strategies to enhance the oral bioavailability of poorly water soluble drugs by reducing particle size of drugs and improving drug wettability. This article begins with the discussion of the recent advances related on the area of solid dispersions including new manufacturing processes to eliminate the demerits of the initial process. The remaining portion of the article deals with the selection of carrier for solid dispersion, the methods used for the characterization of solid dispersions and various application fields.","author":[{"dropping-particle":"","family":"Dhiman","given":"Sonia","non-dropping-particle":"","parse-names":false,"suffix":""},{"dropping-particle":"","family":"Kaur","given":"Parmjit","non-dropping-particle":"","parse-names":false,"suffix":""},{"dropping-particle":"","family":"Arora","given":"Sandeep","non-dropping-particle":"","parse-names":false,"suffix":""}],"container-title":"Drug Invention Today","id":"ITEM-1","issue":"10","issued":{"date-parts":[["2012"]]},"title":"Solid dispersions: Opportunity in drug delivery system","type":"article","volume":"4"},"uris":["http://www.mendeley.com/documents/?uuid=7eeead66-82f8-36f9-a7c1-764bc7f2ad22"]}],"mendeley":{"formattedCitation":"(Dhiman et al., 2012)","plainTextFormattedCitation":"(Dhiman et al., 2012)","previouslyFormattedCitation":"(Dhiman et al.,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(Dhiman et al., 2012)</w:t>
      </w:r>
      <w:r>
        <w:rPr>
          <w:rFonts w:ascii="Times New Roman" w:hAnsi="Times New Roman" w:cs="Times New Roman"/>
          <w:sz w:val="24"/>
          <w:szCs w:val="24"/>
        </w:rPr>
        <w:fldChar w:fldCharType="end"/>
      </w:r>
      <w:r>
        <w:rPr>
          <w:rFonts w:ascii="Times New Roman" w:hAnsi="Times New Roman" w:cs="Times New Roman"/>
          <w:sz w:val="24"/>
          <w:szCs w:val="24"/>
        </w:rPr>
        <w:t>.</w:t>
      </w:r>
    </w:p>
    <w:p w14:paraId="2E504D2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Drug Delivery Systems</w:t>
      </w:r>
    </w:p>
    <w:p w14:paraId="59AD5E9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Utilizing advanced drug delivery systems, such as sustained-release formulations or targeted delivery systems, can improve the temporal and spatial distribution of a drug. These systems aim to prolong drug release, reduce fluctuations in plasma concentration, and enhance bioavailability.</w:t>
      </w:r>
    </w:p>
    <w:p w14:paraId="6B13676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6272C75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Addressing the challenges associated with the poor bioavailability of drugs requires a strategic and multidisciplinary approach. Prodrug design, nanotechnology, lipid-based formulations, complexation techniques, particle size reduction, pH-dependent release systems, and advanced drug delivery systems are among the diverse strategies employed to overcome solubility, permeability, and first-pass metabolism challenges. The ongoing advancements in pharmaceutical sciences and innovative formulation approaches continue to expand the repertoire of strategies available to enhance the bioavailability of poorly absorbed drugs, contributing to the development of more effective and patient-friendly medications.</w:t>
      </w:r>
    </w:p>
    <w:p w14:paraId="685718D1" w14:textId="77777777" w:rsidR="00460EB1" w:rsidRDefault="00460EB1" w:rsidP="00460EB1">
      <w:pPr>
        <w:spacing w:line="480" w:lineRule="auto"/>
        <w:jc w:val="center"/>
        <w:rPr>
          <w:rFonts w:ascii="Times New Roman" w:hAnsi="Times New Roman" w:cs="Times New Roman"/>
          <w:b/>
          <w:sz w:val="24"/>
          <w:szCs w:val="24"/>
        </w:rPr>
      </w:pPr>
      <w:r>
        <w:rPr>
          <w:rFonts w:ascii="Times New Roman" w:hAnsi="Times New Roman" w:cs="Times New Roman"/>
          <w:b/>
          <w:sz w:val="24"/>
          <w:szCs w:val="24"/>
          <w:highlight w:val="yellow"/>
        </w:rPr>
        <w:t>Discuss the role of drug metabolism in the biotransformation of xenobiotics into metabolites.</w:t>
      </w:r>
    </w:p>
    <w:p w14:paraId="7060088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a complex and vital process in the body, plays a crucial role in transforming xenobiotics, which are foreign substances like drugs and environmental chemicals, into metabolites. This biotransformation is a fundamental aspect of pharmacokinetics and serves to modulate the activity, toxicity, and elimination of xenobiotics. Understanding the mechanisms </w:t>
      </w:r>
      <w:r>
        <w:rPr>
          <w:rFonts w:ascii="Times New Roman" w:hAnsi="Times New Roman" w:cs="Times New Roman"/>
          <w:sz w:val="24"/>
          <w:szCs w:val="24"/>
        </w:rPr>
        <w:lastRenderedPageBreak/>
        <w:t xml:space="preserve">and significance of drug metabolism is essential for predicting drug behavior, ensuring efficacy, and minimizing potential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{"citationItems":[{"id":"ITEM-1","itemData":{"DOI":"10.1186/s13321-016-0161-3","ISSN":"17582946","abstract":"Xenobiotic metabolism is an active research topic but the limited amount of openly available high-quality biotransformation data constrains predictive modeling. Current database often default to commonly available information: which enzyme metabolizes a compound, but neither experimental conditions nor the atoms that undergo metabolization are captured. We present XMetDB, an open access database for drugs and other xenobiotics and their respective metabolites. The database contains chemical structures of xenobiotic biotransformations with substrate atoms annotated as reaction centra, the resulting product formed, and the catalyzing enzyme, type of experiment, and literature references. Associated with the database is a web interface for the submission and retrieval of experimental metabolite data for drugs and other xenobiotics in various formats, and a web API for programmatic access is also available. The database is open for data deposition, and a curation scheme is in place for quality control. An extensive guide on how to enter experimental data into is available from the XMetDB wiki. XMetDB formalizes how biotransformation data should be reported, and the openly available systematically labeled data is a big step forward towards better models for predictive metabolism.","author":[{"dropping-particle":"","family":"Spjuth","given":"Ola","non-dropping-particle":"","parse-names":false,"suffix":""},{"dropping-particle":"","family":"Rydberg","given":"Patrik","non-dropping-particle":"","parse-names":false,"suffix":""},{"dropping-particle":"","family":"Willighagen","given":"Egon L.","non-dropping-particle":"","parse-names":false,"suffix":""},{"dropping-particle":"","family":"Evelo","given":"Chris T.","non-dropping-particle":"","parse-names":false,"suffix":""},{"dropping-particle":"","family":"Jeliazkova","given":"Nina","non-dropping-particle":"","parse-names":false,"suffix":""}],"container-title":"Journal of Cheminformatics","id":"ITEM-1","issue":"1","issued":{"date-parts":[["2016"]]},"title":"XMetDB: An open access database for xenobiotic metabolism","type":"article-journal","volume":"8"},"uris":["http://www.mendeley.com/documents/?uuid=133a577f-8ccb-3967-be4e-be7de4043541"]}],"mendeley":{"formattedCitation":"(Spjuth et al., 2016)","plainTextFormattedCitation":"(Spjuth et al., 2016)","previouslyFormattedCitation":"(Spjuth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(Spjuth et al., 2016)</w:t>
      </w:r>
      <w:r>
        <w:rPr>
          <w:rFonts w:ascii="Times New Roman" w:hAnsi="Times New Roman" w:cs="Times New Roman"/>
          <w:sz w:val="24"/>
          <w:szCs w:val="24"/>
        </w:rPr>
        <w:fldChar w:fldCharType="end"/>
      </w:r>
      <w:r>
        <w:rPr>
          <w:rFonts w:ascii="Times New Roman" w:hAnsi="Times New Roman" w:cs="Times New Roman"/>
          <w:sz w:val="24"/>
          <w:szCs w:val="24"/>
        </w:rPr>
        <w:t>.</w:t>
      </w:r>
    </w:p>
    <w:p w14:paraId="2F35086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Types of Drug Metabolism</w:t>
      </w:r>
    </w:p>
    <w:p w14:paraId="208F2E2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Phase I Metabolism: Involves reactions such as oxidation, reduction, and hydrolysis, usually catalyzed by enzymes like cytochrome P450. Phase I reactions often introduce or unmask functional groups, increasing the water solubility of xenobiotics to facilitate further processing.</w:t>
      </w:r>
    </w:p>
    <w:p w14:paraId="2FEA81D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Phase II Metabolism: Involves conjugation reactions, where the xenobiotic or its Phase I metabolites are combined with endogenous compounds like glucuronic acid, sulfate, or amino acids. This step enhances water solubility and facilitates excretion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{"citationItems":[{"id":"ITEM-1","itemData":{"DOI":"10.1016/j.aninu.2020.11.002","ISSN":"24056383","abstract":"Milk is considered a perfect natural food for humans and animals. However, aflatoxin B1 (AFB1) contaminating the feeds fed to lactating dairy cows can introduce aflatoxin M1 (AFM1), the main toxic metabolite of aflatoxins into the milk, consequently posing a risk to human health. As a result of AFM1 monitoring in raw milk worldwide, it is evident that high AFM1 concentrations exist in raw milk in many countries. Thus, the incidence of AFM1 in milk from dairy cows should not be underestimated. To further optimize the intervention strategies, it is necessary to better understand the metabolism of AFB1 and its biotransformation into AFM1 and the specific secretion pathways in lactating dairy cows. The metabolism of AFB1 and its biotransformation into AFM1 in lactating dairy cows are drawn in this review. Furthermore, recent data provide evidence that in the mammary tissue of lactating dairy cows, aflatoxins significantly increase the activity of a protein, ATP-binding cassette super-family G member 2 (ABCG2), an efflux transporter known to facilitate the excretion of various xenobiotics and veterinary drugs into milk. Further research should focus on identifying and understanding the factors that affect the expression of ABCG2 in the mammary gland of cows.","author":[{"dropping-particle":"","family":"Min","given":"Li","non-dropping-particle":"","parse-names":false,"suffix":""},{"dropping-particle":"","family":"Fink-Gremmels","given":"Johanna","non-dropping-particle":"","parse-names":false,"suffix":""},{"dropping-particle":"","family":"Li","given":"Dagang","non-dropping-particle":"","parse-names":false,"suffix":""},{"dropping-particle":"","family":"Tong","given":"Xiong","non-dropping-particle":"","parse-names":false,"suffix":""},{"dropping-particle":"","family":"Tang","given":"Jing","non-dropping-particle":"","parse-names":false,"suffix":""},{"dropping-particle":"","family":"Nan","given":"Xuemei","non-dropping-particle":"","parse-names":false,"suffix":""},{"dropping-particle":"","family":"Yu","given":"Zhongtang","non-dropping-particle":"","parse-names":false,"suffix":""},{"dropping-particle":"","family":"Chen","given":"Weidong","non-dropping-particle":"","parse-names":false,"suffix":""},{"dropping-particle":"","family":"Wang","given":"Gang","non-dropping-particle":"","parse-names":false,"suffix":""}],"container-title":"Animal Nutrition","id":"ITEM-1","issue":"1","issued":{"date-parts":[["2021"]]},"title":"An overview of aflatoxin B1 biotransformation and aflatoxin M1 secretion in lactating dairy cows","type":"article","volume":"7"},"uris":["http://www.mendeley.com/documents/?uuid=aced7e48-e140-30bd-b2c5-6655a60c190e"]}],"mendeley":{"formattedCitation":"(Min et al., 2021)","plainTextFormattedCitation":"(Min et al., 2021)","previouslyFormattedCitation":"(Min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(Min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528499C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Cytochrome P450 Enzymes</w:t>
      </w:r>
    </w:p>
    <w:p w14:paraId="440C64B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Cytochrome P450 enzymes, particularly those in the liver, are major contributors to Phase I metabolism. They catalyze reactions like oxidation, leading to the introduction of functional groups. The extensive diversity of cytochrome P450 enzymes allows the body to metabolize a wide range of xenobiotics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{"citationItems":[{"id":"ITEM-1","itemData":{"DOI":"10.1124/pr.118.015768","ISSN":"15210081","abstract":"The microbiome plays a key role in health and disease, and there has been considerable interest in therapeutic targeting of the microbiome as well as mining this rich resource in drug discovery efforts. However, a growing body of evidence suggests that the gut microbiota can itself influence the actions of a range of xenobiotics, in both beneficial and potentially harmful ways. Traditionally, clinical studies evaluating the pharmacokinetics of new drugs have mostly ignored the important direct and indirect effects of the gut microbiome on drug metabolism and efficacy. Despite some important observations from xenobiotic metabolism in general, there is only an incomplete un-derstandingofthescopeofinfluenceofthemicrobiome specifically on drug metabolism and absorption, and how this might influence systemic concentrations of parent compounds and toxic metabolites. The significance of both microbial metabolism of xenobiotics and the impact of the gut microbiome on host hepatic enzyme systems is nonetheless gaining traction and presents a further challenge in drug discovery efforts, with implications for improving treatment outcomes or counteracting adverse drug reactions. Microbial factors must now be considered when determining drug pharmacokinetics and the impact that an evolving and dynamic microbiome could have in this regard. In this review, we aim to integrate the contribution of the gut microbiome in health and disease to xenobiotic metabolism focusing on therapeutic interventions, pharmacological drug action, and chemical biotransformations that collectively will have implications for the future practice of precision medicine.","author":[{"dropping-particle":"","family":"Clarke","given":"Gerard","non-dropping-particle":"","parse-names":false,"suffix":""},{"dropping-particle":"V.","family":"Sandhu","given":"Kiran","non-dropping-particle":"","parse-names":false,"suffix":""},{"dropping-particle":"","family":"Griffin","given":"Brendan T.","non-dropping-particle":"","parse-names":false,"suffix":""},{"dropping-particle":"","family":"Dinan","given":"Timothy G.","non-dropping-particle":"","parse-names":false,"suffix":""},{"dropping-particle":"","family":"Cryan","given":"John F.","non-dropping-particle":"","parse-names":false,"suffix":""},{"dropping-particle":"","family":"Hyland","given":"Niall P.","non-dropping-particle":"","parse-names":false,"suffix":""}],"container-title":"Pharmacological Reviews","id":"ITEM-1","issue":"2","issued":{"date-parts":[["2019"]]},"title":"Gut reactions: Breaking down xenobiotic–microbiome interactions","type":"article-journal","volume":"71"},"uris":["http://www.mendeley.com/documents/?uuid=7141ada0-9211-3972-a692-d41f8e15b9ec"]}],"mendeley":{"formattedCitation":"(Clarke et al., 2019)","plainTextFormattedCitation":"(Clarke et al., 2019)","previouslyFormattedCitation":"(Clarke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(Clarke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2A80E99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Oxidation Reactions</w:t>
      </w:r>
    </w:p>
    <w:p w14:paraId="2E8E44A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Oxidation reactions, a prevalent component of Phase I metabolism, involve the addition of oxygen to the xenobiotic molecule. This process can result in the formation of hydroxyl groups, epoxides, or other oxidized derivatives, altering the structure and properties of the xenobiotic.</w:t>
      </w:r>
    </w:p>
    <w:p w14:paraId="22EBE195"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Conjugation Reactions</w:t>
      </w:r>
    </w:p>
    <w:p w14:paraId="4E39C5B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Conjugation reactions in Phase II metabolism increase water solubility by attaching polar groups to the xenobiotic or its Phase I metabolites. Glucuronidation, </w:t>
      </w:r>
      <w:proofErr w:type="spellStart"/>
      <w:r>
        <w:rPr>
          <w:rFonts w:ascii="Times New Roman" w:hAnsi="Times New Roman" w:cs="Times New Roman"/>
          <w:sz w:val="24"/>
          <w:szCs w:val="24"/>
        </w:rPr>
        <w:t>sulfation</w:t>
      </w:r>
      <w:proofErr w:type="spellEnd"/>
      <w:r>
        <w:rPr>
          <w:rFonts w:ascii="Times New Roman" w:hAnsi="Times New Roman" w:cs="Times New Roman"/>
          <w:sz w:val="24"/>
          <w:szCs w:val="24"/>
        </w:rPr>
        <w:t xml:space="preserve">, and amino acid conjugation are common processes, rendering the xenobiotic more easily excretable through urine or bile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{"citationItems":[{"id":"ITEM-1","itemData":{"DOI":"10.1124/pr.118.015768","ISSN":"15210081","abstract":"The microbiome plays a key role in health and disease, and there has been considerable interest in therapeutic targeting of the microbiome as well as mining this rich resource in drug discovery efforts. However, a growing body of evidence suggests that the gut microbiota can itself influence the actions of a range of xenobiotics, in both beneficial and potentially harmful ways. Traditionally, clinical studies evaluating the pharmacokinetics of new drugs have mostly ignored the important direct and indirect effects of the gut microbiome on drug metabolism and efficacy. Despite some important observations from xenobiotic metabolism in general, there is only an incomplete un-derstandingofthescopeofinfluenceofthemicrobiome specifically on drug metabolism and absorption, and how this might influence systemic concentrations of parent compounds and toxic metabolites. The significance of both microbial metabolism of xenobiotics and the impact of the gut microbiome on host hepatic enzyme systems is nonetheless gaining traction and presents a further challenge in drug discovery efforts, with implications for improving treatment outcomes or counteracting adverse drug reactions. Microbial factors must now be considered when determining drug pharmacokinetics and the impact that an evolving and dynamic microbiome could have in this regard. In this review, we aim to integrate the contribution of the gut microbiome in health and disease to xenobiotic metabolism focusing on therapeutic interventions, pharmacological drug action, and chemical biotransformations that collectively will have implications for the future practice of precision medicine.","author":[{"dropping-particle":"","family":"Clarke","given":"Gerard","non-dropping-particle":"","parse-names":false,"suffix":""},{"dropping-particle":"V.","family":"Sandhu","given":"Kiran","non-dropping-particle":"","parse-names":false,"suffix":""},{"dropping-particle":"","family":"Griffin","given":"Brendan T.","non-dropping-particle":"","parse-names":false,"suffix":""},{"dropping-particle":"","family":"Dinan","given":"Timothy G.","non-dropping-particle":"","parse-names":false,"suffix":""},{"dropping-particle":"","family":"Cryan","given":"John F.","non-dropping-particle":"","parse-names":false,"suffix":""},{"dropping-particle":"","family":"Hyland","given":"Niall P.","non-dropping-particle":"","parse-names":false,"suffix":""}],"container-title":"Pharmacological Reviews","id":"ITEM-1","issue":"2","issued":{"date-parts":[["2019"]]},"title":"Gut reactions: Breaking down xenobiotic–microbiome interactions","type":"article-journal","volume":"71"},"uris":["http://www.mendeley.com/documents/?uuid=7141ada0-9211-3972-a692-d41f8e15b9ec"]}],"mendeley":{"formattedCitation":"(Clarke et al., 2019)","plainTextFormattedCitation":"(Clarke et al., 2019)","previouslyFormattedCitation":"(Clarke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(Clarke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19635E0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 in Detoxification</w:t>
      </w:r>
    </w:p>
    <w:p w14:paraId="141B8DF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 metabolism serves a protective role by facilitating the detoxification of xenobiotics. The conversion of lipophilic compounds into more hydrophilic metabolites enhances their elimination, preventing their accumulation in tissues and reducing potential toxicity.</w:t>
      </w:r>
    </w:p>
    <w:p w14:paraId="0020DDA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Prodrug Activation</w:t>
      </w:r>
    </w:p>
    <w:p w14:paraId="07E4CCC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Some drugs are administered in inactive forms known as prodrugs. The biotransformation of prodrugs into active metabolites through drug metabolism is a deliberate strategy employed in pharmaceutical design to optimize therapeutic effects.</w:t>
      </w:r>
    </w:p>
    <w:p w14:paraId="6F90B81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Individual Variability</w:t>
      </w:r>
    </w:p>
    <w:p w14:paraId="1DF37C1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polymorphisms in drug-metabolizing enzymes contribute to individual variability in drug metabolism. Variations in the expression or activity of these enzymes can impact the rate and extent of xenobiotic transformation, influencing drug response and susceptibility to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{"citationItems":[{"id":"ITEM-1","itemData":{"DOI":"10.3390/livers3030032","ISSN":"26734389","abstract":"Biotransformation refers to the metabolic conversion of endogenous and xenobiotic chemicals into more hydrophilic substances. Xenobiotic biotransformation is accomplished by a restricted number of enzymes with broad substrate specificities. The biotransformation of xenobiotics is catalyzed by various enzyme systems that can be divided into four categories based on the reaction they catalyze. The primary concentration is in cytochrome P450, while the CYP enzymes responsible for xenobiotic biotransformation are located within the hepatic endoplasmic reticulum (microsomes). Cytochrome P450 (CYP450) enzymes are also present in extrahepatic tissues. Enzymes catalyzing biotransformation reactions often determine the intensity and duration of the action of drugs and play a key role in chemical toxicity and chemical tumorigenesis. The structure of a given biotransforming enzyme may differ among individuals, which can cause differences in the rates of xenobiotic biotransformation. The study of the molecular mechanisms underlying chemical liver injury is fundamental for preventing or devising new modalities of treatment for liver injury using chemicals. Active metabolites arise from the biotransformation of a parent drug compound using one or more xenobiotic-processing enzymes to generate metabolites with different pharmacological or toxicological properties. Understanding how exogenous chemicals (xenobiotics) are metabolized, distributed, and eliminated is critical to determining the impact of these compounds on human health. Computational tools such as Biotransformer have been developed to predict all the possible metabolites of xenobiotic and enzymatic profiles that are linked to the production of metabolites. The construction of xenobiotic metabolism maps can predict enzymes catalyzing metabolites capable of binding to DNA.","author":[{"dropping-particle":"","family":"Rai","given":"Mansi","non-dropping-particle":"","parse-names":false,"suffix":""},{"dropping-particle":"","family":"Paudel","given":"Namuna","non-dropping-particle":"","parse-names":false,"suffix":""},{"dropping-particle":"","family":"Sakhrie","given":"Mesevilhou","non-dropping-particle":"","parse-names":false,"suffix":""},{"dropping-particle":"","family":"Gemmati","given":"Donato","non-dropping-particle":"","parse-names":false,"suffix":""},{"dropping-particle":"","family":"Khan","given":"Inshad Ali","non-dropping-particle":"","parse-names":false,"suffix":""},{"dropping-particle":"","family":"Tisato","given":"Veronica","non-dropping-particle":"","parse-names":false,"suffix":""},{"dropping-particle":"","family":"Kanase","given":"Anurag","non-dropping-particle":"","parse-names":false,"suffix":""},{"dropping-particle":"","family":"Schulz","given":"Armin","non-dropping-particle":"","parse-names":false,"suffix":""},{"dropping-particle":"","family":"Singh","given":"Ajay Vikram","non-dropping-particle":"","parse-names":false,"suffix":""}],"container-title":"Livers","id":"ITEM-1","issue":"3","issued":{"date-parts":[["2023"]]},"title":"Perspective on Quantitative Structure–Toxicity Relationship (QSTR) Models to Predict Hepatic Biotransformation of Xenobiotics","type":"article","volume":"3"},"uris":["http://www.mendeley.com/documents/?uuid=fee6a6d8-25fc-3eec-baef-b6db7cf54864"]}],"mendeley":{"formattedCitation":"(Rai et al., 2023)","plainTextFormattedCitation":"(Rai et al., 2023)","previouslyFormattedCitation":"(Rai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(Rai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20EBD04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Drug-Drug Interactions</w:t>
      </w:r>
    </w:p>
    <w:p w14:paraId="11A1F27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 metabolism also plays a significant role in drug-drug interactions. Enzyme induction or inhibition by one drug can alter the metabolism of co-administered drugs, leading to changes in their efficacy or toxicity.</w:t>
      </w:r>
    </w:p>
    <w:p w14:paraId="0CDE607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Metabolites as Biomarkers</w:t>
      </w:r>
    </w:p>
    <w:p w14:paraId="4A27B4C2"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Metabolites generated during drug metabolism can serve as valuable biomarkers in clinical settings. Monitoring specific metabolites can provide insights into drug exposure, adherence, and potential adverse reactions, contributing to personalized medicine approaches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{"citationItems":[{"id":"ITEM-1","itemData":{"DOI":"10.3390/livers3030032","ISSN":"26734389","abstract":"Biotransformation refers to the metabolic conversion of endogenous and xenobiotic chemicals into more hydrophilic substances. Xenobiotic biotransformation is accomplished by a restricted number of enzymes with broad substrate specificities. The biotransformation of xenobiotics is catalyzed by various enzyme systems that can be divided into four categories based on the reaction they catalyze. The primary concentration is in cytochrome P450, while the CYP enzymes responsible for xenobiotic biotransformation are located within the hepatic endoplasmic reticulum (microsomes). Cytochrome P450 (CYP450) enzymes are also present in extrahepatic tissues. Enzymes catalyzing biotransformation reactions often determine the intensity and duration of the action of drugs and play a key role in chemical toxicity and chemical tumorigenesis. The structure of a given biotransforming enzyme may differ among individuals, which can cause differences in the rates of xenobiotic biotransformation. The study of the molecular mechanisms underlying chemical liver injury is fundamental for preventing or devising new modalities of treatment for liver injury using chemicals. Active metabolites arise from the biotransformation of a parent drug compound using one or more xenobiotic-processing enzymes to generate metabolites with different pharmacological or toxicological properties. Understanding how exogenous chemicals (xenobiotics) are metabolized, distributed, and eliminated is critical to determining the impact of these compounds on human health. Computational tools such as Biotransformer have been developed to predict all the possible metabolites of xenobiotic and enzymatic profiles that are linked to the production of metabolites. The construction of xenobiotic metabolism maps can predict enzymes catalyzing metabolites capable of binding to DNA.","author":[{"dropping-particle":"","family":"Rai","given":"Mansi","non-dropping-particle":"","parse-names":false,"suffix":""},{"dropping-particle":"","family":"Paudel","given":"Namuna","non-dropping-particle":"","parse-names":false,"suffix":""},{"dropping-particle":"","family":"Sakhrie","given":"Mesevilhou","non-dropping-particle":"","parse-names":false,"suffix":""},{"dropping-particle":"","family":"Gemmati","given":"Donato","non-dropping-particle":"","parse-names":false,"suffix":""},{"dropping-particle":"","family":"Khan","given":"Inshad Ali","non-dropping-particle":"","parse-names":false,"suffix":""},{"dropping-particle":"","family":"Tisato","given":"Veronica","non-dropping-particle":"","parse-names":false,"suffix":""},{"dropping-particle":"","family":"Kanase","given":"Anurag","non-dropping-particle":"","parse-names":false,"suffix":""},{"dropping-particle":"","family":"Schulz","given":"Armin","non-dropping-particle":"","parse-names":false,"suffix":""},{"dropping-particle":"","family":"Singh","given":"Ajay Vikram","non-dropping-particle":"","parse-names":false,"suffix":""}],"container-title":"Livers","id":"ITEM-1","issue":"3","issued":{"date-parts":[["2023"]]},"title":"Perspective on Quantitative Structure–Toxicity Relationship (QSTR) Models to Predict Hepatic Biotransformation of Xenobiotics","type":"article","volume":"3"},"uris":["http://www.mendeley.com/documents/?uuid=fee6a6d8-25fc-3eec-baef-b6db7cf54864"]}],"mendeley":{"formattedCitation":"(Rai et al., 2023)","plainTextFormattedCitation":"(Rai et al., 2023)","previouslyFormattedCitation":"(Rai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(Rai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704E562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Metabolic Activation and Toxicity</w:t>
      </w:r>
    </w:p>
    <w:p w14:paraId="084C3B04" w14:textId="77777777" w:rsidR="00460EB1" w:rsidRDefault="00460EB1" w:rsidP="00460EB1">
      <w:pPr>
        <w:spacing w:line="480" w:lineRule="auto"/>
        <w:jc w:val="both"/>
        <w:rPr>
          <w:rFonts w:ascii="Times New Roman" w:hAnsi="Times New Roman" w:cs="Times New Roman"/>
          <w:sz w:val="24"/>
          <w:szCs w:val="24"/>
        </w:rPr>
      </w:pPr>
    </w:p>
    <w:p w14:paraId="6F80ACF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some cases, xenobiotic metabolism can lead to the formation of reactive intermediates that may be toxic. Metabolic activation is a concern for certain compounds, and understanding these processes is crucial for evaluating and mitigating potential toxicological risks.</w:t>
      </w:r>
    </w:p>
    <w:p w14:paraId="3677850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drug metabolism is a dynamic and intricate process that transforms xenobiotics into metabolites, influencing their pharmacological properties and fate within the body. This biotransformation, mediated by Phase I and Phase II reactions, is essential for detoxification, prodrug activation, and the modulation of drug efficacy and safety. The study of drug metabolism not only enhances our understanding of pharmacokinetics but also informs drug development, individualized treatment strategies, and the identification of potential drug interactions and toxicities.</w:t>
      </w:r>
    </w:p>
    <w:p w14:paraId="223616C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Analyze the major drug-metabolizing enzymes and their significance in drug metabolism.</w:t>
      </w:r>
    </w:p>
    <w:p w14:paraId="1013EE7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a crucial aspect of pharmacokinetics, involves the transformation of xenobiotics (foreign substances, including drugs) into metabolites. The major drug-metabolizing enzymes responsible for these transformations are predominantly found in the liver, with the cytochrome P450 enzymes, Flavin-containing monooxygenases (FMOs), and conjugating </w:t>
      </w:r>
      <w:r>
        <w:rPr>
          <w:rFonts w:ascii="Times New Roman" w:hAnsi="Times New Roman" w:cs="Times New Roman"/>
          <w:sz w:val="24"/>
          <w:szCs w:val="24"/>
        </w:rPr>
        <w:lastRenderedPageBreak/>
        <w:t xml:space="preserve">enzymes playing pivotal roles. Understanding the significance of these enzymes is essential for predicting drug behavior, optimizing therapeutic outcomes, and minimizing potential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{"citationItems":[{"id":"ITEM-1","itemData":{"DOI":"10.1016/j.bios.2012.05.043","ISSN":"09565663","abstract":"Cytochrome P450s (CYPs) are a large family of heme-containing monooxygenase enzymes involved in the first-pass metabolism of drugs and foreign chemicals in the body. CYP reactions, therefore, are of high interest to the pharmaceutical industry, where lead compounds in drug development are screened for CYP activity. CYP reactions in vivo require the cofactor NADPH as the source of electrons and an additional enzyme, cytochrome P450 reductase (CPR), as the electron transfer partner; consequently, any laboratory or industrial use of CYPs is limited by the need to supply NADPH and CPR. However, immobilizing CYPs on an electrode can eliminate the need for NADPH and CPR provided the enzyme can accept electrons directly from the electrode. The immobilized CYP can then act as a biosensor for the detection of CYP activity with potential substrates, albeit only if the immobilized enzyme is electroactive. The quest to create electroactive CYPs has led to many different immobilization strategies encompassing different electrode materials and surface modifications. This review focuses on different immobilization strategies that have been used to create CYP biosensors, with particular emphasis on mammalian drug-metabolizing CYPs and characterization of CYP electrodes. Traditional immobilization methods such as adsorption to thin films or encapsulation in polymers and gels remain robust strategies for creating CYP biosensors; however, the incorporation of novel materials such as gold nanoparticles or quantum dots and the use of microfabrication are proving advantageous for the creation of highly sensitive and portable CYP biosensors. © 2012 Elsevier B.V..","author":[{"dropping-particle":"","family":"Schneider","given":"Elizabeth","non-dropping-particle":"","parse-names":false,"suffix":""},{"dropping-particle":"","family":"Clark","given":"Douglas S.","non-dropping-particle":"","parse-names":false,"suffix":""}],"container-title":"Biosensors and Bioelectronics","id":"ITEM-1","issue":"1","issued":{"date-parts":[["2013"]]},"title":"Cytochrome P450 (CYP) enzymes and the development of CYP biosensors","type":"article","volume":"39"},"uris":["http://www.mendeley.com/documents/?uuid=8e875784-e6fd-39c5-b6b7-bf96a0ae37c2"]}],"mendeley":{"formattedCitation":"(Schneider &amp; Clark, 2013)","plainTextFormattedCitation":"(Schneider &amp; Clark, 2013)","previouslyFormattedCitation":"(Schneider &amp; Clark,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(Schneider &amp; Clark, 2013)</w:t>
      </w:r>
      <w:r>
        <w:rPr>
          <w:rFonts w:ascii="Times New Roman" w:hAnsi="Times New Roman" w:cs="Times New Roman"/>
          <w:sz w:val="24"/>
          <w:szCs w:val="24"/>
        </w:rPr>
        <w:fldChar w:fldCharType="end"/>
      </w:r>
      <w:r>
        <w:rPr>
          <w:rFonts w:ascii="Times New Roman" w:hAnsi="Times New Roman" w:cs="Times New Roman"/>
          <w:sz w:val="24"/>
          <w:szCs w:val="24"/>
        </w:rPr>
        <w:t>.</w:t>
      </w:r>
    </w:p>
    <w:p w14:paraId="67AF0FF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Cytochrome P450 (CYP) Enzymes</w:t>
      </w:r>
    </w:p>
    <w:p w14:paraId="42051375"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CYP Enzyme Families and Isoforms</w:t>
      </w:r>
    </w:p>
    <w:p w14:paraId="57C85255" w14:textId="77777777" w:rsidR="00460EB1" w:rsidRDefault="00460EB1" w:rsidP="00460EB1">
      <w:pPr>
        <w:spacing w:line="480" w:lineRule="auto"/>
        <w:jc w:val="both"/>
        <w:rPr>
          <w:rFonts w:ascii="Times New Roman" w:hAnsi="Times New Roman" w:cs="Times New Roman"/>
          <w:sz w:val="24"/>
          <w:szCs w:val="24"/>
        </w:rPr>
      </w:pPr>
    </w:p>
    <w:p w14:paraId="3B0B771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Cytochrome P450 enzymes, encoded by a diverse gene family, are crucial in Phase I metabolism. The major families include CYP1, CYP2, and CYP3, with numerous isoforms within each family. For example, CYP3A4, CYP2D6, and CYP1A2 are prominent isoforms involved in drug metabolism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{"citationItems":[{"id":"ITEM-1","itemData":{"DOI":"10.1016/j.bios.2012.05.043","ISSN":"09565663","abstract":"Cytochrome P450s (CYPs) are a large family of heme-containing monooxygenase enzymes involved in the first-pass metabolism of drugs and foreign chemicals in the body. CYP reactions, therefore, are of high interest to the pharmaceutical industry, where lead compounds in drug development are screened for CYP activity. CYP reactions in vivo require the cofactor NADPH as the source of electrons and an additional enzyme, cytochrome P450 reductase (CPR), as the electron transfer partner; consequently, any laboratory or industrial use of CYPs is limited by the need to supply NADPH and CPR. However, immobilizing CYPs on an electrode can eliminate the need for NADPH and CPR provided the enzyme can accept electrons directly from the electrode. The immobilized CYP can then act as a biosensor for the detection of CYP activity with potential substrates, albeit only if the immobilized enzyme is electroactive. The quest to create electroactive CYPs has led to many different immobilization strategies encompassing different electrode materials and surface modifications. This review focuses on different immobilization strategies that have been used to create CYP biosensors, with particular emphasis on mammalian drug-metabolizing CYPs and characterization of CYP electrodes. Traditional immobilization methods such as adsorption to thin films or encapsulation in polymers and gels remain robust strategies for creating CYP biosensors; however, the incorporation of novel materials such as gold nanoparticles or quantum dots and the use of microfabrication are proving advantageous for the creation of highly sensitive and portable CYP biosensors. © 2012 Elsevier B.V..","author":[{"dropping-particle":"","family":"Schneider","given":"Elizabeth","non-dropping-particle":"","parse-names":false,"suffix":""},{"dropping-particle":"","family":"Clark","given":"Douglas S.","non-dropping-particle":"","parse-names":false,"suffix":""}],"container-title":"Biosensors and Bioelectronics","id":"ITEM-1","issue":"1","issued":{"date-parts":[["2013"]]},"title":"Cytochrome P450 (CYP) enzymes and the development of CYP biosensors","type":"article","volume":"39"},"uris":["http://www.mendeley.com/documents/?uuid=8e875784-e6fd-39c5-b6b7-bf96a0ae37c2"]}],"mendeley":{"formattedCitation":"(Schneider &amp; Clark, 2013)","plainTextFormattedCitation":"(Schneider &amp; Clark, 2013)","previouslyFormattedCitation":"(Schneider &amp; Clark,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(Schneider &amp; Clark, 2013)</w:t>
      </w:r>
      <w:r>
        <w:rPr>
          <w:rFonts w:ascii="Times New Roman" w:hAnsi="Times New Roman" w:cs="Times New Roman"/>
          <w:sz w:val="24"/>
          <w:szCs w:val="24"/>
        </w:rPr>
        <w:fldChar w:fldCharType="end"/>
      </w:r>
      <w:r>
        <w:rPr>
          <w:rFonts w:ascii="Times New Roman" w:hAnsi="Times New Roman" w:cs="Times New Roman"/>
          <w:sz w:val="24"/>
          <w:szCs w:val="24"/>
        </w:rPr>
        <w:t>.</w:t>
      </w:r>
    </w:p>
    <w:p w14:paraId="41E5BDD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Roles and Significance</w:t>
      </w:r>
    </w:p>
    <w:p w14:paraId="25B102A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These enzymes catalyze oxidative reactions, introducing functional groups (such as hydroxyl or epoxide) to xenobiotics. Their broad substrate specificity allows the metabolism of a wide range of drugs and endogenous compounds. CYP enzymes play a pivotal role in drug clearance, bioavailability, and drug-drug interactions.</w:t>
      </w:r>
    </w:p>
    <w:p w14:paraId="12BF8BD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Clinical Implications</w:t>
      </w:r>
    </w:p>
    <w:p w14:paraId="5963D83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polymorphisms in CYP genes contribute to inter-individual variability in drug metabolism. Poor or ultra-rapid metabolizers may experience altered drug efficacy or increased risk of adverse effects. Understanding CYP enzyme activity is crucial for personalized medicine approaches and optimizing drug therapy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{"citationItems":[{"id":"ITEM-1","itemData":{"DOI":"10.3389/fphar.2015.00123","ISSN":"16639812","abstract":"The adverse effects to humans and environment of only few chemicals are well known. Absorption, distribution, metabolism and excretion (ADME) are the steps of pharmaco/toxicokinetics that determine the internal dose of chemicals to which the organism is exposed. Of all the xenobiotic-metabolizing enzymes, the cytochrome P450 (CYP) enzymes are the most important due to their abundance and versatility. Reactions catalyzed by CYPs usually turn xenobiotics to harmless and excretable metabolites, but sometimes an innocuous xenobiotic is transformed into a toxic metabolite. Data on ADME and toxicity (ADMET) properties of compounds are increasingly generated using in vitro and modeling (in silico) tools. Both physics-based and empirical modeling approaches are used. Numerous ligand-based and target-based as well as combined modeling methods have been employed to evaluate determinants of CYP ligand binding as well as predicting sites of metabolism and inhibition characteristics of test molecules. In silico prediction of CYP-ligand interactions have made crucial contributions in understanding 1) determinants of CYP ligand binding recognition and affinity; 2) prediction of likely metabolites from substrates; 3) prediction of inhibitors and their inhibition potency. Truly predictive models of toxic outcomes cannot be created without incorporating metabolic characteristics; in silico methods help producing such information and filling gaps in experimentally derived data. Currently modeling methods are not mature enough to replace standard in vitro and in vivo approaches, but they are already used as an important component in risk assessment of drugs and other chemicals.","author":[{"dropping-particle":"","family":"Raunio","given":"Hannu","non-dropping-particle":"","parse-names":false,"suffix":""}],"container-title":"Frontiers in Pharmacology","id":"ITEM-1","issue":"MAY","issued":{"date-parts":[["2015"]]},"title":"Modeling of interactions between xenobiotics and cytochrome P450 (CYP) enzymes","type":"article","volume":"6"},"uris":["http://www.mendeley.com/documents/?uuid=908c2646-576a-3c27-9916-50961cbe4601"]}],"mendeley":{"formattedCitation":"(Raunio, 2015)","plainTextFormattedCitation":"(Raunio, 2015)","previouslyFormattedCitation":"(Raunio,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(Raunio, 2015)</w:t>
      </w:r>
      <w:r>
        <w:rPr>
          <w:rFonts w:ascii="Times New Roman" w:hAnsi="Times New Roman" w:cs="Times New Roman"/>
          <w:sz w:val="24"/>
          <w:szCs w:val="24"/>
        </w:rPr>
        <w:fldChar w:fldCharType="end"/>
      </w:r>
      <w:r>
        <w:rPr>
          <w:rFonts w:ascii="Times New Roman" w:hAnsi="Times New Roman" w:cs="Times New Roman"/>
          <w:sz w:val="24"/>
          <w:szCs w:val="24"/>
        </w:rPr>
        <w:t>.</w:t>
      </w:r>
    </w:p>
    <w:p w14:paraId="666BC45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Flavin-Containing Monooxygenases (FMOs)</w:t>
      </w:r>
    </w:p>
    <w:p w14:paraId="4F59686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Substrate Specificity</w:t>
      </w:r>
    </w:p>
    <w:p w14:paraId="3406DC8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FMOs, particularly FMO3, are involved in oxidative metabolism, often complementing the actions of CYP enzymes. FMOs are known for their specificity towards nucleophilic heteroatom-containing compounds, such as amines and sulfur-containing compounds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{"citationItems":[{"id":"ITEM-1","itemData":{"DOI":"10.1093/geroni/igz038.3497","abstract":"Since their discovery in 1970, flavin-containing monooxygenases (FMOs) have been studied as Phase 1 xenobiotic metabolizing enzymes that act on sulfur- and nitrogen-containing small molecules. In 2015, we demonstrated that C. elegans (worm) fmo-2 was not only necessary for hypoxic response and dietary restriction-mediated lifespan extension, but was also sufficient to extend lifespan when overexpressed. Consistenet with a conserved role for FMOs as longevity-promoting enzymes, mouse hepatic Fmo3 transcript is highly upregulated by numerous major lifespan extending interventions. A contrasting series of reports, however, have described mammalian Fmo3-mediated production of trimethylamine N-oxide (TMAO) as a risk factor for atherosclerosis and other major diseases. My thesis research aims to define the regulation and function of worm fmo-2 using genetic and biochemical approaches. My data thus far support the hypothesis that fmo-2 acts on sulfur amino acid pathway intermediates to promote longevity and healthspan.","author":[{"dropping-particle":"","family":"Rossner","given":"Ryan J","non-dropping-particle":"","parse-names":false,"suffix":""},{"dropping-particle":"","family":"Kaeberlein","given":"Matt","non-dropping-particle":"","parse-names":false,"suffix":""}],"container-title":"Innovation in Aging","id":"ITEM-1","issue":"Supplement_1","issued":{"date-parts":[["2019"]]},"title":"FLAVIN-CONTAINING MONOOXYGENASES (FMOS): LONGEVITY-PROMOTING ENZYMES OR ATHEROSCLEROSIS RISK FACTOR?","type":"article-journal","volume":"3"},"uris":["http://www.mendeley.com/documents/?uuid=451ac365-b272-3237-b7ad-50e1c3fc39ee"]}],"mendeley":{"formattedCitation":"(R. J. Rossner &amp; Kaeberlein, 2019)","plainTextFormattedCitation":"(R. J. Rossner &amp; Kaeberlein, 2019)","previouslyFormattedCitation":"(R. J. Rossner &amp; Kaeberlein,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 J. Rossner &amp; Kaeberlein, 2019)</w:t>
      </w:r>
      <w:r>
        <w:rPr>
          <w:rFonts w:ascii="Times New Roman" w:hAnsi="Times New Roman" w:cs="Times New Roman"/>
          <w:sz w:val="24"/>
          <w:szCs w:val="24"/>
        </w:rPr>
        <w:fldChar w:fldCharType="end"/>
      </w:r>
      <w:r>
        <w:rPr>
          <w:rFonts w:ascii="Times New Roman" w:hAnsi="Times New Roman" w:cs="Times New Roman"/>
          <w:sz w:val="24"/>
          <w:szCs w:val="24"/>
        </w:rPr>
        <w:t>.</w:t>
      </w:r>
    </w:p>
    <w:p w14:paraId="06463DB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Roles and Significance</w:t>
      </w:r>
    </w:p>
    <w:p w14:paraId="4FB9A0A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FMOs contribute to the metabolism of certain drugs and endogenous compounds, including dietary amines. While they are not as numerous or as versatile as CYP enzymes, FMOs play a crucial role in detoxification and the clearance of specific xenobiotics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{"citationItems":[{"id":"ITEM-1","itemData":{"DOI":"10.1074/jbc.R117.779678","ISSN":"1083351X","abstract":"Flavin-containing monooxygenases (FMOs) are primarily studied as xenobiotic metabolizing enzymes with a prominent role in drug metabolism. In contrast, endogenous functions and substrates of FMOs are less well understood. A growing body of recent evidence, however, implicatesFMOsin aging, several diseases, and metabolic pathways. The evidence suggests an important role for these well-conserved proteins in multiple processes and raises questions about the endogenous substrate(s) and regulation of FMOs. Here, we present an overview of evidence for FMOs' involvement in aging and disease, discussing the biological context and arguing for increased investigation into the function of these enzymes.","author":[{"dropping-particle":"","family":"Rossner","given":"Ryan","non-dropping-particle":"","parse-names":false,"suffix":""},{"dropping-particle":"","family":"Kaeberlein","given":"Matt","non-dropping-particle":"","parse-names":false,"suffix":""},{"dropping-particle":"","family":"Leiser","given":"Scott F.","non-dropping-particle":"","parse-names":false,"suffix":""}],"container-title":"Journal of Biological Chemistry","id":"ITEM-1","issue":"27","issued":{"date-parts":[["2017"]]},"title":"Flavin-containing monooxygenases in aging and disease: Emerging roles for ancient enzymes","type":"article","volume":"292"},"uris":["http://www.mendeley.com/documents/?uuid=5da05c56-b7d4-3fb1-9ab4-40d630c4c1eb"]}],"mendeley":{"formattedCitation":"(R. Rossner et al., 2017)","plainTextFormattedCitation":"(R. Rossner et al., 2017)","previouslyFormattedCitation":"(R. Rossner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 Rossner et al., 2017)</w:t>
      </w:r>
      <w:r>
        <w:rPr>
          <w:rFonts w:ascii="Times New Roman" w:hAnsi="Times New Roman" w:cs="Times New Roman"/>
          <w:sz w:val="24"/>
          <w:szCs w:val="24"/>
        </w:rPr>
        <w:fldChar w:fldCharType="end"/>
      </w:r>
      <w:r>
        <w:rPr>
          <w:rFonts w:ascii="Times New Roman" w:hAnsi="Times New Roman" w:cs="Times New Roman"/>
          <w:sz w:val="24"/>
          <w:szCs w:val="24"/>
        </w:rPr>
        <w:t>.</w:t>
      </w:r>
    </w:p>
    <w:p w14:paraId="1F55932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Impact on Drug Development</w:t>
      </w:r>
    </w:p>
    <w:p w14:paraId="30FAAFC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involvement of FMOs in drug metabolism highlights the importance of considering multiple enzyme systems during drug development. Designing prodrugs that utilize both CYP and FMO pathways can be a strategic approach to enhance drug bioavailability and efficacy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{"citationItems":[{"id":"ITEM-1","itemData":{"DOI":"10.1038/s41467-023-36756-x","ISSN":"20411723","abstract":"Among the molecular mechanisms of adaptation in biology, enzyme functional diversification is indispensable. By allowing organisms to expand their catalytic repertoires and adopt fundamentally different chemistries, animals can harness or eliminate new-found substances and xenobiotics that they are exposed to in new environments. Here, we explore the flavin-containing monooxygenases (FMOs) that are essential for xenobiotic detoxification. Employing a paleobiochemistry approach in combination with enzymology techniques we disclose the set of historical substitutions responsible for the family’s functional diversification in tetrapods. Remarkably, a few amino acid replacements differentiate an ancestral multi-tasking FMO into a more specialized monooxygenase by modulating the oxygenating flavin intermediate. Our findings substantiate an ongoing premise that enzymatic function hinges on a subset of residues that is not limited to the active site core.","author":[{"dropping-particle":"","family":"Bailleul","given":"Gautier","non-dropping-particle":"","parse-names":false,"suffix":""},{"dropping-particle":"","family":"Yang","given":"Guang","non-dropping-particle":"","parse-names":false,"suffix":""},{"dropping-particle":"","family":"Nicoll","given":"Callum R.","non-dropping-particle":"","parse-names":false,"suffix":""},{"dropping-particle":"","family":"Mattevi","given":"Andrea","non-dropping-particle":"","parse-names":false,"suffix":""},{"dropping-particle":"","family":"Fraaije","given":"Marco W.","non-dropping-particle":"","parse-names":false,"suffix":""},{"dropping-particle":"","family":"Mascotti","given":"Maria Laura","non-dropping-particle":"","parse-names":false,"suffix":""}],"container-title":"Nature Communications","id":"ITEM-1","issue":"1","issued":{"date-parts":[["2023"]]},"title":"Evolution of enzyme functionality in the flavin-containing monooxygenases","type":"article-journal","volume":"14"},"uris":["http://www.mendeley.com/documents/?uuid=a925cf62-f4b0-337f-b977-27f19417d18b"]}],"mendeley":{"formattedCitation":"(Bailleul et al., 2023)","plainTextFormattedCitation":"(Bailleul et al., 2023)","previouslyFormattedCitation":"(Bailleul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(Bailleul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1C3768F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Conjugating Enzymes</w:t>
      </w:r>
    </w:p>
    <w:p w14:paraId="14C2EAF5"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Classes of Conjugating Enzymes</w:t>
      </w:r>
    </w:p>
    <w:p w14:paraId="14BC6BF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Conjugation involves the addition of endogenous compounds to xenobiotics, increasing their water solubility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{"citationItems":[{"id":"ITEM-1","itemData":{"DOI":"10.3390/ijms21010029","ISSN":"14220067","abstract":"Post-translational modification of cellular proteins by sumoylation plays a vital role in stress responses of plants. However, the mechanisms underlying the sumoylation’s involvement in stress responses in crop species remain largely unknown. Herein, a maize class-I SUMO conjugating enzyme gene (ZmSCE1d) was identified, whose expression was upregulated upon drought stress. Over-expression of ZmSCE1d in transgenic Arabidopsis plants increased SUMO conjugates and improved drought tolerance. The ZmSCE1d-transgenic plants showed higher antioxidant enzyme activities, but lower reactive oxygen species and lipid peroxidation upon drought stress. Furthermore, transcripts of several drought-responsive genes were significantly elevated, as revealed by qPCR in the transgenic lines. Taken together, these data have demonstrated that ZmSCE1d overexpression improved drought tolerance likely by regulating sumoylation levels, antioxidant capability, and drought-responsive gene expression in transgenic plants. This study may facilitate our understanding of the mechanisms underlying SCE-mediated sumoylation under drought stress and accelerate genetic improvement of crop plants tolerant to drought stress by manipulating the SUMO system.","author":[{"dropping-particle":"","family":"Wang","given":"Huanyan","non-dropping-particle":"","parse-names":false,"suffix":""},{"dropping-particle":"","family":"Wang","given":"Meiping","non-dropping-particle":"","parse-names":false,"suffix":""},{"dropping-particle":"","family":"Xia","given":"Zongliang","non-dropping-particle":"","parse-names":false,"suffix":""}],"container-title":"International Journal of Molecular Sciences","id":"ITEM-1","issue":"1","issued":{"date-parts":[["2020"]]},"title":"The maize class-i SUMO conjugating enzyme zmSCE1d is involved in drought stress response","type":"article-journal","volume":"21"},"uris":["http://www.mendeley.com/documents/?uuid=c4681630-0219-3ba2-b306-0af677ed39f4"]}],"mendeley":{"formattedCitation":"(H. Wang et al., 2020)","plainTextFormattedCitation":"(H. Wang et al., 2020)","previouslyFormattedCitation":"(H. Wang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 Wang et al., 2020)</w:t>
      </w:r>
      <w:r>
        <w:rPr>
          <w:rFonts w:ascii="Times New Roman" w:hAnsi="Times New Roman" w:cs="Times New Roman"/>
          <w:sz w:val="24"/>
          <w:szCs w:val="24"/>
        </w:rPr>
        <w:fldChar w:fldCharType="end"/>
      </w:r>
      <w:r>
        <w:rPr>
          <w:rFonts w:ascii="Times New Roman" w:hAnsi="Times New Roman" w:cs="Times New Roman"/>
          <w:sz w:val="24"/>
          <w:szCs w:val="24"/>
        </w:rPr>
        <w:t>. Major conjugating enzymes include UDP-</w:t>
      </w:r>
      <w:r>
        <w:rPr>
          <w:rFonts w:ascii="Times New Roman" w:hAnsi="Times New Roman" w:cs="Times New Roman"/>
          <w:sz w:val="24"/>
          <w:szCs w:val="24"/>
        </w:rPr>
        <w:lastRenderedPageBreak/>
        <w:t>glucuronosyltransferases (UGTs), sulfotransferases (SULTs), and glutathione S-transferases (GSTs).</w:t>
      </w:r>
    </w:p>
    <w:p w14:paraId="1B865D4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Roles and Significance</w:t>
      </w:r>
    </w:p>
    <w:p w14:paraId="0CB4A33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UGTs predominantly catalyze glucuronidation, adding glucuronic acid to xenobiotics. SULTs add sulfate groups, while GSTs conjugate glutathione. These conjugation reactions enhance water solubility and facilitate excretion, playing a crucial role in Phase II metabolism.</w:t>
      </w:r>
    </w:p>
    <w:p w14:paraId="08E64096"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Impact on Drug Elimination</w:t>
      </w:r>
    </w:p>
    <w:p w14:paraId="0448788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Conjugation reactions are vital for the elimination of water-insoluble or reactive metabolites. They contribute significantly to the detoxification of xenobiotics, preventing their accumulation in tissues and minimizing potential toxic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{"citationItems":[{"id":"ITEM-1","itemData":{"DOI":"10.3390/ijms21010029","ISSN":"14220067","abstract":"Post-translational modification of cellular proteins by sumoylation plays a vital role in stress responses of plants. However, the mechanisms underlying the sumoylation’s involvement in stress responses in crop species remain largely unknown. Herein, a maize class-I SUMO conjugating enzyme gene (ZmSCE1d) was identified, whose expression was upregulated upon drought stress. Over-expression of ZmSCE1d in transgenic Arabidopsis plants increased SUMO conjugates and improved drought tolerance. The ZmSCE1d-transgenic plants showed higher antioxidant enzyme activities, but lower reactive oxygen species and lipid peroxidation upon drought stress. Furthermore, transcripts of several drought-responsive genes were significantly elevated, as revealed by qPCR in the transgenic lines. Taken together, these data have demonstrated that ZmSCE1d overexpression improved drought tolerance likely by regulating sumoylation levels, antioxidant capability, and drought-responsive gene expression in transgenic plants. This study may facilitate our understanding of the mechanisms underlying SCE-mediated sumoylation under drought stress and accelerate genetic improvement of crop plants tolerant to drought stress by manipulating the SUMO system.","author":[{"dropping-particle":"","family":"Wang","given":"Huanyan","non-dropping-particle":"","parse-names":false,"suffix":""},{"dropping-particle":"","family":"Wang","given":"Meiping","non-dropping-particle":"","parse-names":false,"suffix":""},{"dropping-particle":"","family":"Xia","given":"Zongliang","non-dropping-particle":"","parse-names":false,"suffix":""}],"container-title":"International Journal of Molecular Sciences","id":"ITEM-1","issue":"1","issued":{"date-parts":[["2020"]]},"title":"The maize class-i SUMO conjugating enzyme zmSCE1d is involved in drought stress response","type":"article-journal","volume":"21"},"uris":["http://www.mendeley.com/documents/?uuid=c4681630-0219-3ba2-b306-0af677ed39f4"]}],"mendeley":{"formattedCitation":"(H. Wang et al., 2020)","plainTextFormattedCitation":"(H. Wang et al., 2020)","previouslyFormattedCitation":"(H. Wang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 Wang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6B44E28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Drug-Drug Interactions</w:t>
      </w:r>
    </w:p>
    <w:p w14:paraId="4CB34F2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Interactions between drugs that share the same conjugating enzyme pathways may lead to competition for limited resources, affecting the metabolism and elimination of co-administered drugs. Understanding these interactions is critical for avoiding unintended alterations in drug pharmacokinetics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{"citationItems":[{"id":"ITEM-1","itemData":{"DOI":"10.1016/j.bios.2012.05.043","ISSN":"09565663","abstract":"Cytochrome P450s (CYPs) are a large family of heme-containing monooxygenase enzymes involved in the first-pass metabolism of drugs and foreign chemicals in the body. CYP reactions, therefore, are of high interest to the pharmaceutical industry, where lead compounds in drug development are screened for CYP activity. CYP reactions in vivo require the cofactor NADPH as the source of electrons and an additional enzyme, cytochrome P450 reductase (CPR), as the electron transfer partner; consequently, any laboratory or industrial use of CYPs is limited by the need to supply NADPH and CPR. However, immobilizing CYPs on an electrode can eliminate the need for NADPH and CPR provided the enzyme can accept electrons directly from the electrode. The immobilized CYP can then act as a biosensor for the detection of CYP activity with potential substrates, albeit only if the immobilized enzyme is electroactive. The quest to create electroactive CYPs has led to many different immobilization strategies encompassing different electrode materials and surface modifications. This review focuses on different immobilization strategies that have been used to create CYP biosensors, with particular emphasis on mammalian drug-metabolizing CYPs and characterization of CYP electrodes. Traditional immobilization methods such as adsorption to thin films or encapsulation in polymers and gels remain robust strategies for creating CYP biosensors; however, the incorporation of novel materials such as gold nanoparticles or quantum dots and the use of microfabrication are proving advantageous for the creation of highly sensitive and portable CYP biosensors. © 2012 Elsevier B.V..","author":[{"dropping-particle":"","family":"Schneider","given":"Elizabeth","non-dropping-particle":"","parse-names":false,"suffix":""},{"dropping-particle":"","family":"Clark","given":"Douglas S.","non-dropping-particle":"","parse-names":false,"suffix":""}],"container-title":"Biosensors and Bioelectronics","id":"ITEM-1","issue":"1","issued":{"date-parts":[["2013"]]},"title":"Cytochrome P450 (CYP) enzymes and the development of CYP biosensors","type":"article","volume":"39"},"uris":["http://www.mendeley.com/documents/?uuid=8e875784-e6fd-39c5-b6b7-bf96a0ae37c2"]}],"mendeley":{"formattedCitation":"(Schneider &amp; Clark, 2013)","plainTextFormattedCitation":"(Schneider &amp; Clark, 2013)","previouslyFormattedCitation":"(Schneider &amp; Clark,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(Schneider &amp; Clark, 2013)</w:t>
      </w:r>
      <w:r>
        <w:rPr>
          <w:rFonts w:ascii="Times New Roman" w:hAnsi="Times New Roman" w:cs="Times New Roman"/>
          <w:sz w:val="24"/>
          <w:szCs w:val="24"/>
        </w:rPr>
        <w:fldChar w:fldCharType="end"/>
      </w:r>
      <w:r>
        <w:rPr>
          <w:rFonts w:ascii="Times New Roman" w:hAnsi="Times New Roman" w:cs="Times New Roman"/>
          <w:sz w:val="24"/>
          <w:szCs w:val="24"/>
        </w:rPr>
        <w:t>.</w:t>
      </w:r>
    </w:p>
    <w:p w14:paraId="15F14E3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major drug-metabolizing enzymes, such as cytochrome P450 enzymes, Flavin-containing monooxygenases, and conjugating enzymes, play indispensable roles in the biotransformation of xenobiotics. Their substrate specificity, involvement in distinct metabolic pathways, and genetic polymorphisms contribute to the complexity of drug metabolism. A comprehensive understanding of these enzymes is essential for predicting drug behavior, optimizing therapeutic outcomes, and ensuring the safety and efficacy of drug therapies. Moreover, </w:t>
      </w:r>
      <w:r>
        <w:rPr>
          <w:rFonts w:ascii="Times New Roman" w:hAnsi="Times New Roman" w:cs="Times New Roman"/>
          <w:sz w:val="24"/>
          <w:szCs w:val="24"/>
        </w:rPr>
        <w:lastRenderedPageBreak/>
        <w:t>advancements in pharmacogenomics and personalized medicine underscore the significance of considering individual variability in drug-metabolizing enzyme activity for tailored and precise pharmacotherapy.</w:t>
      </w:r>
    </w:p>
    <w:p w14:paraId="65513CEF" w14:textId="77777777" w:rsidR="00460EB1" w:rsidRDefault="00460EB1" w:rsidP="00460EB1">
      <w:pPr>
        <w:spacing w:line="480" w:lineRule="auto"/>
        <w:jc w:val="center"/>
        <w:rPr>
          <w:rFonts w:ascii="Times New Roman" w:hAnsi="Times New Roman" w:cs="Times New Roman"/>
          <w:b/>
          <w:sz w:val="24"/>
          <w:szCs w:val="24"/>
        </w:rPr>
      </w:pPr>
      <w:r>
        <w:rPr>
          <w:rFonts w:ascii="Times New Roman" w:hAnsi="Times New Roman" w:cs="Times New Roman"/>
          <w:b/>
          <w:sz w:val="24"/>
          <w:szCs w:val="24"/>
          <w:highlight w:val="yellow"/>
        </w:rPr>
        <w:t>Discuss the role of cytochrome P450 enzymes in drug metabolism and their genetic polymorphisms.</w:t>
      </w:r>
    </w:p>
    <w:p w14:paraId="789B912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Cytochrome P450 (CYP) enzymes represent a crucial family of enzymes involved in the biotransformation of various xenobiotics, including drugs. These enzymes play a central role in Phase I metabolism, which focuses on introducing functional groups to facilitate subsequent reactions and promote drug elimination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{"citationItems":[{"id":"ITEM-1","itemData":{"DOI":"10.3390/cancers14215436","ISSN":"20726694","abstract":"Breast cancer (BC) is the prevailing malignancy and major cause of cancer-related death in females. Doxorubicin is a part of BC neoadjuvant and adjuvant chemotherapy regimens. The administration of anthracycline derivates, such as doxorubicin, may cause several side effects, including hematological disfunction, gastrointestinal toxicity, hepatotoxicity, nephrotoxicity, and cardiotoxicity. Cardiotoxicity is a major adverse reaction to anthracyclines, and it may vary depending on individual differences in doxorubicin pharmacokinetics. Determination of specific polymorphisms of genes that can alter doxorubicin metabolism was shown to reduce the risk of adverse reactions and improve the safety and efficacy of doxorubicin. Genes which encode cytochrome P450 enzymes (CYP3A4 and CYP2D6), p-glycoproteins (ATP-binding cassette (ABC) family members such as Multi-Drug Resistance 1 (MDR1) protein), and other detoxifying enzymes were shown to control the metabolism and pharmacokinetics of doxorubicin. The effectiveness of doxorubicin is defined by the polymorphism of cytochrome p450 and p-glycoprotein-encoding genes. This study critically discusses the latest data about the role of gene polymorphisms in the regulation of doxorubicin’s anti-BC effects. The correlation of genetic differences with the efficacy and safety of doxorubicin may provide insights for the development of personalized medical treatment for BC patients.","author":[{"dropping-particle":"","family":"Bagdasaryan","given":"Alina A.","non-dropping-particle":"","parse-names":false,"suffix":""},{"dropping-particle":"","family":"Chubarev","given":"Vladimir N.","non-dropping-particle":"","parse-names":false,"suffix":""},{"dropping-particle":"","family":"Smolyarchuk","given":"Elena A.","non-dropping-particle":"","parse-names":false,"suffix":""},{"dropping-particle":"","family":"Drozdov","given":"Vladimir N.","non-dropping-particle":"","parse-names":false,"suffix":""},{"dropping-particle":"","family":"Krasnyuk","given":"Ivan I.","non-dropping-particle":"","parse-names":false,"suffix":""},{"dropping-particle":"","family":"Liu","given":"Junqi","non-dropping-particle":"","parse-names":false,"suffix":""},{"dropping-particle":"","family":"Fan","given":"Ruitai","non-dropping-particle":"","parse-names":false,"suffix":""},{"dropping-particle":"","family":"Tse","given":"Edmund","non-dropping-particle":"","parse-names":false,"suffix":""},{"dropping-particle":"V.","family":"Shikh","given":"Evgenia","non-dropping-particle":"","parse-names":false,"suffix":""},{"dropping-particle":"","family":"Sukocheva","given":"Olga A.","non-dropping-particle":"","parse-names":false,"suffix":""}],"container-title":"Cancers","id":"ITEM-1","issue":"21","issued":{"date-parts":[["2022"]]},"title":"Pharmacogenetics of Drug Metabolism: The Role of Gene Polymorphism in the Regulation of Doxorubicin Safety and Efficacy","type":"article","volume":"14"},"uris":["http://www.mendeley.com/documents/?uuid=e19626d1-292a-375e-b07a-10f21226f4fc"]}],"mendeley":{"formattedCitation":"(Bagdasaryan et al., 2022)","plainTextFormattedCitation":"(Bagdasaryan et al., 2022)","previouslyFormattedCitation":"(Bagdasaryan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(Bagdasaryan et al., 2022)</w:t>
      </w:r>
      <w:r>
        <w:rPr>
          <w:rFonts w:ascii="Times New Roman" w:hAnsi="Times New Roman" w:cs="Times New Roman"/>
          <w:sz w:val="24"/>
          <w:szCs w:val="24"/>
        </w:rPr>
        <w:fldChar w:fldCharType="end"/>
      </w:r>
      <w:r>
        <w:rPr>
          <w:rFonts w:ascii="Times New Roman" w:hAnsi="Times New Roman" w:cs="Times New Roman"/>
          <w:sz w:val="24"/>
          <w:szCs w:val="24"/>
        </w:rPr>
        <w:t>. The significance of CYP enzymes lies in their versatility, substrate diversity, and impact on drug efficacy, safety, and potential interactions.</w:t>
      </w:r>
    </w:p>
    <w:p w14:paraId="031DBBA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Versatility and Substrate Diversity</w:t>
      </w:r>
    </w:p>
    <w:p w14:paraId="26B4A7A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Catalytic Functions</w:t>
      </w:r>
    </w:p>
    <w:p w14:paraId="7B9044B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CYP enzymes catalyze oxidative reactions, primarily hydroxylation, but also dealkylation, epoxidation, and more. These reactions introduce or unmask polar functional groups, increasing water solubility and facilitating the elimination of drugs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{"citationItems":[{"id":"ITEM-1","itemData":{"DOI":"10.1093/toxsci/kfq374","ISSN":"10960929","abstract":"Individual susceptibility to environmental, chemical, and drug toxicity is to some extent determined by polymorphism in drug-metabolizing enzymes, in particular the cytochromes P450 (CYPs). This polymorphism is in particular translated into risk differences concerning drugs metabolized by the highly polymorphic enzymes CYP2C9, CYP2C19, and CYP2D6, whereas CYP enzymes active in procarcinogen activation are relatively well conserved without important functional polymorphisms. Examples of drug toxicities that can be predicted by P450 polymorphism include those exerted by codeine, tramadol, warfarin, acenocoumarol, and clopidogrel. The polymorphic CYP2A6 has a role in nicotine metabolism and smoking behavior. Besides this genetic variation, genome-wide association studies now allow for the identification of an increasing number of predictive genetic biomarkers among, e.g., human leukocyte antigens and to some extent drug transporters that provide useful information regarding the choice of the drug and drug dosage in order to avoid toxicity. The translation of this information into the clinical practice has been slow; however, an increasing number of pharmacogenomic drug labels are assigned, where the predictive genotyping before drug treatment can be mandatory, recommended, or only for informational purposes. In this review, we provide an update of the field with emphasis on CYP polymorphism. © The Author 2010. Published by Oxford University Press on behalf of the Society of Toxicology. All rights reserved.","author":[{"dropping-particle":"","family":"Johansson","given":"Inger","non-dropping-particle":"","parse-names":false,"suffix":""},{"dropping-particle":"","family":"Ingelman-Sundberg","given":"Magnus","non-dropping-particle":"","parse-names":false,"suffix":""}],"container-title":"Toxicological Sciences","id":"ITEM-1","issue":"1","issued":{"date-parts":[["2011"]]},"title":"Genetic polymorphism and toxicology-with emphasis on cytochrome P450","type":"article-journal","volume":"120"},"uris":["http://www.mendeley.com/documents/?uuid=397a41d9-03e3-361c-8d05-d143bcbeafb2"]}],"mendeley":{"formattedCitation":"(Johansson &amp; Ingelman-Sundberg, 2011)","plainTextFormattedCitation":"(Johansson &amp; Ingelman-Sundberg, 2011)","previouslyFormattedCitation":"(Johansson &amp; Ingelman-Sundberg,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(Johansson &amp; Ingelman-Sundberg, 2011)</w:t>
      </w:r>
      <w:r>
        <w:rPr>
          <w:rFonts w:ascii="Times New Roman" w:hAnsi="Times New Roman" w:cs="Times New Roman"/>
          <w:sz w:val="24"/>
          <w:szCs w:val="24"/>
        </w:rPr>
        <w:fldChar w:fldCharType="end"/>
      </w:r>
      <w:r>
        <w:rPr>
          <w:rFonts w:ascii="Times New Roman" w:hAnsi="Times New Roman" w:cs="Times New Roman"/>
          <w:sz w:val="24"/>
          <w:szCs w:val="24"/>
        </w:rPr>
        <w:t>.</w:t>
      </w:r>
    </w:p>
    <w:p w14:paraId="68A87D1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Broad Substrate Specificity</w:t>
      </w:r>
    </w:p>
    <w:p w14:paraId="22D4A59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broad substrate specificity of CYP enzymes allows them to metabolize a wide range of compounds, including drugs, environmental chemicals, and endogenous substances. This versatility makes CYP enzymes critical players in drug metabolism, impacting pharmacokinetics and therapeutic outcomes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{"citationItems":[{"id":"ITEM-1","itemData":{"DOI":"10.1093/toxsci/kfq374","ISSN":"10960929","abstract":"Individual susceptibility to environmental, chemical, and drug toxicity is to some extent determined by polymorphism in drug-metabolizing enzymes, in particular the cytochromes P450 (CYPs). This polymorphism is in particular translated into risk differences concerning drugs metabolized by the highly polymorphic enzymes CYP2C9, CYP2C19, and CYP2D6, whereas CYP enzymes active in procarcinogen activation are relatively well conserved without important functional polymorphisms. Examples of drug toxicities that can be predicted by P450 polymorphism include those exerted by codeine, tramadol, warfarin, acenocoumarol, and clopidogrel. The polymorphic CYP2A6 has a role in nicotine metabolism and smoking behavior. Besides this genetic variation, genome-wide association studies now allow for the identification of an increasing number of predictive genetic biomarkers among, e.g., human leukocyte antigens and to some extent drug transporters that provide useful information regarding the choice of the drug and drug dosage in order to avoid toxicity. The translation of this information into the clinical practice has been slow; however, an increasing number of pharmacogenomic drug labels are assigned, where the predictive genotyping before drug treatment can be mandatory, recommended, or only for informational purposes. In this review, we provide an update of the field with emphasis on CYP polymorphism. © The Author 2010. Published by Oxford University Press on behalf of the Society of Toxicology. All rights reserved.","author":[{"dropping-particle":"","family":"Johansson","given":"Inger","non-dropping-particle":"","parse-names":false,"suffix":""},{"dropping-particle":"","family":"Ingelman-Sundberg","given":"Magnus","non-dropping-particle":"","parse-names":false,"suffix":""}],"container-title":"Toxicological Sciences","id":"ITEM-1","issue":"1","issued":{"date-parts":[["2011"]]},"title":"Genetic polymorphism and toxicology-with emphasis on cytochrome P450","type":"article-journal","volume":"120"},"uris":["http://www.mendeley.com/documents/?uuid=397a41d9-03e3-361c-8d05-d143bcbeafb2"]}],"mendeley":{"formattedCitation":"(Johansson &amp; Ingelman-Sundberg, 2011)","plainTextFormattedCitation":"(Johansson &amp; Ingelman-Sundberg, 2011)","previouslyFormattedCitation":"(Johansson &amp; Ingelman-Sundberg,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(Johansson &amp; Ingelman-Sundberg, 2011)</w:t>
      </w:r>
      <w:r>
        <w:rPr>
          <w:rFonts w:ascii="Times New Roman" w:hAnsi="Times New Roman" w:cs="Times New Roman"/>
          <w:sz w:val="24"/>
          <w:szCs w:val="24"/>
        </w:rPr>
        <w:fldChar w:fldCharType="end"/>
      </w:r>
      <w:r>
        <w:rPr>
          <w:rFonts w:ascii="Times New Roman" w:hAnsi="Times New Roman" w:cs="Times New Roman"/>
          <w:sz w:val="24"/>
          <w:szCs w:val="24"/>
        </w:rPr>
        <w:t>.</w:t>
      </w:r>
    </w:p>
    <w:p w14:paraId="52E071F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Drug Clearance and Bioavailability</w:t>
      </w:r>
    </w:p>
    <w:p w14:paraId="0780AC62"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Impact on Drug Clearance</w:t>
      </w:r>
    </w:p>
    <w:p w14:paraId="6E61E00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enzymatic activity of CYPs influences the clearance of drugs from the body. The metabolism of drugs by CYP enzymes can result in the formation of more water-soluble metabolites, facilitating their excretion and preventing the accumulation of potentially toxic substances.</w:t>
      </w:r>
    </w:p>
    <w:p w14:paraId="3BDD3242"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Bioavailability Considerations</w:t>
      </w:r>
    </w:p>
    <w:p w14:paraId="2FDDD83B" w14:textId="77777777" w:rsidR="00460EB1" w:rsidRDefault="00460EB1" w:rsidP="00460EB1">
      <w:pPr>
        <w:spacing w:line="480" w:lineRule="auto"/>
        <w:jc w:val="both"/>
        <w:rPr>
          <w:rFonts w:ascii="Times New Roman" w:hAnsi="Times New Roman" w:cs="Times New Roman"/>
          <w:sz w:val="24"/>
          <w:szCs w:val="24"/>
        </w:rPr>
      </w:pPr>
    </w:p>
    <w:p w14:paraId="6CBD297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CYP-mediated metabolism can also affect the bioavailability of drugs. Rapid and extensive metabolism may lead to reduced bioavailability, influencing the efficacy of orally administered drugs as a smaller fraction reaches the systemic circulation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{"citationItems":[{"id":"ITEM-1","itemData":{"DOI":"10.3389/fimmu.2018.00089","ISSN":"16643224","abstract":"Cytochromes are expressed in many different tissues of the human body. They are found mostly in intestinal and hepatic tissues. Cytochromes P450 (CYPs) are enzymes that oxidize substances using iron and are able to metabolize a large variety of xenobiotic substances. CYP enzymes are linked to a wide array of reactions including and O-dealkylation, S-oxidation, epoxidation, and hydroxylation. The activity of the typical P450 cytochrome is influenced by a variety of factors, such as genus, environment, disease state, herbicide, alcohol, and herbal medications. However, diet seems to play a major role. The mechanisms of action of dietary chemicals, macro- and micronutrients on specific CYP isoenzymes have been extensively studied. Dietary modulation has effects upon the metabolism of xenobiotics. Cytochromes harbor intra- or interindividual and intra- or interethnic genetic polymorphisms. Bacteria were shown to express CYP-like genes. The tremendous metabolic activity of the microbiota is associated to its abundant pool of CYP enzymes, which catalyze phase I and II reactions in drug metabolism. Disease states, intestinal disturbances, aging, environmental toxic effects, chemical exposures or nutrition modulate the microbial metabolism of a drug before absorption. A plethora of effects exhibited by most of CYP enzymes can resemble those of proinflammatory cytokines and IFNs. Moreover, they are involved in the initiation and persistence of pathologic pain by directly activating sensory neurons and inflammatory cytokines.","author":[{"dropping-particle":"","family":"Stavropoulou","given":"Elisavet","non-dropping-particle":"","parse-names":false,"suffix":""},{"dropping-particle":"","family":"Pircalabioru","given":"Gratiela G.","non-dropping-particle":"","parse-names":false,"suffix":""},{"dropping-particle":"","family":"Bezirtzoglou","given":"Eugenia","non-dropping-particle":"","parse-names":false,"suffix":""}],"container-title":"Frontiers in Immunology","id":"ITEM-1","issue":"JAN","issued":{"date-parts":[["2018"]]},"title":"The role of cytochromes P450 in infection","type":"article","volume":"9"},"uris":["http://www.mendeley.com/documents/?uuid=c516a9ea-b0ab-3c89-bc5a-1a586c49c6dc"]}],"mendeley":{"formattedCitation":"(Stavropoulou et al., 2018)","plainTextFormattedCitation":"(Stavropoulou et al., 2018)","previouslyFormattedCitation":"(Stavropoulou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(Stavropoulou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2FEDD3B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Drug-Drug Interactions</w:t>
      </w:r>
    </w:p>
    <w:p w14:paraId="51DFE09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Enzyme Induction and Inhibition</w:t>
      </w:r>
    </w:p>
    <w:p w14:paraId="14B78A7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CYP enzymes are susceptible to both induction and inhibition by various drugs. Induction leads to an increased synthesis of the enzyme, potentially accelerating the metabolism of co-administered drugs. Conversely, inhibition can slow down the metabolism of drugs, leading to increased systemic concentrations and potential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{"citationItems":[{"id":"ITEM-1","itemData":{"DOI":"10.3389/fimmu.2018.00089","ISSN":"16643224","abstract":"Cytochromes are expressed in many different tissues of the human body. They are found mostly in intestinal and hepatic tissues. Cytochromes P450 (CYPs) are enzymes that oxidize substances using iron and are able to metabolize a large variety of xenobiotic substances. CYP enzymes are linked to a wide array of reactions including and O-dealkylation, S-oxidation, epoxidation, and hydroxylation. The activity of the typical P450 cytochrome is influenced by a variety of factors, such as genus, environment, disease state, herbicide, alcohol, and herbal medications. However, diet seems to play a major role. The mechanisms of action of dietary chemicals, macro- and micronutrients on specific CYP isoenzymes have been extensively studied. Dietary modulation has effects upon the metabolism of xenobiotics. Cytochromes harbor intra- or interindividual and intra- or interethnic genetic polymorphisms. Bacteria were shown to express CYP-like genes. The tremendous metabolic activity of the microbiota is associated to its abundant pool of CYP enzymes, which catalyze phase I and II reactions in drug metabolism. Disease states, intestinal disturbances, aging, environmental toxic effects, chemical exposures or nutrition modulate the microbial metabolism of a drug before absorption. A plethora of effects exhibited by most of CYP enzymes can resemble those of proinflammatory cytokines and IFNs. Moreover, they are involved in the initiation and persistence of pathologic pain by directly activating sensory neurons and inflammatory cytokines.","author":[{"dropping-particle":"","family":"Stavropoulou","given":"Elisavet","non-dropping-particle":"","parse-names":false,"suffix":""},{"dropping-particle":"","family":"Pircalabioru","given":"Gratiela G.","non-dropping-particle":"","parse-names":false,"suffix":""},{"dropping-particle":"","family":"Bezirtzoglou","given":"Eugenia","non-dropping-particle":"","parse-names":false,"suffix":""}],"container-title":"Frontiers in Immunology","id":"ITEM-1","issue":"JAN","issued":{"date-parts":[["2018"]]},"title":"The role of cytochromes P450 in infection","type":"article","volume":"9"},"uris":["http://www.mendeley.com/documents/?uuid=c516a9ea-b0ab-3c89-bc5a-1a586c49c6dc"]}],"mendeley":{"formattedCitation":"(Stavropoulou et al., 2018)","plainTextFormattedCitation":"(Stavropoulou et al., 2018)","previouslyFormattedCitation":"(Stavropoulou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(Stavropoulou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60471AD8"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Clinical Implications</w:t>
      </w:r>
    </w:p>
    <w:p w14:paraId="22DDABB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Understanding the potential for drug-drug interactions mediated by CYP enzymes is crucial in clinical practice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{"citationItems":[{"id":"ITEM-1","itemData":{"DOI":"10.1016/j.pharmthera.2012.12.007","ISSN":"01637258","abstract":"Cytochromes P450 (CYP) are a major source of variability in drug pharmacokinetics and response. Of 57 putatively functional human CYPs only about a dozen enzymes, belonging to the CYP1, 2, and 3 families, are responsible for the biotransformation of most foreign substances including 70-80% of all drugs in clinical use. The highest expressed forms in liver are CYPs 3A4, 2C9, 2C8, 2E1, and 1A2, while 2A6, 2D6, 2B6, 2C19 and 3A5 are less abundant and CYPs 2J2, 1A1, and 1B1 are mainly expressed extrahepatically. Expression of each CYP is influenced by a unique combination of mechanisms and factors including genetic polymorphisms, induction by xenobiotics, regulation by cytokines, hormones and during disease states, as well as sex, age, and others. Multiallelic genetic polymorphisms, which strongly depend on ethnicity, play a major role for the function of CYPs 2D6, 2C19, 2C9, 2B6, 3A5 and 2A6, and lead to distinct pharmacogenetic phenotypes termed as poor, intermediate, extensive, and ultrarapid metabolizers. For these CYPs, the evidence for clinical significance regarding adverse drug reactions (ADRs), drug efficacy and dose requirement is rapidly growing. Polymorphisms in CYPs 1A1, 1A2, 2C8, 2E1, 2J2, and 3A4 are generally less predictive, but new data on CYP3A4 show that predictive variants exist and that additional variants in regulatory genes or in NADPH:cytochrome P450 oxidoreductase (POR) can have an influence. Here we review the recent progress on drug metabolism activity profiles, interindividual variability and regulation of expression, and the functional and clinical impact of genetic variation in drug metabolizing P450s. © 2013 Elsevier Inc.","author":[{"dropping-particle":"","family":"Zanger","given":"Ulrich M.","non-dropping-particle":"","parse-names":false,"suffix":""},{"dropping-particle":"","family":"Schwab","given":"Matthias","non-dropping-particle":"","parse-names":false,"suffix":""}],"container-title":"Pharmacology and Therapeutics","id":"ITEM-1","issue":"1","issued":{"date-parts":[["2013"]]},"title":"Cytochrome P450 enzymes in drug metabolism: Regulation of gene expression, enzyme activities, and impact of genetic variation","type":"article","volume":"138"},"uris":["http://www.mendeley.com/documents/?uuid=8d745351-ce34-3fb0-be26-143afb8ba76a"]}],"mendeley":{"formattedCitation":"(Zanger &amp; Schwab, 2013)","plainTextFormattedCitation":"(Zanger &amp; Schwab, 2013)","previouslyFormattedCitation":"(Zanger &amp; Schwab,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(Zanger &amp; Schwab, 2013)</w:t>
      </w:r>
      <w:r>
        <w:rPr>
          <w:rFonts w:ascii="Times New Roman" w:hAnsi="Times New Roman" w:cs="Times New Roman"/>
          <w:sz w:val="24"/>
          <w:szCs w:val="24"/>
        </w:rPr>
        <w:fldChar w:fldCharType="end"/>
      </w:r>
      <w:r>
        <w:rPr>
          <w:rFonts w:ascii="Times New Roman" w:hAnsi="Times New Roman" w:cs="Times New Roman"/>
          <w:sz w:val="24"/>
          <w:szCs w:val="24"/>
        </w:rPr>
        <w:t xml:space="preserve">. Healthcare professionals need to consider the </w:t>
      </w:r>
      <w:r>
        <w:rPr>
          <w:rFonts w:ascii="Times New Roman" w:hAnsi="Times New Roman" w:cs="Times New Roman"/>
          <w:sz w:val="24"/>
          <w:szCs w:val="24"/>
        </w:rPr>
        <w:lastRenderedPageBreak/>
        <w:t>concomitant use of drugs that may modulate CYP activity to optimize therapeutic regimens and minimize adverse effects.</w:t>
      </w:r>
    </w:p>
    <w:p w14:paraId="2D1207E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Genetic Polymorphisms</w:t>
      </w:r>
    </w:p>
    <w:p w14:paraId="27C673D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Genetic Diversity</w:t>
      </w:r>
    </w:p>
    <w:p w14:paraId="03563B0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Genetic polymorphisms in CYP genes contribute to inter-individual variability in enzyme activity. These polymorphisms can result in individuals classified as poor metabolizers, extensive metabolizers, or ultra-rapid metabolizers, depending on the specific CYP isoform.</w:t>
      </w:r>
    </w:p>
    <w:p w14:paraId="1E221E3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Impact on Drug Response</w:t>
      </w:r>
    </w:p>
    <w:p w14:paraId="1DED9B5E" w14:textId="77777777" w:rsidR="00460EB1" w:rsidRDefault="00460EB1" w:rsidP="00460EB1">
      <w:pPr>
        <w:spacing w:line="480" w:lineRule="auto"/>
        <w:jc w:val="both"/>
        <w:rPr>
          <w:rFonts w:ascii="Times New Roman" w:hAnsi="Times New Roman" w:cs="Times New Roman"/>
          <w:sz w:val="24"/>
          <w:szCs w:val="24"/>
        </w:rPr>
      </w:pPr>
    </w:p>
    <w:p w14:paraId="3F6E1CE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Genetic variations in CYP enzymes can significantly impact drug response. Poor metabolizers may experience increased drug exposure, potentially leading to adverse effects, while ultra-rapid metabolizers may exhibit reduced drug efficacy due to rapid clearance.</w:t>
      </w:r>
    </w:p>
    <w:p w14:paraId="7E575C6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Examples of CYP Polymorphisms</w:t>
      </w:r>
    </w:p>
    <w:p w14:paraId="7881964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Notable examples include the CYP2D6 polymorphism affecting the metabolism of drugs like codeine and tamoxifen, and the CYP2C19 polymorphism influencing the metabolism of clopidogrel and proton pump inhibitors. Genetic testing for CYP polymorphisms can aid in individualizing drug therapy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{"citationItems":[{"id":"ITEM-1","itemData":{"DOI":"10.1016/j.pharmthera.2012.12.007","ISSN":"01637258","abstract":"Cytochromes P450 (CYP) are a major source of variability in drug pharmacokinetics and response. Of 57 putatively functional human CYPs only about a dozen enzymes, belonging to the CYP1, 2, and 3 families, are responsible for the biotransformation of most foreign substances including 70-80% of all drugs in clinical use. The highest expressed forms in liver are CYPs 3A4, 2C9, 2C8, 2E1, and 1A2, while 2A6, 2D6, 2B6, 2C19 and 3A5 are less abundant and CYPs 2J2, 1A1, and 1B1 are mainly expressed extrahepatically. Expression of each CYP is influenced by a unique combination of mechanisms and factors including genetic polymorphisms, induction by xenobiotics, regulation by cytokines, hormones and during disease states, as well as sex, age, and others. Multiallelic genetic polymorphisms, which strongly depend on ethnicity, play a major role for the function of CYPs 2D6, 2C19, 2C9, 2B6, 3A5 and 2A6, and lead to distinct pharmacogenetic phenotypes termed as poor, intermediate, extensive, and ultrarapid metabolizers. For these CYPs, the evidence for clinical significance regarding adverse drug reactions (ADRs), drug efficacy and dose requirement is rapidly growing. Polymorphisms in CYPs 1A1, 1A2, 2C8, 2E1, 2J2, and 3A4 are generally less predictive, but new data on CYP3A4 show that predictive variants exist and that additional variants in regulatory genes or in NADPH:cytochrome P450 oxidoreductase (POR) can have an influence. Here we review the recent progress on drug metabolism activity profiles, interindividual variability and regulation of expression, and the functional and clinical impact of genetic variation in drug metabolizing P450s. © 2013 Elsevier Inc.","author":[{"dropping-particle":"","family":"Zanger","given":"Ulrich M.","non-dropping-particle":"","parse-names":false,"suffix":""},{"dropping-particle":"","family":"Schwab","given":"Matthias","non-dropping-particle":"","parse-names":false,"suffix":""}],"container-title":"Pharmacology and Therapeutics","id":"ITEM-1","issue":"1","issued":{"date-parts":[["2013"]]},"title":"Cytochrome P450 enzymes in drug metabolism: Regulation of gene expression, enzyme activities, and impact of genetic variation","type":"article","volume":"138"},"uris":["http://www.mendeley.com/documents/?uuid=8d745351-ce34-3fb0-be26-143afb8ba76a"]}],"mendeley":{"formattedCitation":"(Zanger &amp; Schwab, 2013)","plainTextFormattedCitation":"(Zanger &amp; Schwab, 2013)","previouslyFormattedCitation":"(Zanger &amp; Schwab,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(Zanger &amp; Schwab, 2013)</w:t>
      </w:r>
      <w:r>
        <w:rPr>
          <w:rFonts w:ascii="Times New Roman" w:hAnsi="Times New Roman" w:cs="Times New Roman"/>
          <w:sz w:val="24"/>
          <w:szCs w:val="24"/>
        </w:rPr>
        <w:fldChar w:fldCharType="end"/>
      </w:r>
      <w:r>
        <w:rPr>
          <w:rFonts w:ascii="Times New Roman" w:hAnsi="Times New Roman" w:cs="Times New Roman"/>
          <w:sz w:val="24"/>
          <w:szCs w:val="24"/>
        </w:rPr>
        <w:t>.</w:t>
      </w:r>
    </w:p>
    <w:p w14:paraId="1E6E926F" w14:textId="3C827F49" w:rsidR="00460EB1" w:rsidRDefault="00460EB1" w:rsidP="00460EB1">
      <w:pPr>
        <w:spacing w:line="480" w:lineRule="auto"/>
        <w:ind w:firstLine="720"/>
        <w:jc w:val="both"/>
        <w:rPr>
          <w:rFonts w:ascii="Times New Roman" w:hAnsi="Times New Roman" w:cs="Times New Roman"/>
          <w:sz w:val="24"/>
          <w:szCs w:val="24"/>
        </w:rPr>
      </w:pPr>
      <w:r>
        <w:rPr>
          <w:noProof/>
        </w:rPr>
        <w:lastRenderedPageBreak/>
        <w:drawing>
          <wp:inline distT="0" distB="0" distL="0" distR="0" wp14:anchorId="4009039F" wp14:editId="1EBC652F">
            <wp:extent cx="4476750" cy="1905000"/>
            <wp:effectExtent l="0" t="0" r="0" b="0"/>
            <wp:docPr id="8" name="Picture 8" descr="Gene polymorphisms and contents of cytochrome P450s have only limited  effects on metabolic activities in human liver microsom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e polymorphisms and contents of cytochrome P450s have only limited  effects on metabolic activities in human liver microsomes - ScienceDi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750" cy="1905000"/>
                    </a:xfrm>
                    <a:prstGeom prst="rect">
                      <a:avLst/>
                    </a:prstGeom>
                    <a:noFill/>
                    <a:ln>
                      <a:noFill/>
                    </a:ln>
                  </pic:spPr>
                </pic:pic>
              </a:graphicData>
            </a:graphic>
          </wp:inline>
        </w:drawing>
      </w:r>
    </w:p>
    <w:p w14:paraId="12F47D2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Challenges and Opportunities in Drug Development</w:t>
      </w:r>
    </w:p>
    <w:p w14:paraId="4872DA7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Balancing Efficacy and Safety</w:t>
      </w:r>
    </w:p>
    <w:p w14:paraId="793342F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 developers face the challenge of balancing drug efficacy with safety, considering the impact of CYP-mediated metabolism. The potential for polymorphic variations further complicates the development process, necessitating a nuanced understanding of individualized responses.</w:t>
      </w:r>
    </w:p>
    <w:p w14:paraId="3E9D121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Strategies for Precision Medicine</w:t>
      </w:r>
    </w:p>
    <w:p w14:paraId="2ACBC8B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Advances in pharmacogenomics provide opportunities for precision medicine, tailoring drug regimens based on an individual's genetic profile. Understanding CYP polymorphisms allows for personalized drug therapy, optimizing dosages and minimizing the risk of adverse reactions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{"citationItems":[{"id":"ITEM-1","itemData":{"DOI":"10.3390/ijms222312808","ISSN":"14220067","abstract":"Human cytochrome P450 (CYP) enzymes, as membrane-bound hemoproteins, play important roles in the detoxification of drugs, cellular metabolism, and homeostasis. In humans, almost 80% of oxidative metabolism and approximately 50% of the overall elimination of common clinical drugs can be attributed to one or more of the various CYPs, from the CYP families 1–3. In addition to the basic metabolic effects for elimination, CYPs are also capable of affecting drug responses by influencing drug action, safety, bioavailability, and drug resistance through metabolism, in both metabolic organs and local sites of action. Structures of CYPs have recently provided new insights into both understanding the mechanisms of drug metabolism and exploiting CYPs as drug targets. Genetic polymorphisms and epigenetic changes in CYP genes and environmental factors may be responsible for interethnic and interindividual variations in the therapeutic efficacy of drugs. In this review, we summarize and highlight the structural knowledge about CYPs and the major CYPs in drug metabolism. Additionally, genetic and epigenetic factors, as well as several intrinsic and extrinsic factors that contribute to interindividual variation in drug response are also reviewed, to reveal the multifarious and important roles of CYP-mediated metabolism and elimination in drug therapy.","author":[{"dropping-particle":"","family":"Zhao","given":"Mingzhe","non-dropping-particle":"","parse-names":false,"suffix":""},{"dropping-particle":"","family":"Ma","given":"Jingsong","non-dropping-particle":"","parse-names":false,"suffix":""},{"dropping-particle":"","family":"Li","given":"Mo","non-dropping-particle":"","parse-names":false,"suffix":""},{"dropping-particle":"","family":"Zhang","given":"Yingtian","non-dropping-particle":"","parse-names":false,"suffix":""},{"dropping-particle":"","family":"Jiang","given":"Bixuan","non-dropping-particle":"","parse-names":false,"suffix":""},{"dropping-particle":"","family":"Zhao","given":"Xianglong","non-dropping-particle":"","parse-names":false,"suffix":""},{"dropping-particle":"","family":"Huai","given":"Cong","non-dropping-particle":"","parse-names":false,"suffix":""},{"dropping-particle":"","family":"Shen","given":"Lu","non-dropping-particle":"","parse-names":false,"suffix":""},{"dropping-particle":"","family":"Zhang","given":"Na","non-dropping-particle":"","parse-names":false,"suffix":""},{"dropping-particle":"","family":"He","given":"Lin","non-dropping-particle":"","parse-names":false,"suffix":""},{"dropping-particle":"","family":"Qin","given":"Shengying","non-dropping-particle":"","parse-names":false,"suffix":""}],"container-title":"International Journal of Molecular Sciences","id":"ITEM-1","issue":"23","issued":{"date-parts":[["2021"]]},"title":"Cytochrome p450 enzymes and drug metabolism in humans","type":"article","volume":"22"},"uris":["http://www.mendeley.com/documents/?uuid=45443959-bdc6-3b0f-bcfe-d5410702a14e"]}],"mendeley":{"formattedCitation":"(Zhao et al., 2021)","plainTextFormattedCitation":"(Zhao et al., 2021)","previouslyFormattedCitation":"(Zhao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(Zhao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66DFA51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cytochrome P450 enzymes are central players in drug metabolism, influencing drug clearance, bioavailability, and potential interactions. The substrate diversity and versatility of CYP enzymes make them crucial in the biotransformation of xenobiotics, contributing to the safety and efficacy of drug therapies. Genetic polymorphisms in CYP genes </w:t>
      </w:r>
      <w:r>
        <w:rPr>
          <w:rFonts w:ascii="Times New Roman" w:hAnsi="Times New Roman" w:cs="Times New Roman"/>
          <w:sz w:val="24"/>
          <w:szCs w:val="24"/>
        </w:rPr>
        <w:lastRenderedPageBreak/>
        <w:t>add an additional layer of complexity, emphasizing the importance of personalized medicine approaches to optimize drug therapy for individual patients. The continuous exploration of CYP enzymes and their roles in drug metabolism remains essential in advancing pharmacology and ensuring the development of safe and effective medications.</w:t>
      </w:r>
    </w:p>
    <w:p w14:paraId="2CCE2FD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Explore the phase I and phase II reactions involved in drug metabolism, including oxidation, reduction, hydrolysis, and conjugation.</w:t>
      </w:r>
    </w:p>
    <w:p w14:paraId="7D0D161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a vital aspect of pharmacokinetics, involving the biotransformation of xenobiotics to facilitate their elimination from the body. This process occurs in two distinct phases: Phase I and Phase II reactions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{"citationItems":[{"id":"ITEM-1","itemData":{"DOI":"10.1016/b978-0-12-801238-3.01888-2","abstract":"Virtually all chemicals that are ingested by animals undergo some chemical change, or biotransformation. The biotransformation of chemicals generally leads to the formation of more polar metabolites that are more readily excreted. There are two types of biotransformation pathways, called phase I and phase II reactions. Phase I reactions include oxidations, reductions, and hydrolyses. Phase II reactions involve the conjugation of chemicals with hydrophilic moieties such as glutathione, glucuronides, sulfate, or amino acids. This article will provide an overview of the phase I and phase II reactions of toxic chemicals and discuss some of the important factors that can affect these reactions. Biotransformation modulates the biological effects of drugs and chemicals. Coadministration of two chemicals can result in exaggerated biological effects due to modulation of the metabolism of one compound by the other. These modulations can occur by inhibition of the biotransformation of the chemical or by induction of an increase in the enzyme system that metabolizes the chemical. Understanding the properties of the enzymes that catalyze biotransformation reactions is important for accurately predicting the outcomes of chemical metabolism and to effectively diagnose the causes of adverse biological effects due to chemicals. Most enzymes behave in a systematic and predictable manner catalytically and kinetically. Phase I oxidations and reductions are primarily catalyzed by the cytochromes P450 and flavin-containing monooxygensases. Important phase II enzymes include glutathione S-transferase, glucuronosyltransferase, sulfotransferase, and acetyltransferase. Although the liver is the major site of xenobiotic bioactivation, extrahepatic metabolism plays a critical role in target organ toxicity. Various factors can modulate metabolism including enzyme induction, enzyme inhibition, diet, disease state, age, and gender. Polymorphisms have been identified in many of the enzymes involved in biotransformation. Therefore, it is extremely important to account for the potential effects of interindividual differences in xenobiotic metabolism on chemical toxicity in humans.","author":[{"dropping-particle":"","family":"Kedderis","given":"G.L.","non-dropping-particle":"","parse-names":false,"suffix":""}],"container-title":"Comprehensive Toxicology","id":"ITEM-1","issued":{"date-parts":[["2018"]]},"title":"Toxicokinetics: Biotransformation of Toxicants","type":"chapter"},"uris":["http://www.mendeley.com/documents/?uuid=5329247f-d40a-3a5b-9bb2-238196cd773a"]}],"mendeley":{"formattedCitation":"(Kedderis, 2018)","plainTextFormattedCitation":"(Kedderis, 2018)","previouslyFormattedCitation":"(Kedderis,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(Kedderis, 2018)</w:t>
      </w:r>
      <w:r>
        <w:rPr>
          <w:rFonts w:ascii="Times New Roman" w:hAnsi="Times New Roman" w:cs="Times New Roman"/>
          <w:sz w:val="24"/>
          <w:szCs w:val="24"/>
        </w:rPr>
        <w:fldChar w:fldCharType="end"/>
      </w:r>
      <w:r>
        <w:rPr>
          <w:rFonts w:ascii="Times New Roman" w:hAnsi="Times New Roman" w:cs="Times New Roman"/>
          <w:sz w:val="24"/>
          <w:szCs w:val="24"/>
        </w:rPr>
        <w:t xml:space="preserve">. Phase I reactions primarily focus on introducing or unmasking functional groups through processes like oxidation, reduction, and hydrolysis. In contrast, Phase II reactions involve conjugation reactions, enhancing water solubility for excretion. Understanding these phases is crucial for predicting drug behavior, optimizing therapeutic outcomes, and minimizing potential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{"citationItems":[{"id":"ITEM-1","itemData":{"DOI":"10.1016/b978-0-12-801238-3.01888-2","abstract":"Virtually all chemicals that are ingested by animals undergo some chemical change, or biotransformation. The biotransformation of chemicals generally leads to the formation of more polar metabolites that are more readily excreted. There are two types of biotransformation pathways, called phase I and phase II reactions. Phase I reactions include oxidations, reductions, and hydrolyses. Phase II reactions involve the conjugation of chemicals with hydrophilic moieties such as glutathione, glucuronides, sulfate, or amino acids. This article will provide an overview of the phase I and phase II reactions of toxic chemicals and discuss some of the important factors that can affect these reactions. Biotransformation modulates the biological effects of drugs and chemicals. Coadministration of two chemicals can result in exaggerated biological effects due to modulation of the metabolism of one compound by the other. These modulations can occur by inhibition of the biotransformation of the chemical or by induction of an increase in the enzyme system that metabolizes the chemical. Understanding the properties of the enzymes that catalyze biotransformation reactions is important for accurately predicting the outcomes of chemical metabolism and to effectively diagnose the causes of adverse biological effects due to chemicals. Most enzymes behave in a systematic and predictable manner catalytically and kinetically. Phase I oxidations and reductions are primarily catalyzed by the cytochromes P450 and flavin-containing monooxygensases. Important phase II enzymes include glutathione S-transferase, glucuronosyltransferase, sulfotransferase, and acetyltransferase. Although the liver is the major site of xenobiotic bioactivation, extrahepatic metabolism plays a critical role in target organ toxicity. Various factors can modulate metabolism including enzyme induction, enzyme inhibition, diet, disease state, age, and gender. Polymorphisms have been identified in many of the enzymes involved in biotransformation. Therefore, it is extremely important to account for the potential effects of interindividual differences in xenobiotic metabolism on chemical toxicity in humans.","author":[{"dropping-particle":"","family":"Kedderis","given":"G.L.","non-dropping-particle":"","parse-names":false,"suffix":""}],"container-title":"Comprehensive Toxicology","id":"ITEM-1","issued":{"date-parts":[["2018"]]},"title":"Toxicokinetics: Biotransformation of Toxicants","type":"chapter"},"uris":["http://www.mendeley.com/documents/?uuid=5329247f-d40a-3a5b-9bb2-238196cd773a"]}],"mendeley":{"formattedCitation":"(Kedderis, 2018)","plainTextFormattedCitation":"(Kedderis, 2018)","previouslyFormattedCitation":"(Kedderis,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(Kedderis, 2018)</w:t>
      </w:r>
      <w:r>
        <w:rPr>
          <w:rFonts w:ascii="Times New Roman" w:hAnsi="Times New Roman" w:cs="Times New Roman"/>
          <w:sz w:val="24"/>
          <w:szCs w:val="24"/>
        </w:rPr>
        <w:fldChar w:fldCharType="end"/>
      </w:r>
      <w:r>
        <w:rPr>
          <w:rFonts w:ascii="Times New Roman" w:hAnsi="Times New Roman" w:cs="Times New Roman"/>
          <w:sz w:val="24"/>
          <w:szCs w:val="24"/>
        </w:rPr>
        <w:t>.</w:t>
      </w:r>
    </w:p>
    <w:p w14:paraId="7A14DD1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Phase I Reactions</w:t>
      </w:r>
    </w:p>
    <w:p w14:paraId="0D72EE3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Oxidation</w:t>
      </w:r>
    </w:p>
    <w:p w14:paraId="0D29574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Oxidation reactions, catalyzed by enzymes such as cytochrome P450 (CYP) and flavin-containing monooxygenases (FMOs), are a hallmark of Phase I metabolism. These reactions introduce oxygen atoms or remove hydrogen atoms from xenobiotics, leading to the formation of hydroxyl groups, epoxides, or other oxidized derivatives. This process increases water solubility and prepares the xenobiotic for further conjugation reactions in Phase II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{"citationItems":[{"id":"ITEM-1","itemData":{"DOI":"10.1016/B978-0-12-813939-4.00006-1","abstract":"The pharmacoepigenetic apparatus is integrated by gene clusters of different categories, including (i) pathogenic genes involved in disease pathogenesis, (ii) mechanistic genes encoding components of the epigenetic machinery serving as targets for epigenetic drugs, (iii) metabolic genes associated with the metabolism of drugs (phase I and phase II enzymatic reactions), (iv) transporter genes encoding protein transporters acting as substrates, inhibitors, or inducers of drugs in association with metabolic enzymes, and (v) pleiotropic genes engaged in multiple metabolomic networks. All these genes, encoding pharmacoepigenetic processors, are under the control of the epigenetic machinery.","author":[{"dropping-particle":"","family":"Cacabelos","given":"Ramón","non-dropping-particle":"","parse-names":false,"suffix":""},{"dropping-particle":"","family":"Carril","given":"Juan C.","non-dropping-particle":"","parse-names":false,"suffix":""},{"dropping-particle":"","family":"Sanmartín","given":"Ana","non-dropping-particle":"","parse-names":false,"suffix":""},{"dropping-particle":"","family":"Cacabelos","given":"Pablo","non-dropping-particle":"","parse-names":false,"suffix":""}],"container-title":"Pharmacoepigenetics","id":"ITEM-1","issued":{"date-parts":[["2019"]]},"title":"Pharmacoepigenetic Processors: Epigenetic Drugs, Drug Resistance, Toxicoepigenetics, and Nutriepigenetics","type":"chapter"},"uris":["http://www.mendeley.com/documents/?uuid=9c17d78f-0120-30cd-9f48-b5f5ab4e9517"]}],"mendeley":{"formattedCitation":"(Cacabelos et al., 2019)","plainTextFormattedCitation":"(Cacabelos et al., 2019)","previouslyFormattedCitation":"(Cacabelos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(Cacabelos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0605E11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Reduction</w:t>
      </w:r>
    </w:p>
    <w:p w14:paraId="2A99D05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Reduction reactions involve the addition of electrons to a xenobiotic, typically resulting in the conversion of functional groups like carbonyls or nitro groups to their respective alcohols or amines. While reduction is not as prevalent as oxidation in Phase I, it is a significant pathway for certain drugs and contributes to their metabolic transformation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{"citationItems":[{"id":"ITEM-1","itemData":{"DOI":"10.1016/B978-0-12-813939-4.00006-1","abstract":"The pharmacoepigenetic apparatus is integrated by gene clusters of different categories, including (i) pathogenic genes involved in disease pathogenesis, (ii) mechanistic genes encoding components of the epigenetic machinery serving as targets for epigenetic drugs, (iii) metabolic genes associated with the metabolism of drugs (phase I and phase II enzymatic reactions), (iv) transporter genes encoding protein transporters acting as substrates, inhibitors, or inducers of drugs in association with metabolic enzymes, and (v) pleiotropic genes engaged in multiple metabolomic networks. All these genes, encoding pharmacoepigenetic processors, are under the control of the epigenetic machinery.","author":[{"dropping-particle":"","family":"Cacabelos","given":"Ramón","non-dropping-particle":"","parse-names":false,"suffix":""},{"dropping-particle":"","family":"Carril","given":"Juan C.","non-dropping-particle":"","parse-names":false,"suffix":""},{"dropping-particle":"","family":"Sanmartín","given":"Ana","non-dropping-particle":"","parse-names":false,"suffix":""},{"dropping-particle":"","family":"Cacabelos","given":"Pablo","non-dropping-particle":"","parse-names":false,"suffix":""}],"container-title":"Pharmacoepigenetics","id":"ITEM-1","issued":{"date-parts":[["2019"]]},"title":"Pharmacoepigenetic Processors: Epigenetic Drugs, Drug Resistance, Toxicoepigenetics, and Nutriepigenetics","type":"chapter"},"uris":["http://www.mendeley.com/documents/?uuid=9c17d78f-0120-30cd-9f48-b5f5ab4e9517"]}],"mendeley":{"formattedCitation":"(Cacabelos et al., 2019)","plainTextFormattedCitation":"(Cacabelos et al., 2019)","previouslyFormattedCitation":"(Cacabelos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(Cacabelos et al., 2019)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9DAFD1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Hydrolysis</w:t>
      </w:r>
    </w:p>
    <w:p w14:paraId="112C208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Hydrolysis reactions involve the cleavage of chemical bonds through the addition of water. </w:t>
      </w:r>
      <w:proofErr w:type="spellStart"/>
      <w:r>
        <w:rPr>
          <w:rFonts w:ascii="Times New Roman" w:hAnsi="Times New Roman" w:cs="Times New Roman"/>
          <w:sz w:val="24"/>
          <w:szCs w:val="24"/>
        </w:rPr>
        <w:t>Esterases</w:t>
      </w:r>
      <w:proofErr w:type="spellEnd"/>
      <w:r>
        <w:rPr>
          <w:rFonts w:ascii="Times New Roman" w:hAnsi="Times New Roman" w:cs="Times New Roman"/>
          <w:sz w:val="24"/>
          <w:szCs w:val="24"/>
        </w:rPr>
        <w:t xml:space="preserve"> and amidases catalyze hydrolytic reactions, breaking down ester or amide bonds in xenobiotics. This process is crucial for drugs with ester or amide functionalities, leading to the formation of respective acids or amines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{"citationItems":[{"id":"ITEM-1","itemData":{"DOI":"10.1016/B978-0-08-046884-6.00107-X","abstract":"Virtually all chemicals that are ingested by animals undergo some chemical change or biotransformation. The biotransformation of chemicals generally leads to the formation of more polar metabolites that are more readily excreted. There are two types of biotransformation pathways, called phase I and phase II reactions. Phase I reactions include oxidations, reductions, and hydrolyses. Phase II reactions involve the conjugation of chemicals with hydrophilic moieties such as glutathione, glucuronides, sulfate, or amino acids. This chapter will provide an overview of the phase I and phase II reactions of toxic chemicals and discuss some of the important factors that can affect these reactions. Biotransformation modulates the biological effects of drugs and chemicals. Coadministration of two chemicals can result in exaggerated biological effects due to modulation of the metabolism of one compound by the other. These modulations can occur by inhibition of the biotransformation of the chemical or by induction of an increase in the enzyme system that metabolizes the chemical. Understanding the properties of the enzymes that catalyze biotransformation reactions is important for accurately predicting the outcomes of chemical metabolism and for effectively diagnosing the causes of adverse biological effects due to chemicals. Most enzymes behave in a systematic and predictable manner catalytically and kinetically. Phase I oxidations and reductions are primarily catalyzed by the cytochromes P450 and flavin-containing monooxygensases. Important phase II enzymes include glutathione S-transferase, glucuronosyl transferase, sulfotransferase, and acetyltransferase. Although the liver is the major site of xenobiotic bioactivation, extrahepatic metabolism plays a critical role in target organ toxicity. Various factors can modulate metabolism including enzyme induction, enzyme inhibition, diet, disease state, age, and gender. Polymorphisms have been identified in many of the enzymes involved in biotransformation. Therefore, it is extremely important to account for the potential effects of interindividual differences in xenobiotic metabolism on chemical toxicity in humans.","author":[{"dropping-particle":"","family":"Kedderis","given":"G. L.","non-dropping-particle":"","parse-names":false,"suffix":""}],"container-title":"Comprehensive Toxicology: Second Edition","id":"ITEM-1","issued":{"date-parts":[["2010"]]},"title":"Biotransformation of Toxicants","type":"chapter","volume":"1-14"},"uris":["http://www.mendeley.com/documents/?uuid=abbd3874-f241-302a-8ecd-9f1dc401be08"]}],"mendeley":{"formattedCitation":"(Kedderis, 2010)","plainTextFormattedCitation":"(Kedderis, 2010)","previouslyFormattedCitation":"(Kedderis,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(Kedderis, 2010)</w:t>
      </w:r>
      <w:r>
        <w:rPr>
          <w:rFonts w:ascii="Times New Roman" w:hAnsi="Times New Roman" w:cs="Times New Roman"/>
          <w:sz w:val="24"/>
          <w:szCs w:val="24"/>
        </w:rPr>
        <w:fldChar w:fldCharType="end"/>
      </w:r>
      <w:r>
        <w:rPr>
          <w:rFonts w:ascii="Times New Roman" w:hAnsi="Times New Roman" w:cs="Times New Roman"/>
          <w:sz w:val="24"/>
          <w:szCs w:val="24"/>
        </w:rPr>
        <w:t>.</w:t>
      </w:r>
    </w:p>
    <w:p w14:paraId="64E8348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Phase II Reactions</w:t>
      </w:r>
    </w:p>
    <w:p w14:paraId="3B34114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Conjugation</w:t>
      </w:r>
    </w:p>
    <w:p w14:paraId="5788DD9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Phase II reactions focus on conjugation, wherein xenobiotics or their Phase I metabolites are combined with endogenous compounds to increase water solubility. This enhanced water solubility facilitates excretion through urine or bile. Major conjugation reactions involve UDP-glucuronosyltransferases (UGTs), sulfotransferases (SULTs), and glutathione S-transferases (GSTs)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{"citationItems":[{"id":"ITEM-1","itemData":{"DOI":"10.1016/B978-0-12-813939-4.00006-1","abstract":"The pharmacoepigenetic apparatus is integrated by gene clusters of different categories, including (i) pathogenic genes involved in disease pathogenesis, (ii) mechanistic genes encoding components of the epigenetic machinery serving as targets for epigenetic drugs, (iii) metabolic genes associated with the metabolism of drugs (phase I and phase II enzymatic reactions), (iv) transporter genes encoding protein transporters acting as substrates, inhibitors, or inducers of drugs in association with metabolic enzymes, and (v) pleiotropic genes engaged in multiple metabolomic networks. All these genes, encoding pharmacoepigenetic processors, are under the control of the epigenetic machinery.","author":[{"dropping-particle":"","family":"Cacabelos","given":"Ramón","non-dropping-particle":"","parse-names":false,"suffix":""},{"dropping-particle":"","family":"Carril","given":"Juan C.","non-dropping-particle":"","parse-names":false,"suffix":""},{"dropping-particle":"","family":"Sanmartín","given":"Ana","non-dropping-particle":"","parse-names":false,"suffix":""},{"dropping-particle":"","family":"Cacabelos","given":"Pablo","non-dropping-particle":"","parse-names":false,"suffix":""}],"container-title":"Pharmacoepigenetics","id":"ITEM-1","issued":{"date-parts":[["2019"]]},"title":"Pharmacoepigenetic Processors: Epigenetic Drugs, Drug Resistance, Toxicoepigenetics, and Nutriepigenetics","type":"chapter"},"uris":["http://www.mendeley.com/documents/?uuid=9c17d78f-0120-30cd-9f48-b5f5ab4e9517"]}],"mendeley":{"formattedCitation":"(Cacabelos et al., 2019)","plainTextFormattedCitation":"(Cacabelos et al., 2019)","previouslyFormattedCitation":"(Cacabelos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(Cacabelos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38AAA8A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UDP-Glucuronidation: UGTs catalyze the addition of glucuronic acid to xenobiotics, forming glucuronides. This process is especially prevalent in the liver and results in highly water-soluble metabolites.</w:t>
      </w:r>
    </w:p>
    <w:p w14:paraId="0615CA1F" w14:textId="77777777" w:rsidR="00460EB1" w:rsidRDefault="00460EB1" w:rsidP="00460EB1">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Sulfation</w:t>
      </w:r>
      <w:proofErr w:type="spellEnd"/>
      <w:r>
        <w:rPr>
          <w:rFonts w:ascii="Times New Roman" w:hAnsi="Times New Roman" w:cs="Times New Roman"/>
          <w:sz w:val="24"/>
          <w:szCs w:val="24"/>
        </w:rPr>
        <w:t xml:space="preserve">: SULTs add sulfate groups to xenobiotics, increasing their water solubility. Sulfate conjugates are often more polar than glucuronides, and this pathway is important for the metabolism of certain drugs and endogenous substances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{"citationItems":[{"id":"ITEM-1","itemData":{"DOI":"10.11131/2015/101178","ISSN":"2314-5706","abstract":"Orally delivered small-molecule therapeutics are metabolized in the liver and intestine by phase I and phase II drug-metabolizing enzymes (DMEs), and transport proteins coordinate drug influx (phase 0) and drug/drug-metabolite efflux (phase III). Genes involved in drug metabolism and disposition are induced by xenobiotic-activated nuclear receptors (NRs), i.e. PXR (pregnane X receptor) and CAR (constitutive androstane receptor), and by the 1α, 25-dihydroxy vitamin D3-activated vitamin D receptor (VDR), due to transactivation of xenobiotic-response elements (XREs) present in phase 0-III genes. Additional NRs, like HNF4-α, FXR, LXR-α play important roles in drug metabolism in certain settings, such as in relation to cholesterol and bile acid metabolism. The phase I enzymes CYP3A4/A5, CYP2D6, CYP2B6, CYP2C9, CYP2C19, CYP1A2, CYP2C8, CYP2A6, CYP2J2, and CYP2E1 metabolize &gt;90% of all prescription drugs, and phase II conjugation of hydrophilic functional groups (with/without phase I modification) facilitates drug clearance. The conjugation step is mediated by broad-specificity transferases like UGTs, SULTs, GSTs. This review delves into our current understanding of PXR/CAR/VDR-mediated regulation of DME and transporter expression, as well as effects of single nucleotide polymorphism (SNP) and epigenome (specified by promoter methylation, histone modification, microRNAs, long non coding RNAs) on the expression of PXR/CAR/VDR and phase 0-III mediators, and their impacts on variable drug response. Therapeutic agents that target epigenetic regulation and the molecular basis and consequences (overdosing, underdosing, or beneficial outcome) of drug-drug/drug-food/drug-herb interactions are also discussed. Precision medicine requires understanding of a drug's impact on DME and transporter activity and their NR-regulated expression in order to achieve optimal drug efficacy without adverse drug reactions. In future drug screening, new tools such as humanized mouse models and microfluidic organs-on-chips, which mimic the physiology of a multicellular environment, will likely replace the current cell-based workflow.","author":[{"dropping-particle":"","family":"Prakash","given":"Chandra","non-dropping-particle":"","parse-names":false,"suffix":""},{"dropping-particle":"","family":"Zuniga","given":"Baltazar","non-dropping-particle":"","parse-names":false,"suffix":""},{"dropping-particle":"","family":"Seog Song","given":"Chung","non-dropping-particle":"","parse-names":false,"suffix":""},{"dropping-particle":"","family":"Jiang","given":"Shoulei","non-dropping-particle":"","parse-names":false,"suffix":""},{"dropping-particle":"","family":"Cropper","given":"Jodie","non-dropping-particle":"","parse-names":false,"suffix":""},{"dropping-particle":"","family":"Park","given":"Sulgi","non-dropping-particle":"","parse-names":false,"suffix":""},{"dropping-particle":"","family":"Chatterjee","given":"Bandana","non-dropping-particle":"","parse-names":false,"suffix":""}],"container-title":"Nuclear Receptor Research","id":"ITEM-1","issued":{"date-parts":[["2015"]]},"title":"Nuclear Receptors in Drug Metabolism, Drug Response and Drug Interactions","type":"article-journal","volume":"2"},"uris":["http://www.mendeley.com/documents/?uuid=470ed701-bc1f-38dd-b45d-a40678d082e4"]}],"mendeley":{"formattedCitation":"(Prakash et al., 2015)","plainTextFormattedCitation":"(Prakash et al., 2015)","previouslyFormattedCitation":"(Prakash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(Prakash et al., 2015)</w:t>
      </w:r>
      <w:r>
        <w:rPr>
          <w:rFonts w:ascii="Times New Roman" w:hAnsi="Times New Roman" w:cs="Times New Roman"/>
          <w:sz w:val="24"/>
          <w:szCs w:val="24"/>
        </w:rPr>
        <w:fldChar w:fldCharType="end"/>
      </w:r>
      <w:r>
        <w:rPr>
          <w:rFonts w:ascii="Times New Roman" w:hAnsi="Times New Roman" w:cs="Times New Roman"/>
          <w:sz w:val="24"/>
          <w:szCs w:val="24"/>
        </w:rPr>
        <w:t>.</w:t>
      </w:r>
    </w:p>
    <w:p w14:paraId="0CF7AF80"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Glutathione Conjugation: GSTs facilitate the conjugation of xenobiotics with glutathione, a tripeptide containing glutamate, cysteine, and glycine. This pathway is crucial for detoxifying reactive metabolites and plays a role in the metabolism of certain drugs.</w:t>
      </w:r>
    </w:p>
    <w:p w14:paraId="151489BC"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Acetylation and Methylation</w:t>
      </w:r>
    </w:p>
    <w:p w14:paraId="4FF4A8A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often considered Phase II reactions, acetylation and methylation reactions are enzymatically catalyzed by N-acetyltransferases (NATs) and methyltransferases, respectively. These reactions involve the addition of acetyl or methyl groups to xenobiotics, typically enhancing water solubility and aiding in excretion.</w:t>
      </w:r>
    </w:p>
    <w:p w14:paraId="77F78AE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drug metabolism involves a dynamic interplay between Phase I and Phase II reactions. Phase I reactions, including oxidation, reduction, and hydrolysis, modify the structure of xenobiotics, preparing them for Phase II conjugation reactions. Phase II reactions, featuring processes like glucuronidation, </w:t>
      </w:r>
      <w:proofErr w:type="spellStart"/>
      <w:r>
        <w:rPr>
          <w:rFonts w:ascii="Times New Roman" w:hAnsi="Times New Roman" w:cs="Times New Roman"/>
          <w:sz w:val="24"/>
          <w:szCs w:val="24"/>
        </w:rPr>
        <w:t>sulfation</w:t>
      </w:r>
      <w:proofErr w:type="spellEnd"/>
      <w:r>
        <w:rPr>
          <w:rFonts w:ascii="Times New Roman" w:hAnsi="Times New Roman" w:cs="Times New Roman"/>
          <w:sz w:val="24"/>
          <w:szCs w:val="24"/>
        </w:rPr>
        <w:t>, and glutathione conjugation, add water-soluble moieties to xenobiotics, facilitating their elimination. This intricate system of biotransformation ensures the efficient removal of xenobiotics from the body while balancing the need for detoxification and maintaining essential endogenous functions. Understanding the complexity of these phases is fundamental in pharmacology, providing insights into drug behavior, optimizing therapeutic regimens, and contributing to the development of safe and effective medications.</w:t>
      </w:r>
    </w:p>
    <w:p w14:paraId="6E979CA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lastRenderedPageBreak/>
        <w:t>Explain the factors influencing drug metabolism, such as genetic variability, drug-drug interactions, and environmental factors.</w:t>
      </w:r>
    </w:p>
    <w:p w14:paraId="49616E1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a dynamic and complex process influenced by various factors that can significantly impact the pharmacokinetics and pharmacodynamics of drugs. Understanding these factors is crucial for predicting individual responses to medications, optimizing therapeutic outcomes, and avoiding potential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{"citationItems":[{"id":"ITEM-1","itemData":{"DOI":"10.1124/dmd.104.003236","ISSN":"00909556","abstract":"Individual variability in cytochrome P450 (P450) induction comprises an important component contributing to the difficulties in assessing and predicting metabolism-based drug-drug interactions in humans. In this article, we outline the major factors responsible for the individual variability in P450 induction, including variable transporter activity and metabolism of inducers in vivo, genetic variations of P450 genes and their regulatory regions, genetic variations of receptors and regulatory proteins required for induction, and different physiological and environmental elements. With a better understanding of the major determinants in P450 induction and a profile of the phenotypes of these determinants in each individual, it is believed that the individual variability in induction-mediated drug-drug interactions can be adequately evaluated. Copyright © 2005 by The American Society for Pharmacology and Experimental Therapeutics.","author":[{"dropping-particle":"","family":"Tang","given":"Cuyue","non-dropping-particle":"","parse-names":false,"suffix":""},{"dropping-particle":"","family":"Lin","given":"Jiunn H.","non-dropping-particle":"","parse-names":false,"suffix":""},{"dropping-particle":"","family":"Lu","given":"Anthony Y.H.","non-dropping-particle":"","parse-names":false,"suffix":""}],"container-title":"Drug Metabolism and Disposition","id":"ITEM-1","issue":"5","issued":{"date-parts":[["2005"]]},"title":"Metabolism-based drug-drug interactions: What determines individual variability in cytochrome P450 induction?","type":"article","volume":"33"},"uris":["http://www.mendeley.com/documents/?uuid=6b68990d-ed41-30ea-86fd-6f5f73ce10a0"]}],"mendeley":{"formattedCitation":"(Tang et al., 2005)","plainTextFormattedCitation":"(Tang et al., 2005)","previouslyFormattedCitation":"(Tang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(Tang et al., 2005)</w:t>
      </w:r>
      <w:r>
        <w:rPr>
          <w:rFonts w:ascii="Times New Roman" w:hAnsi="Times New Roman" w:cs="Times New Roman"/>
          <w:sz w:val="24"/>
          <w:szCs w:val="24"/>
        </w:rPr>
        <w:fldChar w:fldCharType="end"/>
      </w:r>
      <w:r>
        <w:rPr>
          <w:rFonts w:ascii="Times New Roman" w:hAnsi="Times New Roman" w:cs="Times New Roman"/>
          <w:sz w:val="24"/>
          <w:szCs w:val="24"/>
        </w:rPr>
        <w:t>. Some key influencers include genetic variability, drug-drug interactions, and environmental factors.</w:t>
      </w:r>
    </w:p>
    <w:p w14:paraId="39C91D7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Genetic Variability</w:t>
      </w:r>
    </w:p>
    <w:p w14:paraId="737CC93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Cytochrome P450 Polymorphisms</w:t>
      </w:r>
    </w:p>
    <w:p w14:paraId="153FC1B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variability plays a substantial role in drug metabolism, particularly concerning cytochrome P450 (CYP) enzymes. Polymorphisms in CYP genes can result in individuals categorized as poor metabolizers, extensive metabolizers, or ultra-rapid metabolizers, depending on the specific isoform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{"citationItems":[{"id":"ITEM-1","itemData":{"DOI":"10.1016/j.pharmthera.2012.12.007","ISSN":"01637258","abstract":"Cytochromes P450 (CYP) are a major source of variability in drug pharmacokinetics and response. Of 57 putatively functional human CYPs only about a dozen enzymes, belonging to the CYP1, 2, and 3 families, are responsible for the biotransformation of most foreign substances including 70-80% of all drugs in clinical use. The highest expressed forms in liver are CYPs 3A4, 2C9, 2C8, 2E1, and 1A2, while 2A6, 2D6, 2B6, 2C19 and 3A5 are less abundant and CYPs 2J2, 1A1, and 1B1 are mainly expressed extrahepatically. Expression of each CYP is influenced by a unique combination of mechanisms and factors including genetic polymorphisms, induction by xenobiotics, regulation by cytokines, hormones and during disease states, as well as sex, age, and others. Multiallelic genetic polymorphisms, which strongly depend on ethnicity, play a major role for the function of CYPs 2D6, 2C19, 2C9, 2B6, 3A5 and 2A6, and lead to distinct pharmacogenetic phenotypes termed as poor, intermediate, extensive, and ultrarapid metabolizers. For these CYPs, the evidence for clinical significance regarding adverse drug reactions (ADRs), drug efficacy and dose requirement is rapidly growing. Polymorphisms in CYPs 1A1, 1A2, 2C8, 2E1, 2J2, and 3A4 are generally less predictive, but new data on CYP3A4 show that predictive variants exist and that additional variants in regulatory genes or in NADPH:cytochrome P450 oxidoreductase (POR) can have an influence. Here we review the recent progress on drug metabolism activity profiles, interindividual variability and regulation of expression, and the functional and clinical impact of genetic variation in drug metabolizing P450s. © 2013 Elsevier Inc.","author":[{"dropping-particle":"","family":"Zanger","given":"Ulrich M.","non-dropping-particle":"","parse-names":false,"suffix":""},{"dropping-particle":"","family":"Schwab","given":"Matthias","non-dropping-particle":"","parse-names":false,"suffix":""}],"container-title":"Pharmacology and Therapeutics","id":"ITEM-1","issue":"1","issued":{"date-parts":[["2013"]]},"title":"Cytochrome P450 enzymes in drug metabolism: Regulation of gene expression, enzyme activities, and impact of genetic variation","type":"article","volume":"138"},"uris":["http://www.mendeley.com/documents/?uuid=8d745351-ce34-3fb0-be26-143afb8ba76a"]}],"mendeley":{"formattedCitation":"(Zanger &amp; Schwab, 2013)","plainTextFormattedCitation":"(Zanger &amp; Schwab, 2013)","previouslyFormattedCitation":"(Zanger &amp; Schwab,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(Zanger &amp; Schwab, 2013)</w:t>
      </w:r>
      <w:r>
        <w:rPr>
          <w:rFonts w:ascii="Times New Roman" w:hAnsi="Times New Roman" w:cs="Times New Roman"/>
          <w:sz w:val="24"/>
          <w:szCs w:val="24"/>
        </w:rPr>
        <w:fldChar w:fldCharType="end"/>
      </w:r>
      <w:r>
        <w:rPr>
          <w:rFonts w:ascii="Times New Roman" w:hAnsi="Times New Roman" w:cs="Times New Roman"/>
          <w:sz w:val="24"/>
          <w:szCs w:val="24"/>
        </w:rPr>
        <w:t>.</w:t>
      </w:r>
    </w:p>
    <w:p w14:paraId="49F7134C" w14:textId="49C247AE" w:rsidR="00460EB1" w:rsidRDefault="00460EB1" w:rsidP="00460EB1">
      <w:pPr>
        <w:spacing w:line="480" w:lineRule="auto"/>
        <w:ind w:firstLine="720"/>
        <w:jc w:val="center"/>
        <w:rPr>
          <w:rFonts w:ascii="Times New Roman" w:hAnsi="Times New Roman" w:cs="Times New Roman"/>
          <w:sz w:val="24"/>
          <w:szCs w:val="24"/>
        </w:rPr>
      </w:pPr>
      <w:r>
        <w:rPr>
          <w:noProof/>
        </w:rPr>
        <w:drawing>
          <wp:inline distT="0" distB="0" distL="0" distR="0" wp14:anchorId="34DCBA43" wp14:editId="5CD09A74">
            <wp:extent cx="3238500" cy="1857375"/>
            <wp:effectExtent l="0" t="0" r="0" b="9525"/>
            <wp:docPr id="7" name="Picture 7" descr="Genetic Polymorphisms of Cytochrome p450 (2C9) Enzyme in Patients with Type  2 Diabetes Mellitus in Turkmen and Fars Ethnic Groups | Bentham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netic Polymorphisms of Cytochrome p450 (2C9) Enzyme in Patients with Type  2 Diabetes Mellitus in Turkmen and Fars Ethnic Groups | Bentham Sci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38500" cy="1857375"/>
                    </a:xfrm>
                    <a:prstGeom prst="rect">
                      <a:avLst/>
                    </a:prstGeom>
                    <a:noFill/>
                    <a:ln>
                      <a:noFill/>
                    </a:ln>
                  </pic:spPr>
                </pic:pic>
              </a:graphicData>
            </a:graphic>
          </wp:inline>
        </w:drawing>
      </w:r>
    </w:p>
    <w:p w14:paraId="26AC1C9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Impact on Drug Response</w:t>
      </w:r>
    </w:p>
    <w:p w14:paraId="33D14F0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Genetic variations in drug-metabolizing enzymes can lead to altered drug responses. Poor metabolizers may experience increased drug exposure, potentially resulting in adverse effects, while ultra-rapid metabolizers may exhibit reduced drug efficacy due to rapid clearance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{"citationItems":[{"id":"ITEM-1","itemData":{"DOI":"10.3389/fimmu.2018.00089","ISSN":"16643224","abstract":"Cytochromes are expressed in many different tissues of the human body. They are found mostly in intestinal and hepatic tissues. Cytochromes P450 (CYPs) are enzymes that oxidize substances using iron and are able to metabolize a large variety of xenobiotic substances. CYP enzymes are linked to a wide array of reactions including and O-dealkylation, S-oxidation, epoxidation, and hydroxylation. The activity of the typical P450 cytochrome is influenced by a variety of factors, such as genus, environment, disease state, herbicide, alcohol, and herbal medications. However, diet seems to play a major role. The mechanisms of action of dietary chemicals, macro- and micronutrients on specific CYP isoenzymes have been extensively studied. Dietary modulation has effects upon the metabolism of xenobiotics. Cytochromes harbor intra- or interindividual and intra- or interethnic genetic polymorphisms. Bacteria were shown to express CYP-like genes. The tremendous metabolic activity of the microbiota is associated to its abundant pool of CYP enzymes, which catalyze phase I and II reactions in drug metabolism. Disease states, intestinal disturbances, aging, environmental toxic effects, chemical exposures or nutrition modulate the microbial metabolism of a drug before absorption. A plethora of effects exhibited by most of CYP enzymes can resemble those of proinflammatory cytokines and IFNs. Moreover, they are involved in the initiation and persistence of pathologic pain by directly activating sensory neurons and inflammatory cytokines.","author":[{"dropping-particle":"","family":"Stavropoulou","given":"Elisavet","non-dropping-particle":"","parse-names":false,"suffix":""},{"dropping-particle":"","family":"Pircalabioru","given":"Gratiela G.","non-dropping-particle":"","parse-names":false,"suffix":""},{"dropping-particle":"","family":"Bezirtzoglou","given":"Eugenia","non-dropping-particle":"","parse-names":false,"suffix":""}],"container-title":"Frontiers in Immunology","id":"ITEM-1","issue":"JAN","issued":{"date-parts":[["2018"]]},"title":"The role of cytochromes P450 in infection","type":"article","volume":"9"},"uris":["http://www.mendeley.com/documents/?uuid=c516a9ea-b0ab-3c89-bc5a-1a586c49c6dc"]}],"mendeley":{"formattedCitation":"(Stavropoulou et al., 2018)","plainTextFormattedCitation":"(Stavropoulou et al., 2018)","previouslyFormattedCitation":"(Stavropoulou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(Stavropoulou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FD1A3A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Pharmacogenomics</w:t>
      </w:r>
    </w:p>
    <w:p w14:paraId="287FE48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Pharmacogenomic approaches aim to tailor drug therapy based on an individual's genetic profile. Genetic testing can identify polymorphisms that influence drug metabolism, guiding personalized treatment strategies and minimizing the risk of adverse reactions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{"citationItems":[{"id":"ITEM-1","itemData":{"DOI":"10.2174/138920010794233521","ISSN":"13892002","abstract":"Thienopyridine antiaggregating platelet agents (clopidogrel and prasugrel) act as irreversible P2Y12 receptor inhibitors. They are used with aspirin to prevent thrombotic complications after an acute coronary syndrome or percutaneous coronary intervention. A large interindividual variability in response to clopidogrel and to a lesser extent to prasugrel is observed and may be related to their metabolism. Clopidogrel and prasugrel are indeed prodrugs converted into their respective active metabolites by several cytochromes P450 (CYPs). Besides clopidogrel inactivation (85%) by esterases to the carboxylic acid, clopidogrel is metabolized by CYPs to 2-oxo-clopidogrel (15%) and further metabolized to an unstable but potent platelet-aggregating inhibitor. Prasugrel is more potent than clopidogrel with a better bioavailability and lower pharmacodynamic variability. Prasugrel is completely converted by esterases to an intermediate oxo-metabolite (R-95913) further bioactivated by CYPs. Numerous clinical studies have shown the influence of CYP2C19 polymorphism on clopidogrel antiplatelet activity. Moreover, unwanted drug-drug pharmacokinetic interactions influencing CYP2C19 activity and clopidogrel bioactivation such as with proton pump inhibitors remain a matter of intense controversy. Several studies have also demonstrated that CYP3A4/5 and CYP1A2 are important in clopidogrel bioactivation and should also be considered as potential targets for unwanted drug-drug interactions. Prasugrel bioactivation is mainly related to CYP3A4 and 2B6 activity and therefore the question of the effect of drug-drug interaction on its activity is open. The purpose of this review is to critically examine the current literature evaluating the influence of genetic and environmental factors such as unwanted drug-drug interaction affecting clopidogrel and prasugrel antiplatelet activity.","author":[{"dropping-particle":"","family":"Ancrenaz","given":"V.","non-dropping-particle":"","parse-names":false,"suffix":""},{"dropping-particle":"","family":"Daali","given":"Y.","non-dropping-particle":"","parse-names":false,"suffix":""},{"dropping-particle":"","family":"Fontana","given":"P.","non-dropping-particle":"","parse-names":false,"suffix":""},{"dropping-particle":"","family":"Besson","given":"M.","non-dropping-particle":"","parse-names":false,"suffix":""},{"dropping-particle":"","family":"Samer","given":"C.","non-dropping-particle":"","parse-names":false,"suffix":""},{"dropping-particle":"","family":"Dayer","given":"P.","non-dropping-particle":"","parse-names":false,"suffix":""},{"dropping-particle":"","family":"Desmeules","given":"J.","non-dropping-particle":"","parse-names":false,"suffix":""}],"container-title":"Current Drug Metabolism","id":"ITEM-1","issue":"8","issued":{"date-parts":[["2011"]]},"title":"Impact of Genetic Polymorphisms and Drug – Drug Interactions on Clopidogrel and Prasugrel Response Variability","type":"article-journal","volume":"11"},"uris":["http://www.mendeley.com/documents/?uuid=f16facd1-4e88-35e2-9d78-1f9307d9734c"]}],"mendeley":{"formattedCitation":"(Ancrenaz et al., 2011)","plainTextFormattedCitation":"(Ancrenaz et al., 2011)","previouslyFormattedCitation":"(Ancrenaz et al.,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(Ancrenaz et al., 2011)</w:t>
      </w:r>
      <w:r>
        <w:rPr>
          <w:rFonts w:ascii="Times New Roman" w:hAnsi="Times New Roman" w:cs="Times New Roman"/>
          <w:sz w:val="24"/>
          <w:szCs w:val="24"/>
        </w:rPr>
        <w:fldChar w:fldCharType="end"/>
      </w:r>
      <w:r>
        <w:rPr>
          <w:rFonts w:ascii="Times New Roman" w:hAnsi="Times New Roman" w:cs="Times New Roman"/>
          <w:sz w:val="24"/>
          <w:szCs w:val="24"/>
        </w:rPr>
        <w:t>.</w:t>
      </w:r>
    </w:p>
    <w:p w14:paraId="4D6FFFE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i/>
          <w:sz w:val="24"/>
          <w:szCs w:val="24"/>
        </w:rPr>
        <w:t xml:space="preserve"> </w:t>
      </w:r>
      <w:r>
        <w:rPr>
          <w:rFonts w:ascii="Times New Roman" w:hAnsi="Times New Roman" w:cs="Times New Roman"/>
          <w:b/>
          <w:sz w:val="24"/>
          <w:szCs w:val="24"/>
        </w:rPr>
        <w:t>Drug-Drug Interactions</w:t>
      </w:r>
    </w:p>
    <w:p w14:paraId="5CB9962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Enzyme Induction and Inhibition</w:t>
      </w:r>
    </w:p>
    <w:p w14:paraId="56C2A12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Drug-drug interactions can occur when co-administered drugs modulate the activity of drug-metabolizing enzymes. Enzyme induction accelerates the synthesis of enzymes, potentially leading to increased metabolism of co-administered drugs. Conversely, enzyme inhibition may slow down metabolism, increasing systemic drug concentrations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{"citationItems":[{"id":"ITEM-1","itemData":{"DOI":"10.2165/11634480-000000000-00000","ISSN":"11771062","abstract":"Background: Adverse drug reactions (ADRs) associated with anti-tuberculosis (anti-TB) drug regimens have considerable impact on anti-TB treatment, potentially leading to unsuccessful outcomes. Nevertheless, the risk factors that play a role in anti-TB drug-induced ADRs are not well established. It is well documented that genetic polymorphisms in drug-metabolizing enzymes (DMEs) result in considerably complex variability in anti-TB drug disposition. In addition, the impact of pharmacogenetic variation on the metabolism of anti-TB drugs may be modifiable by environmental exposure. Thus, an assessment of pharmacogenetic variability combined with biomarkers of environmental exposure may be helpful for demonstrating the effect of the gene-environment interaction on susceptibility to ADRs induced by anti-TB drug therapy. Objective: The aim of the study was to investigate the impact of the interaction between environmental risk factors and pharmacogenetic polymorphisms in four common DMEs - N-acetyltransferase 2 (arylamine N-acetyltransferase) [NAT2], glutathione S-transferase theta 1 [GSTT1], glutathione S-transferase mu 1 [GSTM1], and cytochrome P450 2E1 [CYP2E1] - on commonly reported ADRs to first-line anti-TB drugs in 129 patients receiving homogeneous TB treatment. Methods: TB patients monitored during drug treatment were divided into subgroups according to the presence or absence of ADRs. Additionally, the patients' clinical and demographic characteristics were collected in order to identify the environmental factors that are potential triggers for ADRs induced by anti-TB drug treatment. Pharmacogenetic variability was determined by gene sequencing, TaqMan® assays, or polymerase chain reaction. Results: The findings of this study suggest that the NAT2 slow acetylator haplotype, female sex, and smoking are important determinants of susceptibility to ADRs induced by anti-TB drugs. Patients carrying multiple, but not single, polymorphisms in the NAT2, GSTM1, GSTT1, and CYP2E1 genes were found to have an increased risk of ADRs, as revealed by gene-gene interaction analysis. Moreover, we also identified meaningful gene-environment interaction models that resulted in the highest levels of ADR risk. Conclusion: The study findings provide evidence of the clinical impact of the interaction between pharmacogenetic variability and environmental factors on ADRs induced by anti-TB drug therapy. Predictive pharmacogenetic testing and a comprehensive clinical history …","author":[{"dropping-particle":"","family":"Costa","given":"Gustavo N.O.","non-dropping-particle":"","parse-names":false,"suffix":""},{"dropping-particle":"","family":"Magno","given":"Luiz A.V.","non-dropping-particle":"","parse-names":false,"suffix":""},{"dropping-particle":"","family":"Santana","given":"Cinthia V.N.","non-dropping-particle":"","parse-names":false,"suffix":""},{"dropping-particle":"","family":"Konstantinovas","given":"Cibele","non-dropping-particle":"","parse-names":false,"suffix":""},{"dropping-particle":"","family":"Saito","given":"Samuel T.","non-dropping-particle":"","parse-names":false,"suffix":""},{"dropping-particle":"","family":"Machado","given":"Moara","non-dropping-particle":"","parse-names":false,"suffix":""},{"dropping-particle":"","family":"Pietro","given":"Giuliano","non-dropping-particle":"Di","parse-names":false,"suffix":""},{"dropping-particle":"","family":"Bastos-Rodrigues","given":"Luciana","non-dropping-particle":"","parse-names":false,"suffix":""},{"dropping-particle":"","family":"Miranda","given":"Débora M.","non-dropping-particle":"","parse-names":false,"suffix":""},{"dropping-particle":"","family":"Marco","given":"Luiz A.","non-dropping-particle":"De","parse-names":false,"suffix":""},{"dropping-particle":"","family":"Romano-Silva","given":"Marco A.","non-dropping-particle":"","parse-names":false,"suffix":""},{"dropping-particle":"","family":"Rios-Santos","given":"Fabrício","non-dropping-particle":"","parse-names":false,"suffix":""}],"container-title":"Molecular Diagnosis and Therapy","id":"ITEM-1","issue":"4","issued":{"date-parts":[["2012"]]},"title":"Genetic interaction between NAT2, GSTM1, GSTT1, CYP2E1, and environmental factors is associated with adverse reactions to anti-tuberculosis drugs","type":"article-journal","volume":"16"},"uris":["http://www.mendeley.com/documents/?uuid=0cd92177-95c5-3a24-9430-5f77e33a5651"]}],"mendeley":{"formattedCitation":"(Costa et al., 2012)","plainTextFormattedCitation":"(Costa et al., 2012)","previouslyFormattedCitation":"(Costa et al.,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(Costa et al., 2012)</w:t>
      </w:r>
      <w:r>
        <w:rPr>
          <w:rFonts w:ascii="Times New Roman" w:hAnsi="Times New Roman" w:cs="Times New Roman"/>
          <w:sz w:val="24"/>
          <w:szCs w:val="24"/>
        </w:rPr>
        <w:fldChar w:fldCharType="end"/>
      </w:r>
      <w:r>
        <w:rPr>
          <w:rFonts w:ascii="Times New Roman" w:hAnsi="Times New Roman" w:cs="Times New Roman"/>
          <w:sz w:val="24"/>
          <w:szCs w:val="24"/>
        </w:rPr>
        <w:t>.</w:t>
      </w:r>
    </w:p>
    <w:p w14:paraId="03AD0B1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Clinical Implications</w:t>
      </w:r>
    </w:p>
    <w:p w14:paraId="20904F5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Awareness of potential drug-drug interactions is critical in clinical practice. Healthcare professionals must consider the concomitant use of medications that may influence drug metabolism, adjusting doses or selecting alternative drugs to optimize therapeutic regimens and avoid unwanted effects.</w:t>
      </w:r>
    </w:p>
    <w:p w14:paraId="5B40CDD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Environmental Factors</w:t>
      </w:r>
    </w:p>
    <w:p w14:paraId="6024A58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Liver Function and Disease States</w:t>
      </w:r>
    </w:p>
    <w:p w14:paraId="78EE839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health of the liver, the primary site of drug metabolism, is a crucial environmental factor. Liver diseases, such as cirrhosis or hepatitis, can significantly alter the metabolic capacity, affecting the clearance and bioavailability of drugs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{"citationItems":[{"id":"ITEM-1","itemData":{"DOI":"10.1002/9783527619672.ch35","abstract":"It is frequently observed in clinical practice that there is a certain variability in clinical efficacy and in the occurrence of side effects in patients treated with the same dose of a drug. This inter-individual variability also in the response to antidepressant drugs can be partly attributed to differences in plasma concentrations of the drug and/or its metabolites. One of the major factors influencing drug elimination and, thus, plasma concentration is the activity of the cytochrome P450 (CYP) enzymes. Every CYP enzyme is encoded by a separate gene; thus, each represents a monogenetic trait. A large number of these enzymes have been described and classified into 18 families. At present, CYP2D6, CYP2C19, CYP2C9, CYP1A2, and CYP3A4 have been shown to be the most important enzymes in psychopharmacology because of their implication in the metabolism of several psychotropic drugs, including antidepressants. Individuals with low enzyme activity are referred as slow or poor metabolizers, while the others are rapid or extensive metabolizers. Besides the genetic determination, environmental factors and concomitant treatment also may modify the activity of these enzymes. Another aspect is the ability of certain antidepressant drugs to inhibit the activity of specific CYP enzymes. The clinical relevance of this fact is that this inhibition may lead to higher than expected plasma concentrations of the drug and also to drug interaction with other medications metabolized by the same specific enzyme. In this review the present knowledge on the CYP enzyme-mediated metabolism of the specific antidepressant drugs and the possible clinical implications are summed up. The knowledge of the possible influence of CYP enzymes on the therapeutic efficacy of antidepressant drugs has grown remarkably recently, and in clinical practice if unexpected side effects occur or therapeutic failure is observed during antidepressant drug treatment, the possible involvement of pharmacogenetic factors should be considered and the appropriate examinations be carried out. © 2005 Wiley-VCH Verlag GmbH &amp; Co. KGaA.","author":[{"dropping-particle":"","family":"Llerena","given":"Adrián","non-dropping-particle":"","parse-names":false,"suffix":""}],"container-title":"Biology of Depression: From Novel Insights to Therapeutic Strategies","id":"ITEM-1","issued":{"date-parts":[["2008"]]},"title":"Pharmacogenetics of Antidepressant Drug Metabolism and Its Clinical Implications","type":"chapter"},"uris":["http://www.mendeley.com/documents/?uuid=7a2f9244-f343-37cd-bd02-3bf0a89e7f70"]}],"mendeley":{"formattedCitation":"(Llerena, 2008)","plainTextFormattedCitation":"(Llerena, 2008)","previouslyFormattedCitation":"(Llerena, 2008)"},"properties":{"noteIndex":0},"schema":"https://github.com/citation-style-language/schema/raw/master/csl-citation.json"}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(Llerena, 2008)</w:t>
      </w:r>
      <w:r>
        <w:rPr>
          <w:rFonts w:ascii="Times New Roman" w:hAnsi="Times New Roman" w:cs="Times New Roman"/>
          <w:sz w:val="24"/>
          <w:szCs w:val="24"/>
        </w:rPr>
        <w:fldChar w:fldCharType="end"/>
      </w:r>
      <w:r>
        <w:rPr>
          <w:rFonts w:ascii="Times New Roman" w:hAnsi="Times New Roman" w:cs="Times New Roman"/>
          <w:sz w:val="24"/>
          <w:szCs w:val="24"/>
        </w:rPr>
        <w:t>.</w:t>
      </w:r>
    </w:p>
    <w:p w14:paraId="713AC1AB"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Dietary Habits and Lifestyle</w:t>
      </w:r>
    </w:p>
    <w:p w14:paraId="7624B58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Dietary habits and lifestyle factors, such as alcohol consumption and smoking, can influence drug metabolism. Chronic alcohol use, for example, may induce certain enzymes, impacting drug clearance. Conversely, smoking can induce or inhibit specific metabolic pathways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{"citationItems":[{"id":"ITEM-1","itemData":{"DOI":"10.1515/rrlm-2015-0015","ISSN":"18416624","abstract":"Vitamin K antagonists (VKAs) are widely used for the primary and secondary prevention of thromboembolism, their anticoagulant effect being monitored through INR. Achieving and maintaining a stable anticoagulation status is challenging, because of the narrow therapeutic range, and of the extremely variable individual response to therapy. Environmental factors such as age, gender, body mass, diet, herbal supplements, drugs, pre-existing pathology, as well as genetic factors can substantially influence the anticoagulant effect of VKAs. The main genetic factors that contribute to individual variability in response to VKAs are genetic polymorphisms in genes influencing VKAs’ metabolism (CYP2C9) and pharmacodynamic response (VKOR1) and account for about one third in the variation of warfarin and analogues dose requirement. Systematic genotyping of patients requiring warfarin therapy is still a matter of debate. Although novel oral anticoagulants (direct thrombin and factor Xa inhibitors) seem promising, VKAs are still frequently prescribed, therefore physicians should be aware of the various factors influencing VKAs’ effect, and educational programmes for doctors and patients should be conducted in that respect.","author":[{"dropping-particle":"","family":"BrudaȘcă","given":"Ioana","non-dropping-particle":"","parse-names":false,"suffix":""}],"container-title":"Revista Romana de Medicina de Laborator","id":"ITEM-1","issue":"2","issued":{"date-parts":[["2015"]]},"title":"Factori care influențează terapia cu antagoniști ai vitaminei K","type":"article","volume":"23"},"uris":["http://www.mendeley.com/documents/?uuid=156c72ca-f663-3cd1-ba5f-006b364b85b8"]}],"mendeley":{"formattedCitation":"(BrudaȘcă, 2015)","plainTextFormattedCitation":"(BrudaȘcă, 2015)","previouslyFormattedCitation":"(BrudaȘcă,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(BrudaȘcă, 2015)</w:t>
      </w:r>
      <w:r>
        <w:rPr>
          <w:rFonts w:ascii="Times New Roman" w:hAnsi="Times New Roman" w:cs="Times New Roman"/>
          <w:sz w:val="24"/>
          <w:szCs w:val="24"/>
        </w:rPr>
        <w:fldChar w:fldCharType="end"/>
      </w:r>
      <w:r>
        <w:rPr>
          <w:rFonts w:ascii="Times New Roman" w:hAnsi="Times New Roman" w:cs="Times New Roman"/>
          <w:sz w:val="24"/>
          <w:szCs w:val="24"/>
        </w:rPr>
        <w:t>.</w:t>
      </w:r>
    </w:p>
    <w:p w14:paraId="7954F859"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Age and Gender</w:t>
      </w:r>
    </w:p>
    <w:p w14:paraId="4BC8555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Age and gender can also influence drug metabolism. Pediatric and geriatric populations may exhibit altered metabolic capacities. Additionally, hormonal differences between genders can contribute to variations in drug metabolism.</w:t>
      </w:r>
    </w:p>
    <w:p w14:paraId="5F7F7AF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Physiological Factors</w:t>
      </w:r>
    </w:p>
    <w:p w14:paraId="389D600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Renal Function</w:t>
      </w:r>
    </w:p>
    <w:p w14:paraId="087A92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drug metabolism primarily occurs in the liver, renal function is crucial for the elimination of water-soluble metabolites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{"citationItems":[{"id":"ITEM-1","itemData":{"DOI":"10.2174/138920010794233521","ISSN":"13892002","abstract":"Thienopyridine antiaggregating platelet agents (clopidogrel and prasugrel) act as irreversible P2Y12 receptor inhibitors. They are used with aspirin to prevent thrombotic complications after an acute coronary syndrome or percutaneous coronary intervention. A large interindividual variability in response to clopidogrel and to a lesser extent to prasugrel is observed and may be related to their metabolism. Clopidogrel and prasugrel are indeed prodrugs converted into their respective active metabolites by several cytochromes P450 (CYPs). Besides clopidogrel inactivation (85%) by esterases to the carboxylic acid, clopidogrel is metabolized by CYPs to 2-oxo-clopidogrel (15%) and further metabolized to an unstable but potent platelet-aggregating inhibitor. Prasugrel is more potent than clopidogrel with a better bioavailability and lower pharmacodynamic variability. Prasugrel is completely converted by esterases to an intermediate oxo-metabolite (R-95913) further bioactivated by CYPs. Numerous clinical studies have shown the influence of CYP2C19 polymorphism on clopidogrel antiplatelet activity. Moreover, unwanted drug-drug pharmacokinetic interactions influencing CYP2C19 activity and clopidogrel bioactivation such as with proton pump inhibitors remain a matter of intense controversy. Several studies have also demonstrated that CYP3A4/5 and CYP1A2 are important in clopidogrel bioactivation and should also be considered as potential targets for unwanted drug-drug interactions. Prasugrel bioactivation is mainly related to CYP3A4 and 2B6 activity and therefore the question of the effect of drug-drug interaction on its activity is open. The purpose of this review is to critically examine the current literature evaluating the influence of genetic and environmental factors such as unwanted drug-drug interaction affecting clopidogrel and prasugrel antiplatelet activity.","author":[{"dropping-particle":"","family":"Ancrenaz","given":"V.","non-dropping-particle":"","parse-names":false,"suffix":""},{"dropping-particle":"","family":"Daali","given":"Y.","non-dropping-particle":"","parse-names":false,"suffix":""},{"dropping-particle":"","family":"Fontana","given":"P.","non-dropping-particle":"","parse-names":false,"suffix":""},{"dropping-particle":"","family":"Besson","given":"M.","non-dropping-particle":"","parse-names":false,"suffix":""},{"dropping-particle":"","family":"Samer","given":"C.","non-dropping-particle":"","parse-names":false,"suffix":""},{"dropping-particle":"","family":"Dayer","given":"P.","non-dropping-particle":"","parse-names":false,"suffix":""},{"dropping-particle":"","family":"Desmeules","given":"J.","non-dropping-particle":"","parse-names":false,"suffix":""}],"container-title":"Current Drug Metabolism","id":"ITEM-1","issue":"8","issued":{"date-parts":[["2011"]]},"title":"Impact of Genetic Polymorphisms and Drug – Drug Interactions on Clopidogrel and Prasugrel Response Variability","type":"article-journal","volume":"11"},"uris":["http://www.mendeley.com/documents/?uuid=f16facd1-4e88-35e2-9d78-1f9307d9734c"]}],"mendeley":{"formattedCitation":"(Ancrenaz et al., 2011)","plainTextFormattedCitation":"(Ancrenaz et al., 2011)","previouslyFormattedCitation":"(Ancrenaz et al.,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(Ancrenaz et al., 2011)</w:t>
      </w:r>
      <w:r>
        <w:rPr>
          <w:rFonts w:ascii="Times New Roman" w:hAnsi="Times New Roman" w:cs="Times New Roman"/>
          <w:sz w:val="24"/>
          <w:szCs w:val="24"/>
        </w:rPr>
        <w:fldChar w:fldCharType="end"/>
      </w:r>
      <w:r>
        <w:rPr>
          <w:rFonts w:ascii="Times New Roman" w:hAnsi="Times New Roman" w:cs="Times New Roman"/>
          <w:sz w:val="24"/>
          <w:szCs w:val="24"/>
        </w:rPr>
        <w:t xml:space="preserve">. Impaired renal function can lead to the accumulation of metabolites, affecting drug clearance and potentially increasing the risk of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{"citationItems":[{"id":"ITEM-1","itemData":{"ISSN":"1555-8932","abstract":"Differences in diet appear to contribute substantially to the burden of disease in populations, and therefore changes in diet could lead to major improvements in public health. This is predicated on the reliable identification of causal effects of nutrition on health, and unfortunately nutritional epidemiology has deficiencies in terms of identifying these. This is reflected in the many cases where observational studies have suggested that a nutritional factor is protective against disease, and randomized controlled trials have failed to verify this. The use of genetic variants as proxy measures of nutritional exposure-an application of the Mendelian randomization principle-can contribute to strengthening causal inference in this field. Genetic variants are not subject to bias due to reverse causation (disease processes influencing exposure, rather than vice versa) or recall bias, and if obvious precautions are applied are not influenced by confounding or attenuation by errors. This is illustrated in the case of epidemiological studies of alcohol intake and various health outcomes, through the use of genetic variants related to alcohol metabolism (in ALDH2 and ADH1B). Examples from other areas of nutritional epidemiology and of the informative nature of gene-environment interactions interpreted within the Mendelian randomization framework are presented, and the potential limitations of the approach addressed. © 2010 Springer-Verlag.","author":[{"dropping-particle":"","family":"G.","given":"Davey Smith","non-dropping-particle":"","parse-names":false,"suffix":""}],"container-title":"Genes and Nutrition","id":"ITEM-1","issue":"1","issued":{"date-parts":[["2011"]]},"title":"Use of genetic markers and gene-diet interactions for interrogating population-level causal influences of diet on health","type":"article-journal","volume":"6"},"uris":["http://www.mendeley.com/documents/?uuid=d0f01ba6-1400-39f0-a551-83abdf019ba7"]}],"mendeley":{"formattedCitation":"(G., 2011)","plainTextFormattedCitation":"(G., 2011)","previouslyFormattedCitation":"(G.,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 2011)</w:t>
      </w:r>
      <w:r>
        <w:rPr>
          <w:rFonts w:ascii="Times New Roman" w:hAnsi="Times New Roman" w:cs="Times New Roman"/>
          <w:sz w:val="24"/>
          <w:szCs w:val="24"/>
        </w:rPr>
        <w:fldChar w:fldCharType="end"/>
      </w:r>
      <w:r>
        <w:rPr>
          <w:rFonts w:ascii="Times New Roman" w:hAnsi="Times New Roman" w:cs="Times New Roman"/>
          <w:sz w:val="24"/>
          <w:szCs w:val="24"/>
        </w:rPr>
        <w:t>.</w:t>
      </w:r>
    </w:p>
    <w:p w14:paraId="61414FC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Body Composition and Metabolic Rate</w:t>
      </w:r>
    </w:p>
    <w:p w14:paraId="219DECA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Individual variations in body composition and metabolic rate can impact drug distribution and metabolism. Factors such as obesity or a high metabolic rate may influence the pharmacokinetics of certain drugs.</w:t>
      </w:r>
    </w:p>
    <w:p w14:paraId="428C32A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drug metabolism is influenced by a multitude of factors, including genetic variability, drug-drug interactions, environmental factors, and physiological parameters. Genetic polymorphisms in drug-metabolizing enzymes contribute to individual variability in drug responses. Drug-drug interactions can lead to alterations in enzyme activity, impacting the metabolism of co-administered drugs. Environmental factors, including liver health, dietary habits, and lifestyle, can also modulate drug metabolism. Understanding these factors is essential for tailoring drug therapy, minimizing adverse effects, and advancing the field of personalized medicine. As pharmacology continues to evolve, a comprehensive consideration of these influencers will be integral in optimizing drug regimens for diverse patient populations.</w:t>
      </w:r>
    </w:p>
    <w:p w14:paraId="177F4FA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role of drug metabolism in drug clearance and elimination from the body.</w:t>
      </w:r>
    </w:p>
    <w:p w14:paraId="0A1EF17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a crucial component of pharmacokinetics, plays a pivotal role in the clearance and elimination of drugs from the body. The processes of drug clearance and elimination are intricately linked to the biotransformation of xenobiotics, including drugs, into metabolites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{"citationItems":[{"id":"ITEM-1","itemData":{"DOI":"10.1002/cpt.757","ISSN":"15326535","abstract":"Recent advances in the identification and characterization of renal drug transporters and drug-metabolizing enzymes has led to greater understanding of their roles in drug and chemical elimination and in modulation of the intrarenal exposure and response to drugs, nephrotoxic compounds, and physiological mediators. Furthermore, there is increasing awareness of the potential importance of drug–drug interactions (DDIs) arising from inhibition of renal transporters, and regulatory agencies now provide recommendations for the evaluation of transporter-mediated DDIs. Apart from the well-recognized effects of kidney disease on renal drug clearance, there is a growing body of evidence demonstrating that the nonrenal clearances of drugs eliminated by certain transporters and drug-metabolizing enzymes are decreased in patients with chronic kidney disease (CKD). Based on these observations, renal impairment guidance documents of regulatory agencies recommend pharmacokinetic characterization of both renally cleared and nonrenally cleared drugs in CKD patients to inform possible dosage adjustment.","author":[{"dropping-particle":"","family":"Miners","given":"J. O.","non-dropping-particle":"","parse-names":false,"suffix":""},{"dropping-particle":"","family":"Yang","given":"X.","non-dropping-particle":"","parse-names":false,"suffix":""},{"dropping-particle":"","family":"Knights","given":"K. M.","non-dropping-particle":"","parse-names":false,"suffix":""},{"dropping-particle":"","family":"Zhang","given":"L.","non-dropping-particle":"","parse-names":false,"suffix":""}],"container-title":"Clinical Pharmacology and Therapeutics","id":"ITEM-1","issue":"3","issued":{"date-parts":[["2017"]]},"title":"The Role of the Kidney in Drug Elimination: Transport, Metabolism, and the Impact of Kidney Disease on Drug Clearance","type":"article-journal","volume":"102"},"uris":["http://www.mendeley.com/documents/?uuid=5ea785e0-baa9-3363-b125-675a1a109483"]}],"mendeley":{"formattedCitation":"(Miners et al., 2017)","plainTextFormattedCitation":"(Miners et al., 2017)","previouslyFormattedCitation":"(Miners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(Miners et al., 2017)</w:t>
      </w:r>
      <w:r>
        <w:rPr>
          <w:rFonts w:ascii="Times New Roman" w:hAnsi="Times New Roman" w:cs="Times New Roman"/>
          <w:sz w:val="24"/>
          <w:szCs w:val="24"/>
        </w:rPr>
        <w:fldChar w:fldCharType="end"/>
      </w:r>
      <w:r>
        <w:rPr>
          <w:rFonts w:ascii="Times New Roman" w:hAnsi="Times New Roman" w:cs="Times New Roman"/>
          <w:sz w:val="24"/>
          <w:szCs w:val="24"/>
        </w:rPr>
        <w:t>. Understanding this relationship is essential for predicting drug behavior, optimizing therapeutic outcomes, and minimizing potential adverse effects.</w:t>
      </w:r>
    </w:p>
    <w:p w14:paraId="60212BA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 Metabolism and Biotransformation</w:t>
      </w:r>
    </w:p>
    <w:p w14:paraId="7393A67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Enzymatic Processes in the Liver</w:t>
      </w:r>
    </w:p>
    <w:p w14:paraId="0265068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liver, as the primary site of drug metabolism, is equipped with a diverse array of enzymes, most notably the cytochrome P450 (CYP) family and conjugating enzymes. These enzymes catalyze various reactions, including oxidation, reduction, hydrolysis, and conjugation, transforming drugs into more water-soluble metabolites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{"citationItems":[{"id":"ITEM-1","itemData":{"DOI":"10.1007/BF02977789","ISSN":"02536269","abstract":"Drug metabolizing enzymes (DMEs) play central roles in the metabolism, elimination and detoxification of xenobiotics and drugs introduced into the human body. Most of the tissues and organs in our body are well equipped with diverse and various DMEs including phase I, phase II metabolizing enzymes and phase III transporters, which are present in abundance either at the basal unstimulated level, and/or are inducible at elevated level after exposure to xenobiotics. Recently, many important advances have been made in the mechanisms that regulate the expression of these drug metabolism genes. Various nuclear receptors including the aryl hydrocarbon receptor (AhR), orphan nuclear receptors, and nuclear factor-erythoroid 2 p45-related factor 2 (Nrf2) have been shown to be the key mediators of drug-induced changes in phase I, phase II metabolizing enzymes as well as phase III transporters involved in efflux mechanisms. For instance, the expression of CYP1 genes can be induced by AhR, which dimerizes with the AhR nuclear translocator (Arnt), in response to many polycyclic aromatic hydrocarbon (PAHs). Similarly, the steroid family of orphan nuclear receptors, the constitutive androstane receptor (CAR) and pregnane X receptor (PXR), both heterodimerize with the retinoid X receptor (RXR), are shown to transcriptionally activate the promoters of CYP2B and CYP3A gene expression by xenobiotics such as phenobarbital-like compounds (CAR) and dexamethasone and rifampin-type of agents (PXR). The peroxisome proliferator activated receptor (PPAR), which is one of the first characterized members of the nuclear hormone receptor, also dimerizes with RXR and has been shown to be activated by lipid lowering agent fibrate-type of compounds leading to transcriptional activation of the promoters on CYP4A gene. CYP7A was recognized as the first target gene of the liver X receptor (LXR), in which the elimination of cholesterol depends on CYP7A. Farnesoid X receptor (FXR) was identified as a bile acid receptor, and its activation results in the inhibition of hepatic acid biosynthesis and increased transport of bile acids from intestinal lumen to the liver, and CYP7A is one of its target genes. The transcriptional activation by these receptors upon binding to the promoters located at the 5-flanking region of these CYP genes generally leads to the induction of their mRNA gene expression. The physiological and the pharmacological implications of common partner of RXR for CAR, PXR, PPAR,…","author":[{"dropping-particle":"","family":"Xu","given":"Changjiang","non-dropping-particle":"","parse-names":false,"suffix":""},{"dropping-particle":"","family":"Li","given":"Christina Yong Tao","non-dropping-particle":"","parse-names":false,"suffix":""},{"dropping-particle":"","family":"Kong","given":"Ah Ng Tony","non-dropping-particle":"","parse-names":false,"suffix":""}],"container-title":"Archives of Pharmacal Research","id":"ITEM-1","issue":"3","issued":{"date-parts":[["2005"]]},"title":"Induction of phase I, II and III drug metabolism/transport by xenobiotics","type":"article","volume":"28"},"uris":["http://www.mendeley.com/documents/?uuid=c2e82e89-dcec-3c14-beed-1adbb88cc7e6"]}],"mendeley":{"formattedCitation":"(Xu et al., 2005)","plainTextFormattedCitation":"(Xu et al., 2005)","previouslyFormattedCitation":"(Xu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(Xu et al., 2005)</w:t>
      </w:r>
      <w:r>
        <w:rPr>
          <w:rFonts w:ascii="Times New Roman" w:hAnsi="Times New Roman" w:cs="Times New Roman"/>
          <w:sz w:val="24"/>
          <w:szCs w:val="24"/>
        </w:rPr>
        <w:fldChar w:fldCharType="end"/>
      </w:r>
      <w:r>
        <w:rPr>
          <w:rFonts w:ascii="Times New Roman" w:hAnsi="Times New Roman" w:cs="Times New Roman"/>
          <w:sz w:val="24"/>
          <w:szCs w:val="24"/>
        </w:rPr>
        <w:t>.</w:t>
      </w:r>
    </w:p>
    <w:p w14:paraId="78B956C4" w14:textId="5510FCAB" w:rsidR="00460EB1" w:rsidRDefault="00460EB1" w:rsidP="00460EB1">
      <w:pPr>
        <w:spacing w:line="480" w:lineRule="auto"/>
        <w:ind w:firstLine="720"/>
        <w:jc w:val="center"/>
        <w:rPr>
          <w:rFonts w:ascii="Times New Roman" w:hAnsi="Times New Roman" w:cs="Times New Roman"/>
          <w:sz w:val="24"/>
          <w:szCs w:val="24"/>
        </w:rPr>
      </w:pPr>
      <w:r>
        <w:rPr>
          <w:noProof/>
        </w:rPr>
        <w:drawing>
          <wp:inline distT="0" distB="0" distL="0" distR="0" wp14:anchorId="12E26B78" wp14:editId="4CEA56CE">
            <wp:extent cx="4600575" cy="3448050"/>
            <wp:effectExtent l="0" t="0" r="9525" b="0"/>
            <wp:docPr id="6" name="Picture 6" descr="The Science of Detoxification: How Phase I Relates to Health - SelfDecode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Science of Detoxification: How Phase I Relates to Health - SelfDecode  Healt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3448050"/>
                    </a:xfrm>
                    <a:prstGeom prst="rect">
                      <a:avLst/>
                    </a:prstGeom>
                    <a:noFill/>
                    <a:ln>
                      <a:noFill/>
                    </a:ln>
                  </pic:spPr>
                </pic:pic>
              </a:graphicData>
            </a:graphic>
          </wp:inline>
        </w:drawing>
      </w:r>
    </w:p>
    <w:p w14:paraId="79428D98" w14:textId="77777777" w:rsidR="00460EB1" w:rsidRDefault="00460EB1" w:rsidP="00460EB1">
      <w:pPr>
        <w:spacing w:line="480" w:lineRule="auto"/>
        <w:ind w:firstLine="720"/>
        <w:jc w:val="center"/>
        <w:rPr>
          <w:rFonts w:ascii="Times New Roman" w:hAnsi="Times New Roman" w:cs="Times New Roman"/>
          <w:b/>
          <w:i/>
          <w:sz w:val="24"/>
          <w:szCs w:val="24"/>
        </w:rPr>
      </w:pPr>
      <w:r>
        <w:rPr>
          <w:rFonts w:ascii="Times New Roman" w:hAnsi="Times New Roman" w:cs="Times New Roman"/>
          <w:b/>
          <w:i/>
          <w:sz w:val="24"/>
          <w:szCs w:val="24"/>
        </w:rPr>
        <w:t xml:space="preserve">Source: </w:t>
      </w:r>
      <w:r>
        <w:rPr>
          <w:rFonts w:ascii="Times New Roman" w:hAnsi="Times New Roman" w:cs="Times New Roman"/>
          <w:b/>
          <w:i/>
          <w:sz w:val="24"/>
          <w:szCs w:val="24"/>
        </w:rPr>
        <w:fldChar w:fldCharType="begin" w:fldLock="1"/>
      </w:r>
      <w:r>
        <w:rPr>
          <w:rFonts w:ascii="Times New Roman" w:hAnsi="Times New Roman" w:cs="Times New Roman"/>
          <w:b/>
          <w:i/>
          <w:sz w:val="24"/>
          <w:szCs w:val="24"/>
        </w:rPr>
        <w:instrText>ADDIN CSL_CITATION {"citationItems":[{"id":"ITEM-1","itemData":{"DOI":"10.1007/BF02977789","ISSN":"02536269","abstract":"Drug metabolizing enzymes (DMEs) play central roles in the metabolism, elimination and detoxification of xenobiotics and drugs introduced into the human body. Most of the tissues and organs in our body are well equipped with diverse and various DMEs including phase I, phase II metabolizing enzymes and phase III transporters, which are present in abundance either at the basal unstimulated level, and/or are inducible at elevated level after exposure to xenobiotics. Recently, many important advances have been made in the mechanisms that regulate the expression of these drug metabolism genes. Various nuclear receptors including the aryl hydrocarbon receptor (AhR), orphan nuclear receptors, and nuclear factor-erythoroid 2 p45-related factor 2 (Nrf2) have been shown to be the key mediators of drug-induced changes in phase I, phase II metabolizing enzymes as well as phase III transporters involved in efflux mechanisms. For instance, the expression of CYP1 genes can be induced by AhR, which dimerizes with the AhR nuclear translocator (Arnt), in response to many polycyclic aromatic hydrocarbon (PAHs). Similarly, the steroid family of orphan nuclear receptors, the constitutive androstane receptor (CAR) and pregnane X receptor (PXR), both heterodimerize with the retinoid X receptor (RXR), are shown to transcriptionally activate the promoters of CYP2B and CYP3A gene expression by xenobiotics such as phenobarbital-like compounds (CAR) and dexamethasone and rifampin-type of agents (PXR). The peroxisome proliferator activated receptor (PPAR), which is one of the first characterized members of the nuclear hormone receptor, also dimerizes with RXR and has been shown to be activated by lipid lowering agent fibrate-type of compounds leading to transcriptional activation of the promoters on CYP4A gene. CYP7A was recognized as the first target gene of the liver X receptor (LXR), in which the elimination of cholesterol depends on CYP7A. Farnesoid X receptor (FXR) was identified as a bile acid receptor, and its activation results in the inhibition of hepatic acid biosynthesis and increased transport of bile acids from intestinal lumen to the liver, and CYP7A is one of its target genes. The transcriptional activation by these receptors upon binding to the promoters located at the 5-flanking region of these CYP genes generally leads to the induction of their mRNA gene expression. The physiological and the pharmacological implications of common partner of RXR for CAR, PXR, PPAR,…","author":[{"dropping-particle":"","family":"Xu","given":"Changjiang","non-dropping-particle":"","parse-names":false,"suffix":""},{"dropping-particle":"","family":"Li","given":"Christina Yong Tao","non-dropping-particle":"","parse-names":false,"suffix":""},{"dropping-particle":"","family":"Kong","given":"Ah Ng Tony","non-dropping-particle":"","parse-names":false,"suffix":""}],"container-title":"Archives of Pharmacal Research","id":"ITEM-1","issue":"3","issued":{"date-parts":[["2005"]]},"title":"Induction of phase I, II and III drug metabolism/transport by xenobiotics","type":"article","volume":"28"},"uris":["http://www.mendeley.com/documents/?uuid=c2e82e89-dcec-3c14-beed-1adbb88cc7e6"]}],"mendeley":{"formattedCitation":"(Xu et al., 2005)","plainTextFormattedCitation":"(Xu et al., 2005)","previouslyFormattedCitation":"(Xu et al., 2005)"},"properties":{"noteIndex":0},"schema":"https://github.com/citation-style-language/schema/raw/master/csl-citation.json"}</w:instrText>
      </w:r>
      <w:r>
        <w:rPr>
          <w:rFonts w:ascii="Times New Roman" w:hAnsi="Times New Roman" w:cs="Times New Roman"/>
          <w:b/>
          <w:i/>
          <w:sz w:val="24"/>
          <w:szCs w:val="24"/>
        </w:rPr>
        <w:fldChar w:fldCharType="separate"/>
      </w:r>
      <w:r>
        <w:rPr>
          <w:rFonts w:ascii="Times New Roman" w:hAnsi="Times New Roman" w:cs="Times New Roman"/>
          <w:b/>
          <w:i/>
          <w:noProof/>
          <w:sz w:val="24"/>
          <w:szCs w:val="24"/>
        </w:rPr>
        <w:t>(Xu et al., 2005)</w:t>
      </w:r>
      <w:r>
        <w:rPr>
          <w:rFonts w:ascii="Times New Roman" w:hAnsi="Times New Roman" w:cs="Times New Roman"/>
          <w:b/>
          <w:i/>
          <w:sz w:val="24"/>
          <w:szCs w:val="24"/>
        </w:rPr>
        <w:fldChar w:fldCharType="end"/>
      </w:r>
      <w:r>
        <w:rPr>
          <w:rFonts w:ascii="Times New Roman" w:hAnsi="Times New Roman" w:cs="Times New Roman"/>
          <w:b/>
          <w:i/>
          <w:sz w:val="24"/>
          <w:szCs w:val="24"/>
        </w:rPr>
        <w:t>.</w:t>
      </w:r>
    </w:p>
    <w:p w14:paraId="093F02D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Phase I and Phase II Reactions</w:t>
      </w:r>
    </w:p>
    <w:p w14:paraId="515BFCD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Phase I reactions, such as oxidation and reduction, introduce or unmask functional groups, while Phase II reactions involve conjugation, adding polar moieties. Together, these reactions enhance the hydrophilicity of drugs, facilitating their elimination from the body.</w:t>
      </w:r>
    </w:p>
    <w:p w14:paraId="50FFBA0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 Clearance</w:t>
      </w:r>
    </w:p>
    <w:p w14:paraId="7D910E1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Definition and Importance</w:t>
      </w:r>
    </w:p>
    <w:p w14:paraId="40D656E1" w14:textId="77777777" w:rsidR="00460EB1" w:rsidRDefault="00460EB1" w:rsidP="00460EB1">
      <w:pPr>
        <w:spacing w:line="480" w:lineRule="auto"/>
        <w:jc w:val="both"/>
        <w:rPr>
          <w:rFonts w:ascii="Times New Roman" w:hAnsi="Times New Roman" w:cs="Times New Roman"/>
          <w:sz w:val="24"/>
          <w:szCs w:val="24"/>
        </w:rPr>
      </w:pPr>
    </w:p>
    <w:p w14:paraId="79CFDD5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clearance refers to the volume of plasma from which a drug is completely removed per unit time. It is a critical parameter that influences the steady-state concentration of a drug in the body. Clearance determines the rate at which a drug is eliminated, impacting its therapeutic efficacy and potential for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{"citationItems":[{"id":"ITEM-1","itemData":{"DOI":"10.1007/BF02977789","ISSN":"02536269","abstract":"Drug metabolizing enzymes (DMEs) play central roles in the metabolism, elimination and detoxification of xenobiotics and drugs introduced into the human body. Most of the tissues and organs in our body are well equipped with diverse and various DMEs including phase I, phase II metabolizing enzymes and phase III transporters, which are present in abundance either at the basal unstimulated level, and/or are inducible at elevated level after exposure to xenobiotics. Recently, many important advances have been made in the mechanisms that regulate the expression of these drug metabolism genes. Various nuclear receptors including the aryl hydrocarbon receptor (AhR), orphan nuclear receptors, and nuclear factor-erythoroid 2 p45-related factor 2 (Nrf2) have been shown to be the key mediators of drug-induced changes in phase I, phase II metabolizing enzymes as well as phase III transporters involved in efflux mechanisms. For instance, the expression of CYP1 genes can be induced by AhR, which dimerizes with the AhR nuclear translocator (Arnt), in response to many polycyclic aromatic hydrocarbon (PAHs). Similarly, the steroid family of orphan nuclear receptors, the constitutive androstane receptor (CAR) and pregnane X receptor (PXR), both heterodimerize with the retinoid X receptor (RXR), are shown to transcriptionally activate the promoters of CYP2B and CYP3A gene expression by xenobiotics such as phenobarbital-like compounds (CAR) and dexamethasone and rifampin-type of agents (PXR). The peroxisome proliferator activated receptor (PPAR), which is one of the first characterized members of the nuclear hormone receptor, also dimerizes with RXR and has been shown to be activated by lipid lowering agent fibrate-type of compounds leading to transcriptional activation of the promoters on CYP4A gene. CYP7A was recognized as the first target gene of the liver X receptor (LXR), in which the elimination of cholesterol depends on CYP7A. Farnesoid X receptor (FXR) was identified as a bile acid receptor, and its activation results in the inhibition of hepatic acid biosynthesis and increased transport of bile acids from intestinal lumen to the liver, and CYP7A is one of its target genes. The transcriptional activation by these receptors upon binding to the promoters located at the 5-flanking region of these CYP genes generally leads to the induction of their mRNA gene expression. The physiological and the pharmacological implications of common partner of RXR for CAR, PXR, PPAR,…","author":[{"dropping-particle":"","family":"Xu","given":"Changjiang","non-dropping-particle":"","parse-names":false,"suffix":""},{"dropping-particle":"","family":"Li","given":"Christina Yong Tao","non-dropping-particle":"","parse-names":false,"suffix":""},{"dropping-particle":"","family":"Kong","given":"Ah Ng Tony","non-dropping-particle":"","parse-names":false,"suffix":""}],"container-title":"Archives of Pharmacal Research","id":"ITEM-1","issue":"3","issued":{"date-parts":[["2005"]]},"title":"Induction of phase I, II and III drug metabolism/transport by xenobiotics","type":"article","volume":"28"},"uris":["http://www.mendeley.com/documents/?uuid=c2e82e89-dcec-3c14-beed-1adbb88cc7e6"]}],"mendeley":{"formattedCitation":"(Xu et al., 2005)","plainTextFormattedCitation":"(Xu et al., 2005)","previouslyFormattedCitation":"(Xu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(Xu et al., 2005)</w:t>
      </w:r>
      <w:r>
        <w:rPr>
          <w:rFonts w:ascii="Times New Roman" w:hAnsi="Times New Roman" w:cs="Times New Roman"/>
          <w:sz w:val="24"/>
          <w:szCs w:val="24"/>
        </w:rPr>
        <w:fldChar w:fldCharType="end"/>
      </w:r>
      <w:r>
        <w:rPr>
          <w:rFonts w:ascii="Times New Roman" w:hAnsi="Times New Roman" w:cs="Times New Roman"/>
          <w:sz w:val="24"/>
          <w:szCs w:val="24"/>
        </w:rPr>
        <w:t>.</w:t>
      </w:r>
    </w:p>
    <w:p w14:paraId="366C1AA4"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Clearance and Metabolism Connection</w:t>
      </w:r>
    </w:p>
    <w:p w14:paraId="6C46E81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clearance is closely tied to the efficiency of drug metabolism. The conversion of a drug into more water-soluble metabolites through biotransformation enhances its clearance from the bloodstream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{"citationItems":[{"id":"ITEM-1","itemData":{"DOI":"10.2165/00003088-199426020-00007","ISSN":"11791926","abstract":"Although the liver plays the major role in drug metabolism [e.g. by oxidative cytochrome P450 (CYP)-dependent phase I and conjugation or phase II reactions], drug metabolising enzymes are also present at other sites. Depending on the particular drug and enzymes involved, these extrahepatic organs and/or tissues can contribute to the elimination of drugs and, thus, should be considered in any discussion of drug disposition. By the use of relatively new techniques in molecular biology, e.g. immunoblotting with antibodies directed to various CYP isoenzymes, the tissue and organ distribution of these drug metabolising enzymes can be determined. In addition, microsomal and cytosolic enzyme activity and capacity can be directly assessed in vitro by incubation of the enzymes with the drugs of interest. Both approaches have demonstrated the presence of 3 CYP families at different extrahepatic sites, such as the mucosa of the gastrointestinal tract, kidney, lung, brain or skin. Enzymes including epoxide hydrolases, hydrolysing enzymes, glutathione S-transferases, UDP-glucuronosyltransferases, sulphotransferases, N-acetyltransferases, and methyltransferases are discussed. Indirect evidence of extrahepatic drug metabolism can be generated from pharmacokinetic studies whenever total body clearance exceeds liver blood flow, or when severe liver dysfunction or anhepatic conditions do not affect metabolic clearance. Indeed, extrahepatic metabolism has been demonstrated for numerous drugs. Therefore, the metabolic profile and sites of enzymatic reactions for each drug should be determined. © 1994, Adis International Limited. All rights reserved.","author":[{"dropping-particle":"","family":"Krishna","given":"Devarakonda R.","non-dropping-particle":"","parse-names":false,"suffix":""},{"dropping-particle":"","family":"Klotz","given":"Ulrich","non-dropping-particle":"","parse-names":false,"suffix":""}],"container-title":"Clinical Pharmacokinetics","id":"ITEM-1","issue":"2","issued":{"date-parts":[["1994"]]},"title":"Extrahepatic Metabolism of Drugs in Humans","type":"article","volume":"26"},"uris":["http://www.mendeley.com/documents/?uuid=8c0e51e9-eba3-3b8d-a21c-9eb648eeca2b"]}],"mendeley":{"formattedCitation":"(D. R. Krishna &amp; Klotz, 1994)","plainTextFormattedCitation":"(D. R. Krishna &amp; Klotz, 1994)","previouslyFormattedCitation":"(D. R. Krishna &amp; Klotz, 1994)"},"properties":{"noteIndex":0},"schema":"https://github.com/citation-style-language/schema/raw/master/csl-citation.json"}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 R. Krishna &amp; Klotz, 1994)</w:t>
      </w:r>
      <w:r>
        <w:rPr>
          <w:rFonts w:ascii="Times New Roman" w:hAnsi="Times New Roman" w:cs="Times New Roman"/>
          <w:sz w:val="24"/>
          <w:szCs w:val="24"/>
        </w:rPr>
        <w:fldChar w:fldCharType="end"/>
      </w:r>
      <w:r>
        <w:rPr>
          <w:rFonts w:ascii="Times New Roman" w:hAnsi="Times New Roman" w:cs="Times New Roman"/>
          <w:sz w:val="24"/>
          <w:szCs w:val="24"/>
        </w:rPr>
        <w:t>. The liver's role in drug metabolism contributes significantly to overall drug clearance.</w:t>
      </w:r>
    </w:p>
    <w:p w14:paraId="77434E8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Hepatic Clearance</w:t>
      </w:r>
    </w:p>
    <w:p w14:paraId="6C28F25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Hepatic clearance, primarily driven by liver metabolism, is a major determinant of drug clearance. The intrinsic clearance of a drug by the liver reflects the organ's ability to metabolize and eliminate the drug. High hepatic clearance indicates efficient metabolism and rapid drug elimination.</w:t>
      </w:r>
    </w:p>
    <w:p w14:paraId="79E6480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Renal Elimination</w:t>
      </w:r>
    </w:p>
    <w:p w14:paraId="12660C9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Excretion through Urine</w:t>
      </w:r>
    </w:p>
    <w:p w14:paraId="6FFD9A7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the liver plays a central role in drug metabolism, the elimination of water-soluble metabolites occurs primarily through the kidneys. Renal elimination involves the excretion of drugs and their metabolites into the urine, influenced by factors such as glomerular filtration, tubular secretion, and reabsorption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{"citationItems":[{"id":"ITEM-1","itemData":{"DOI":"10.1016/j.ejps.2005.12.003","ISSN":"09280987","abstract":"Transporters play an important role in the processes of drug absorption, distribution and excretion. In this review, we have focused on the involvement of transporters in drug excretion in the liver and kidney. The rate of transporter-mediated uptake and efflux determines the rate of renal and hepatobiliary elimination. Transporters are thus important as a determinant of the clearance in the body. Even when drugs ultimately undergo metabolism, their elimination rate is sometimes determined by the uptake rate mediated by transporters. Transporters regulate the pharmacological and/or toxicological effect of drugs because they limit their distribution to tissues responsible for their effect and/or toxicity. For example, the liver-specific distribution of some statins via organic anion transporters helps them to produce their high pharmacological effect. On the other hand, as in the case of metformin taken up by organic cation transporter 1, drug distribution to the tissue(s) may enhance its toxicity. As transporter-mediated uptake is a determinant of the drug elimination rate, drug-drug interactions involving the process of transporter-mediated uptake can occur. In this review, we have introduced some examples and described their mechanisms. More recently, some methods to analyze such transporter-mediated transport have been reported. The estimation of the contributions of transporters to the net clearance of a drug makes it possible to predict the net clearance from data involving drug transport in transporter-expressing cells. Double transfected cells, where both uptake and efflux transporters are expressed on the same polarized cells, are also helpful for the analysis of the rate of transporter-mediated transcellular transport. © 2005 Elsevier B.V. All rights reserved.","author":[{"dropping-particle":"","family":"Shitara","given":"Yoshihisa","non-dropping-particle":"","parse-names":false,"suffix":""},{"dropping-particle":"","family":"Horie","given":"Toshiharu","non-dropping-particle":"","parse-names":false,"suffix":""},{"dropping-particle":"","family":"Sugiyama","given":"Yuichi","non-dropping-particle":"","parse-names":false,"suffix":""}],"container-title":"European Journal of Pharmaceutical Sciences","id":"ITEM-1","issue":"5","issued":{"date-parts":[["2006"]]},"title":"Transporters as a determinant of drug clearance and tissue distribution","type":"article","volume":"27"},"uris":["http://www.mendeley.com/documents/?uuid=c9ac30c0-2a3d-348f-9fba-8dcbf8a16723"]}],"mendeley":{"formattedCitation":"(Shitara et al., 2006)","plainTextFormattedCitation":"(Shitara et al., 2006)","previouslyFormattedCitation":"(Shitara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(Shitara et al., 2006)</w:t>
      </w:r>
      <w:r>
        <w:rPr>
          <w:rFonts w:ascii="Times New Roman" w:hAnsi="Times New Roman" w:cs="Times New Roman"/>
          <w:sz w:val="24"/>
          <w:szCs w:val="24"/>
        </w:rPr>
        <w:fldChar w:fldCharType="end"/>
      </w:r>
      <w:r>
        <w:rPr>
          <w:rFonts w:ascii="Times New Roman" w:hAnsi="Times New Roman" w:cs="Times New Roman"/>
          <w:sz w:val="24"/>
          <w:szCs w:val="24"/>
        </w:rPr>
        <w:t>.</w:t>
      </w:r>
    </w:p>
    <w:p w14:paraId="6F1B245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Renal Clearance</w:t>
      </w:r>
    </w:p>
    <w:p w14:paraId="7F4CF8AF" w14:textId="77777777" w:rsidR="00460EB1" w:rsidRDefault="00460EB1" w:rsidP="00460EB1">
      <w:pPr>
        <w:spacing w:line="480" w:lineRule="auto"/>
        <w:ind w:firstLine="720"/>
        <w:jc w:val="both"/>
        <w:rPr>
          <w:rFonts w:ascii="Times New Roman" w:hAnsi="Times New Roman" w:cs="Times New Roman"/>
          <w:b/>
          <w:i/>
          <w:sz w:val="24"/>
          <w:szCs w:val="24"/>
        </w:rPr>
      </w:pPr>
      <w:r>
        <w:rPr>
          <w:rFonts w:ascii="Times New Roman" w:hAnsi="Times New Roman" w:cs="Times New Roman"/>
          <w:sz w:val="24"/>
          <w:szCs w:val="24"/>
        </w:rPr>
        <w:t xml:space="preserve">Renal clearance represents the volume of plasma cleared of a drug by the kidneys per unit time. It encompasses both glomerular filtration and tubular secretion. Drugs and their metabolites are filtered at the glomerulus, with subsequent secretion into the renal tubules enhancing elimination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{"citationItems":[{"id":"ITEM-1","itemData":{"DOI":"10.1016/j.ejps.2005.12.003","ISSN":"09280987","abstract":"Transporters play an important role in the processes of drug absorption, distribution and excretion. In this review, we have focused on the involvement of transporters in drug excretion in the liver and kidney. The rate of transporter-mediated uptake and efflux determines the rate of renal and hepatobiliary elimination. Transporters are thus important as a determinant of the clearance in the body. Even when drugs ultimately undergo metabolism, their elimination rate is sometimes determined by the uptake rate mediated by transporters. Transporters regulate the pharmacological and/or toxicological effect of drugs because they limit their distribution to tissues responsible for their effect and/or toxicity. For example, the liver-specific distribution of some statins via organic anion transporters helps them to produce their high pharmacological effect. On the other hand, as in the case of metformin taken up by organic cation transporter 1, drug distribution to the tissue(s) may enhance its toxicity. As transporter-mediated uptake is a determinant of the drug elimination rate, drug-drug interactions involving the process of transporter-mediated uptake can occur. In this review, we have introduced some examples and described their mechanisms. More recently, some methods to analyze such transporter-mediated transport have been reported. The estimation of the contributions of transporters to the net clearance of a drug makes it possible to predict the net clearance from data involving drug transport in transporter-expressing cells. Double transfected cells, where both uptake and efflux transporters are expressed on the same polarized cells, are also helpful for the analysis of the rate of transporter-mediated transcellular transport. © 2005 Elsevier B.V. All rights reserved.","author":[{"dropping-particle":"","family":"Shitara","given":"Yoshihisa","non-dropping-particle":"","parse-names":false,"suffix":""},{"dropping-particle":"","family":"Horie","given":"Toshiharu","non-dropping-particle":"","parse-names":false,"suffix":""},{"dropping-particle":"","family":"Sugiyama","given":"Yuichi","non-dropping-particle":"","parse-names":false,"suffix":""}],"container-title":"European Journal of Pharmaceutical Sciences","id":"ITEM-1","issue":"5","issued":{"date-parts":[["2006"]]},"title":"Transporters as a determinant of drug clearance and tissue distribution","type":"article","volume":"27"},"uris":["http://www.mendeley.com/documents/?uuid=c9ac30c0-2a3d-348f-9fba-8dcbf8a16723"]}],"mendeley":{"formattedCitation":"(Shitara et al., 2006)","plainTextFormattedCitation":"(Shitara et al., 2006)","previouslyFormattedCitation":"(Shitara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(Shitara et al., 2006)</w:t>
      </w:r>
      <w:r>
        <w:rPr>
          <w:rFonts w:ascii="Times New Roman" w:hAnsi="Times New Roman" w:cs="Times New Roman"/>
          <w:sz w:val="24"/>
          <w:szCs w:val="24"/>
        </w:rPr>
        <w:fldChar w:fldCharType="end"/>
      </w:r>
      <w:r>
        <w:rPr>
          <w:rFonts w:ascii="Times New Roman" w:hAnsi="Times New Roman" w:cs="Times New Roman"/>
          <w:sz w:val="24"/>
          <w:szCs w:val="24"/>
        </w:rPr>
        <w:t>.</w:t>
      </w:r>
    </w:p>
    <w:p w14:paraId="46ED59DE"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Impact of Drug Metabolism on Pharmacokinetics</w:t>
      </w:r>
    </w:p>
    <w:p w14:paraId="1A9D831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Half-Life and Steady-State Concentrations</w:t>
      </w:r>
    </w:p>
    <w:p w14:paraId="27BA392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significantly influences the half-life of a drug—the time required for its concentration to decrease by half. Efficient metabolism leads to a shorter half-life, indicating rapid elimination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{"citationItems":[{"id":"ITEM-1","itemData":{"ISSN":"e-2322-0139 p-2322-0120","abstract":"The review mainly discusses the impact of alcohol on the drug metabolism and alcohol-drug pharmacokinetic interactions. Many drugs can interact with alcohol, thereby altering the metabolism or effects of alcohol on the drugs. Drugs may affect the pharmacokinetics of alcohol by altering gastric emptying and inhibiting gastric alcohol dehydrogenase. Liquor can influence the pharmacokinetics of medications by adjusting gastric exhausting or liver digestion system (by inciting cytochrome P450 2E1). Medications may influence the pharmacokinetics of liquor by modifying gastric exhausting and restraining gastric liquor dehydrogenase. Alcohol can affect the pharmacokinetics of drugs by altering gastric emptying or liver metabolism. Many alcohol-drug interactions occur at the level of actual metabolism. Alcohol intake can alter the pharmacokinetics of medications, including their absorption and metabolism. Conversely, alcohol pharmacokinetics can also be altered by medications. Drugs may affect the pharmacokinetics of alcohol by altering gastric emptying and inhibiting gastric alcohol dehydrogenase. The mechanism of alcohol-medication interactions and Some Specific Interactions are discussed. INTRODUCTION","author":[{"dropping-particle":"","family":"Srividya","given":"B","non-dropping-particle":"","parse-names":false,"suffix":""}],"container-title":"Journal of Pharmacology and Toxicological Studies","id":"ITEM-1","issue":"2","issued":{"date-parts":[["2016"]]},"title":"Impact of Alcohol on Drug Metabolism and Alcohol-Drug Pharmacokinetic Interactions in Alcoholics","type":"article-journal","volume":"4"},"uris":["http://www.mendeley.com/documents/?uuid=7dc5348b-428a-3c5b-8ed1-b67c5c9e695b"]}],"mendeley":{"formattedCitation":"(Srividya, 2016)","plainTextFormattedCitation":"(Srividya, 2016)","previouslyFormattedCitation":"(Srividya,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(Srividya, 2016)</w:t>
      </w:r>
      <w:r>
        <w:rPr>
          <w:rFonts w:ascii="Times New Roman" w:hAnsi="Times New Roman" w:cs="Times New Roman"/>
          <w:sz w:val="24"/>
          <w:szCs w:val="24"/>
        </w:rPr>
        <w:fldChar w:fldCharType="end"/>
      </w:r>
      <w:r>
        <w:rPr>
          <w:rFonts w:ascii="Times New Roman" w:hAnsi="Times New Roman" w:cs="Times New Roman"/>
          <w:sz w:val="24"/>
          <w:szCs w:val="24"/>
        </w:rPr>
        <w:t>. The relationship between drug clearance, metabolism, and half-life is crucial in determining steady-state concentrations during chronic administration.</w:t>
      </w:r>
    </w:p>
    <w:p w14:paraId="2E308C4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Individual Variation in Clearance</w:t>
      </w:r>
    </w:p>
    <w:p w14:paraId="17824F3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polymorphisms in drug-metabolizing enzymes contribute to inter-individual variability in drug clearance. Individuals with genetic variations leading to enhanced enzyme activity may experience faster clearance, impacting drug efficacy and response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{"citationItems":[{"id":"ITEM-1","itemData":{"DOI":"10.2174/1389200219666180523094635","ISSN":"13892002","abstract":"© 2018 Bentham Science Publishers. Background: Drug Metabolism and Pharmacokinetic (DMPK) studies of Taxus natural products, their semi-synthetic derivatives and analogs are indispensable in the optimization of lead compounds and clinical therapy. These studies can lead to development of new drug entities with improved Absorption, Distribution, Metabolism, Excretion and Toxicity (ADME/T) profiles. To date, there have been no comprehensive reviews of the DMPK features of Taxus derived medicinal compounds. Natural and semi-synthetic taxanes may cause and could be affected by Drug-drug Interaction (DDI). Hence ADME/T studies of various taxane-containing formulations are important; to date these studies indicate that the role of cytochrome p450s and drug transporters is more prominent than phase II drug metabolizing enzymes. Mechanisms of taxane DMPK mediated by nuclear receptors, microRNAs, and single nucleotide polymorphisms are being revealed. Method: Herein we review the latest knowledge on these topics, as well as the gaps in knowledge of the DMPK issues of Taxus compounds. Results and Conclusion: DDIs significantly impact the PK/pharmacodynamics performance of taxanes and co-administered chemicals, which may inspire researchers to develop novel formula. While the ADME/T profiles of some taxanes are well defined, DMPK studies should be extended to more Taxus compounds, species, and Taxus-involved formulations, which would be streamlined by versatile omics platforms and computational analyses. Further biopharmaceutical investigations will be beneficial to the translation of bench findings to the clinical applications.","author":[{"dropping-particle":"","family":"Hao","given":"Da-Cheng","non-dropping-particle":"","parse-names":false,"suffix":""},{"dropping-particle":"","family":"Ge","given":"Guang-Bo","non-dropping-particle":"","parse-names":false,"suffix":""},{"dropping-particle":"","family":"Wang","given":"Ping","non-dropping-particle":"","parse-names":false,"suffix":""},{"dropping-particle":"","family":"Yang","given":"Ling","non-dropping-particle":"","parse-names":false,"suffix":""}],"container-title":"Current Drug Metabolism","id":"ITEM-1","issue":"11","issued":{"date-parts":[["2018"]]},"title":"Impact of Drug Metabolism/Pharmacokinetics and their Relevance Upon Taxus-based Drug Development","type":"article-journal","volume":"19"},"uris":["http://www.mendeley.com/documents/?uuid=66323076-3388-3a90-a439-1d76a450dfc7"]}],"mendeley":{"formattedCitation":"(Hao et al., 2018)","plainTextFormattedCitation":"(Hao et al., 2018)","previouslyFormattedCitation":"(Hao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(Hao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D25DF7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Challenges and Considerations:</w:t>
      </w:r>
    </w:p>
    <w:p w14:paraId="30FC084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Metabolic Saturation</w:t>
      </w:r>
    </w:p>
    <w:p w14:paraId="4FD5FFB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Metabolic pathways can become saturated at high drug concentrations, leading to nonlinear kinetics. In such cases, clearance becomes less predictable, and the relationship between dose and plasma concentration may not follow typical linear patterns.</w:t>
      </w:r>
    </w:p>
    <w:p w14:paraId="5FC07968"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Drug-Drug Interactions</w:t>
      </w:r>
    </w:p>
    <w:p w14:paraId="75FE67C4" w14:textId="77777777" w:rsidR="00460EB1" w:rsidRDefault="00460EB1" w:rsidP="00460EB1">
      <w:pPr>
        <w:spacing w:line="480" w:lineRule="auto"/>
        <w:jc w:val="both"/>
        <w:rPr>
          <w:rFonts w:ascii="Times New Roman" w:hAnsi="Times New Roman" w:cs="Times New Roman"/>
          <w:sz w:val="24"/>
          <w:szCs w:val="24"/>
        </w:rPr>
      </w:pPr>
    </w:p>
    <w:p w14:paraId="3BDFB40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Co-administered drugs may influence the activity of drug-metabolizing enzymes, affecting the clearance of both drugs. Enzyme induction or inhibition can alter the metabolism of co-administered drugs, necessitating careful consideration to avoid unintended interactions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{"citationItems":[{"id":"ITEM-1","itemData":{"DOI":"10.2174/1389200220666190618101526","ISSN":"13892002","abstract":"© 2019 Bentham Science Publishers. Background: The representative cardiovascular herbs, i.e. Panax, Ligusticum, Carthamus, and Pueraria plants, are traditionally and globally used in the prevention and treatment of various cardiovascular diseases. Modern phytochemical studies have found many medicinal compounds from these plants, and their unique pharmacological activities are being revealed. However, there are few reviews that systematically summarize the current trends of Drug Metabolism/Pharmacokinetic (DMPK) investigations of cardiovascular herbs. Methods: Here, the latest understanding, as well as the knowledge gaps of the DMPK issues in drug development and clinical usage of cardiovascular herbal compounds, was highlighted. Results: The complicated herb-herb interactions of cardiovascular Traditional Chinese Medicine (TCM) herb pair/formula significantly impact the PK/pharmacodynamic performance of compounds thereof, which may inspire researchers to develop a novel herbal formula for the optimized outcome of different cardiovascular diseases. While the Absorption, Distribution, Metabolism, Excretion and Toxicity (ADME/T) of some compounds has been deciphered, DMPK studies should be extended to more cardiovascular compounds of different medicinal parts, species (including animals), and formulations, and could be streamlined by versatile omics platforms and computational analyses. Conclusion: In the context of systems pharmacology, the DMPK knowledge base is expected to translate bench findings to clinical applications, as well as foster cardiovascular drug discovery and development.","author":[{"dropping-particle":"","family":"Hao","given":"Da-Cheng","non-dropping-particle":"","parse-names":false,"suffix":""},{"dropping-particle":"","family":"Xiao","given":"Pei-gen","non-dropping-particle":"","parse-names":false,"suffix":""}],"container-title":"Current Drug Metabolism","id":"ITEM-1","issue":"7","issued":{"date-parts":[["2019"]]},"title":"Impact of Drug Metabolism/Pharmacokinetics and their Relevance Upon Traditional Medicine-based Cardiovascular Drug Research","type":"article-journal","volume":"20"},"uris":["http://www.mendeley.com/documents/?uuid=137ef466-736e-3404-8743-7798a4bae035"]}],"mendeley":{"formattedCitation":"(Hao &amp; Xiao, 2019)","plainTextFormattedCitation":"(Hao &amp; Xiao, 2019)","previouslyFormattedCitation":"(Hao &amp; Xiao,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(Hao &amp; Xiao, 2019)</w:t>
      </w:r>
      <w:r>
        <w:rPr>
          <w:rFonts w:ascii="Times New Roman" w:hAnsi="Times New Roman" w:cs="Times New Roman"/>
          <w:sz w:val="24"/>
          <w:szCs w:val="24"/>
        </w:rPr>
        <w:fldChar w:fldCharType="end"/>
      </w:r>
      <w:r>
        <w:rPr>
          <w:rFonts w:ascii="Times New Roman" w:hAnsi="Times New Roman" w:cs="Times New Roman"/>
          <w:sz w:val="24"/>
          <w:szCs w:val="24"/>
        </w:rPr>
        <w:t>.</w:t>
      </w:r>
    </w:p>
    <w:p w14:paraId="1009502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In conclusion, the role of drug metabolism in drug clearance and elimination is central to understanding the fate of drugs within the body. The biotransformation of xenobiotics, facilitated by enzymatic processes in the liver, generates metabolites with enhanced water solubility. This transformation is fundamental for efficient drug clearance, primarily through hepatic and renal pathways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{"citationItems":[{"id":"ITEM-1","itemData":{"DOI":"10.2174/1389200219666180821094502","ISSN":"13892002","abstract":"© 2019 Bentham Science Publishers. Background: Carboxylesterases (CES) play a critical role in catalyzing hydrolysis of esters, amides, carbamates and thioesters, as well as bioconverting prodrugs and soft drugs. The unique tissue distribution of CES enzymes provides great opportunities to design prodrugs or soft drugs for tissue targeting. Marked species differences in CES tissue distribution and catalytic activity are particularly challenging in human translation. Methods: Review and summarization of CES fundamentals and applications in drug discovery and development. Results: Human CES1 is one of the most highly expressed drug metabolizing enzymes in the liver, while human intestine only expresses CES2. CES enzymes have moderate to high inter-individual variability and exhibit low to no expression in the fetus, but increase substantially during the first few months of life. The CES genes are highly polymorphic and some CES genetic variants show significant influence on metabolism and clinical outcome of certain drugs. Monkeys appear to be more predictive of human pharmacokinetics for CES substrates than other species. Low risk of clinical drug-drug interaction is anticipated for CES, although they should not be overlooked, particularly interaction with alcohols. CES enzymes are moderately inducible through a number of transcription factors and can be repressed by inflammatory cytokines. Conclusion: Although significant advances have been made in our understanding of CESs, in vitro - in vivo extrapolation of clearance is still in its infancy and further exploration is needed. In vitro and in vivo tools are continuously being developed to characterize CES substrates and inhibitors.","author":[{"dropping-particle":"","family":"Di","given":"Li","non-dropping-particle":"","parse-names":false,"suffix":""}],"container-title":"Current Drug Metabolism","id":"ITEM-1","issue":"2","issued":{"date-parts":[["2018"]]},"title":"The Impact of Carboxylesterases in Drug Metabolism and PharmacokineticsDi, L. (2018). The Impact of Carboxylesterases in Drug Metabolism and Pharmacokinetics. Current Drug Metabolism, 20(2). https://doi.org/10.2174/1389200219666180821094502","type":"article-journal","volume":"20"},"uris":["http://www.mendeley.com/documents/?uuid=645b3c9d-b079-3340-a7ee-fa39df2f4691"]}],"mendeley":{"formattedCitation":"(Di, 2018)","plainTextFormattedCitation":"(Di, 2018)","previouslyFormattedCitation":"(Di,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(Di, 2018)</w:t>
      </w:r>
      <w:r>
        <w:rPr>
          <w:rFonts w:ascii="Times New Roman" w:hAnsi="Times New Roman" w:cs="Times New Roman"/>
          <w:sz w:val="24"/>
          <w:szCs w:val="24"/>
        </w:rPr>
        <w:fldChar w:fldCharType="end"/>
      </w:r>
      <w:r>
        <w:rPr>
          <w:rFonts w:ascii="Times New Roman" w:hAnsi="Times New Roman" w:cs="Times New Roman"/>
          <w:sz w:val="24"/>
          <w:szCs w:val="24"/>
        </w:rPr>
        <w:t>. The close interplay between drug metabolism, clearance, and elimination influences pharmacokinetic parameters, therapeutic efficacy, and the potential for adverse effects. Recognizing the intricate relationships between these processes is essential for clinicians and researchers alike, as it informs drug development, dosage optimization, and individualized treatment strategies, ultimately contributing to safer and more effective pharmacotherapy.</w:t>
      </w:r>
    </w:p>
    <w:p w14:paraId="5053933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Analyze the impact of hepatic and extrahepatic metabolism on drug pharmacokinetics.</w:t>
      </w:r>
    </w:p>
    <w:p w14:paraId="3143C30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pharmacokinetics, encompassing processes such as absorption, distribution, metabolism, and excretion, is intricately influenced by hepatic and extrahepatic metabolism. These processes play pivotal roles in determining the fate of drugs within the body, shaping their bioavailability, clearance, and overall therapeutic efficacy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{"citationItems":[{"id":"ITEM-1","itemData":{"DOI":"10.1124/dmd.123.001403","ISSN":"1521009X","abstract":"Minimal physiologically based pharmacokinetic (mPBPK) models are physiologically relevant, require less information than full PBPK models, and offer flexibility in pharmacokinetics (PK). The well-stirred hepatic model (WSM) is commonly used in PBPK, whereas the more plausible dispersion model (DM) poses computational complexities. The series-compartment model (SCM) mimics the DM but is easier to operate. This work implements the SCM and mPBPK models for assessing fractional tissue distribution, oral absorption, and hepatic clearance using literature-reported blood and liver concentration-time data in rats for compounds mainly cleared by the liver. Further handled were various complexities, including nonlinear hepatic binding andmetabolism, differing absorption kinetics, and sites of administration. The SCM containing one to five (n) liver subcompartments yields similar fittings and provides comparable estimates for hepatic extraction ratio (ER), prehepatic availability (Fg), and first-order absorption rate constants (ka). However, they produce decreased intrinsic clearances (CLint) and liver-to-plasma partition coefficients (Kph) with increasing n as expected. Model simulations demonstrated changes in intravenous and oral PK profiles with alterations in Kph and ka and with hepatic metabolic zonation. The permeability (PAMPA P) of the various compounds well explained the fitted fractional distribution (fd) parameters. The SCMand mPBPK models offer advantages in distinguishing systemic, extrahepatic, and hepatic clearances. The SCM allows for incorporation of liver zonation and is useful in assessing changes in internal concentration gradients potentially masked by similar blood PK profiles. Improved assessment of intraorgan drug concentrationsmay offer insights into activemoieties drivingmetabolism, biliary excretion, pharmacodynamics, and hepatic toxicity.","author":[{"dropping-particle":"","family":"Li","given":"Xiaonan","non-dropping-particle":"","parse-names":false,"suffix":""},{"dropping-particle":"","family":"Jusko","given":"William J.","non-dropping-particle":"","parse-names":false,"suffix":""}],"container-title":"Drug Metabolism and Disposition","id":"ITEM-1","issue":"10","issued":{"date-parts":[["2023"]]},"title":"Utility of Minimal Physiologically Based Pharmacokinetic Models for Assessing Fractional Distribution, Oral Absorption, and Series-Compartment Models of Hepatic ClearanceS","type":"article-journal","volume":"51"},"uris":["http://www.mendeley.com/documents/?uuid=ebdc6743-45d5-3b9e-ba04-1c85efb33a0a"]}],"mendeley":{"formattedCitation":"(X. Li &amp; Jusko, 2023)","plainTextFormattedCitation":"(X. Li &amp; Jusko, 2023)","previouslyFormattedCitation":"(X. Li &amp; Jusko,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(X. Li &amp; Jusko, 2023)</w:t>
      </w:r>
      <w:r>
        <w:rPr>
          <w:rFonts w:ascii="Times New Roman" w:hAnsi="Times New Roman" w:cs="Times New Roman"/>
          <w:sz w:val="24"/>
          <w:szCs w:val="24"/>
        </w:rPr>
        <w:fldChar w:fldCharType="end"/>
      </w:r>
      <w:r>
        <w:rPr>
          <w:rFonts w:ascii="Times New Roman" w:hAnsi="Times New Roman" w:cs="Times New Roman"/>
          <w:sz w:val="24"/>
          <w:szCs w:val="24"/>
        </w:rPr>
        <w:t>.</w:t>
      </w:r>
    </w:p>
    <w:p w14:paraId="0F9CDA4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liver, being a metabolic powerhouse, is the primary site for drug metabolism. Cytochrome P450 (CYP) enzymes, particularly those in the liver, catalyze Phase I reactions, transforming lipophilic drugs into more hydrophilic metabolites. This hepatic metabolism is central to drug clearance, as the efficiency of the liver in metabolizing drugs dictates the rate at which they are eliminated from the bloodstream. The impact on drug half-life and steady-state concentrations is notable, especially during chronic administration, where high hepatic clearance signifies rapid metabolism and elimination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{"citationItems":[{"id":"ITEM-1","itemData":{"DOI":"10.1124/dmd.114.057885","ISSN":"1521009X","abstract":"In humans, 75% of all drugs are metabolized by the cytochrome P450-dependent monooxygenase system. Enzymes encoded by the CYP2C, CYP2D, and CYP3A gene clusters account for ~80% of this activity. There are profound species differences in the multiplicity of cytochrome P450 enzymes, and the use of mouse models to predict pathways of drug metabolism is further complicated by overlapping substrate specificity between enzymes from different gene families. To establish the role of the hepatic and extrahepatic P450 system in drug and foreign chemical disposition, drug efficacy, and toxicity, we created a unique mouse model in which 30 cytochrome P450 genes from the Cyp2c, Cyp2d, and Cyp3a gene clusters have been deleted. Remarkably, despite a wide range of putative important endogenous functions, Cyp2c/2d/3a KO mice were viable and fertile, demonstrating that these genes have evolved primarily as detoxification enzymes. Although there was no overt phenotype, detailed examination showed Cyp2c/2d/3a KO mice had a smaller body size (15%) and larger livers (20%). Changes in hepatic morphology and a decreased blood glucose (30%) were also noted. A five-drug cocktail of cytochrome P450 isozyme probe substrates were used to evaluate changes in drug pharmacokinetics; marked changes were observed in either the pharmacokinetics or metabolites formed from Cyp2c, Cyp2d, and Cyp3a substrates, whereas the metabolism of the Cyp1a substrate caffeine was unchanged. Thus, Cyp2c/2d/3a KO mice provide a powerful model to study the in vivo role of the P450 system in drug metabolism and efficacy, as well as in chemical toxicity. Copyright © 2014 by The American Society for Pharmacology and Experimental Therapeutics.","author":[{"dropping-particle":"","family":"Scheer","given":"Nico","non-dropping-particle":"","parse-names":false,"suffix":""},{"dropping-particle":"","family":"McLaughlin","given":"Lesley A.","non-dropping-particle":"","parse-names":false,"suffix":""},{"dropping-particle":"","family":"Rode","given":"Anja","non-dropping-particle":"","parse-names":false,"suffix":""},{"dropping-particle":"","family":"MacLeod","given":"A. Kenneth","non-dropping-particle":"","parse-names":false,"suffix":""},{"dropping-particle":"","family":"Henderson","given":"Colin J.","non-dropping-particle":"","parse-names":false,"suffix":""},{"dropping-particle":"","family":"Wolf","given":"C. Roland","non-dropping-particle":"","parse-names":false,"suffix":""}],"container-title":"Drug Metabolism and Disposition","id":"ITEM-1","issue":"6","issued":{"date-parts":[["2014"]]},"title":"Deletion of 30 murine cytochrome p450 genes results in viable mice with compromised drug metabolism","type":"article-journal","volume":"42"},"uris":["http://www.mendeley.com/documents/?uuid=b4b87788-cab4-309f-923b-c5cc52c1d540"]}],"mendeley":{"formattedCitation":"(Scheer et al., 2014)","plainTextFormattedCitation":"(Scheer et al., 2014)","previouslyFormattedCitation":"(Scheer et al.,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(Scheer et al., 2014)</w:t>
      </w:r>
      <w:r>
        <w:rPr>
          <w:rFonts w:ascii="Times New Roman" w:hAnsi="Times New Roman" w:cs="Times New Roman"/>
          <w:sz w:val="24"/>
          <w:szCs w:val="24"/>
        </w:rPr>
        <w:fldChar w:fldCharType="end"/>
      </w:r>
      <w:r>
        <w:rPr>
          <w:rFonts w:ascii="Times New Roman" w:hAnsi="Times New Roman" w:cs="Times New Roman"/>
          <w:sz w:val="24"/>
          <w:szCs w:val="24"/>
        </w:rPr>
        <w:t>.</w:t>
      </w:r>
    </w:p>
    <w:p w14:paraId="0F6E9243" w14:textId="059F4FB2" w:rsidR="00460EB1" w:rsidRDefault="00460EB1" w:rsidP="00460EB1">
      <w:pPr>
        <w:spacing w:line="480" w:lineRule="auto"/>
        <w:ind w:firstLine="720"/>
        <w:jc w:val="center"/>
        <w:rPr>
          <w:rFonts w:ascii="Times New Roman" w:hAnsi="Times New Roman" w:cs="Times New Roman"/>
          <w:sz w:val="24"/>
          <w:szCs w:val="24"/>
        </w:rPr>
      </w:pPr>
      <w:r>
        <w:rPr>
          <w:noProof/>
        </w:rPr>
        <w:drawing>
          <wp:inline distT="0" distB="0" distL="0" distR="0" wp14:anchorId="134186E1" wp14:editId="6FE0295A">
            <wp:extent cx="5210175" cy="2838450"/>
            <wp:effectExtent l="0" t="0" r="9525" b="0"/>
            <wp:docPr id="5" name="Picture 5" descr="Epidemiology and Management of Drug-induced Liver Injury: Importance of the  Updated RUC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idemiology and Management of Drug-induced Liver Injury: Importance of the  Updated RUCA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0175" cy="2838450"/>
                    </a:xfrm>
                    <a:prstGeom prst="rect">
                      <a:avLst/>
                    </a:prstGeom>
                    <a:noFill/>
                    <a:ln>
                      <a:noFill/>
                    </a:ln>
                  </pic:spPr>
                </pic:pic>
              </a:graphicData>
            </a:graphic>
          </wp:inline>
        </w:drawing>
      </w:r>
    </w:p>
    <w:p w14:paraId="1FEDDE3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polymorphisms further add complexity to hepatic metabolism. Variations in CYP genes contribute to inter-individual variability in drug metabolism, leading to differences in the rate of drug clearance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{"citationItems":[{"id":"ITEM-1","itemData":{"DOI":"10.1124/DMD.120.000082","ISSN":"1521009X","abstract":"Aldehyde oxidase (AO) efficiently metabolizes a range of compounds with N-containing heterocyclic aromatic rings and/or aldehydes. The limited knowledge of AO activity and abundance (in vitro and in vivo) has led to poor prediction of in vivo systemic clearance (CL) using in vitro-to-in vivo extrapolation approaches, which for drugs in development can lead to their discontinuation. We aimed to identify appropriate scaling factors to predict AO CL of future new chemical entities (NCEs). The metabolism of six AO substrates was measured in human liver cytosol (HLC) and S9 fractions. Measured blood-toplasma ratios and free fractions (in the in vitro system and in plasma) were used to develop physiologically based pharmacokinetic models for each compound. The impact of extrahepatic metabolismwas explored, and the intrinsic clearance required to recover in vivo profiles was estimated and compared with in vitro measurements. UsingHLCdata and assuming only hepatic metabolism, a systematic underprediction of clearance was observed (average fold underprediction was 3.8). Adding extrahepatic metabolism improved the accuracy of the results (average fold error of 1.9). A workflow for predicting metabolism of an NCE by AO is proposed, and an empirical (laboratory-specific) scaling factor of three on the predicted intravenous CL allows a reasonable prediction of the available clinical data. Alternatively, considering also extrahepatic metabolism, an scaling factor of 6.5 applied on the intrinsic clearance could be used. Future research should focus on the impact of the in vitro study designs and the contribution of extrahepatic metabolism to AO-mediated clearance to understand the mechanisms behind the systematic underprediction.","author":[{"dropping-particle":"","family":"Sousa Mendes","given":"Mailys","non-dropping-particle":"De","parse-names":false,"suffix":""},{"dropping-particle":"","family":"Orton","given":"Alexandra L.","non-dropping-particle":"","parse-names":false,"suffix":""},{"dropping-particle":"","family":"Humphries","given":"Helen E.","non-dropping-particle":"","parse-names":false,"suffix":""},{"dropping-particle":"","family":"Jones","given":"Barry","non-dropping-particle":"","parse-names":false,"suffix":""},{"dropping-particle":"","family":"Gardner","given":"Iain","non-dropping-particle":"","parse-names":false,"suffix":""},{"dropping-particle":"","family":"Neuhoff","given":"Sibylle","non-dropping-particle":"","parse-names":false,"suffix":""},{"dropping-particle":"","family":"Reddy","given":"Venkatesh Pilla","non-dropping-particle":"","parse-names":false,"suffix":""}],"container-title":"Drug Metabolism and Disposition","id":"ITEM-1","issue":"11","issued":{"date-parts":[["2020"]]},"title":"A laboratory-specific scaling factor to predict the in vivo human clearance of aldehyde oxidase substrates","type":"article-journal","volume":"48"},"uris":["http://www.mendeley.com/documents/?uuid=a6adb3b9-9e65-3426-83d7-85483af95fbf"]}],"mendeley":{"formattedCitation":"(De Sousa Mendes et al., 2020)","plainTextFormattedCitation":"(De Sousa Mendes et al., 2020)","previouslyFormattedCitation":"(De Sousa Mendes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(De Sousa Mendes et al., 2020)</w:t>
      </w:r>
      <w:r>
        <w:rPr>
          <w:rFonts w:ascii="Times New Roman" w:hAnsi="Times New Roman" w:cs="Times New Roman"/>
          <w:sz w:val="24"/>
          <w:szCs w:val="24"/>
        </w:rPr>
        <w:fldChar w:fldCharType="end"/>
      </w:r>
      <w:r>
        <w:rPr>
          <w:rFonts w:ascii="Times New Roman" w:hAnsi="Times New Roman" w:cs="Times New Roman"/>
          <w:sz w:val="24"/>
          <w:szCs w:val="24"/>
        </w:rPr>
        <w:t>. As a result, the consideration of genetic factors becomes imperative in the pursuit of personalized medicine, tailoring drug regimens based on individual variations in hepatic enzyme activity.</w:t>
      </w:r>
    </w:p>
    <w:p w14:paraId="0372E7E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In addition to hepatic metabolism, extrahepatic metabolism also plays a significant role in drug pharmacokinetics. This occurs in various tissues outside the liver, including the intestines, lungs, kidneys, and skin. The significance of extrahepatic metabolism is particularly pronounced for drugs that undergo substantial first-pass metabolism in the liver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{"citationItems":[{"id":"ITEM-1","itemData":{"DOI":"10.1124/dmd.114.057885","ISSN":"1521009X","abstract":"In humans, 75% of all drugs are metabolized by the cytochrome P450-dependent monooxygenase system. Enzymes encoded by the CYP2C, CYP2D, and CYP3A gene clusters account for ~80% of this activity. There are profound species differences in the multiplicity of cytochrome P450 enzymes, and the use of mouse models to predict pathways of drug metabolism is further complicated by overlapping substrate specificity between enzymes from different gene families. To establish the role of the hepatic and extrahepatic P450 system in drug and foreign chemical disposition, drug efficacy, and toxicity, we created a unique mouse model in which 30 cytochrome P450 genes from the Cyp2c, Cyp2d, and Cyp3a gene clusters have been deleted. Remarkably, despite a wide range of putative important endogenous functions, Cyp2c/2d/3a KO mice were viable and fertile, demonstrating that these genes have evolved primarily as detoxification enzymes. Although there was no overt phenotype, detailed examination showed Cyp2c/2d/3a KO mice had a smaller body size (15%) and larger livers (20%). Changes in hepatic morphology and a decreased blood glucose (30%) were also noted. A five-drug cocktail of cytochrome P450 isozyme probe substrates were used to evaluate changes in drug pharmacokinetics; marked changes were observed in either the pharmacokinetics or metabolites formed from Cyp2c, Cyp2d, and Cyp3a substrates, whereas the metabolism of the Cyp1a substrate caffeine was unchanged. Thus, Cyp2c/2d/3a KO mice provide a powerful model to study the in vivo role of the P450 system in drug metabolism and efficacy, as well as in chemical toxicity. Copyright © 2014 by The American Society for Pharmacology and Experimental Therapeutics.","author":[{"dropping-particle":"","family":"Scheer","given":"Nico","non-dropping-particle":"","parse-names":false,"suffix":""},{"dropping-particle":"","family":"McLaughlin","given":"Lesley A.","non-dropping-particle":"","parse-names":false,"suffix":""},{"dropping-particle":"","family":"Rode","given":"Anja","non-dropping-particle":"","parse-names":false,"suffix":""},{"dropping-particle":"","family":"MacLeod","given":"A. Kenneth","non-dropping-particle":"","parse-names":false,"suffix":""},{"dropping-particle":"","family":"Henderson","given":"Colin J.","non-dropping-particle":"","parse-names":false,"suffix":""},{"dropping-particle":"","family":"Wolf","given":"C. Roland","non-dropping-particle":"","parse-names":false,"suffix":""}],"container-title":"Drug Metabolism and Disposition","id":"ITEM-1","issue":"6","issued":{"date-parts":[["2014"]]},"title":"Deletion of 30 murine cytochrome p450 genes results in viable mice with compromised drug metabolism","type":"article-journal","volume":"42"},"uris":["http://www.mendeley.com/documents/?uuid=b4b87788-cab4-309f-923b-c5cc52c1d540"]}],"mendeley":{"formattedCitation":"(Scheer et al., 2014)","plainTextFormattedCitation":"(Scheer et al., 2014)","previouslyFormattedCitation":"(Scheer et al., 2014)"},"properties":{"noteIndex":0},"schema":"https://github.com/citation-style-language/schema/raw/master/csl-citation.json"}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(Scheer et al., 2014)</w:t>
      </w:r>
      <w:r>
        <w:rPr>
          <w:rFonts w:ascii="Times New Roman" w:hAnsi="Times New Roman" w:cs="Times New Roman"/>
          <w:sz w:val="24"/>
          <w:szCs w:val="24"/>
        </w:rPr>
        <w:fldChar w:fldCharType="end"/>
      </w:r>
      <w:r>
        <w:rPr>
          <w:rFonts w:ascii="Times New Roman" w:hAnsi="Times New Roman" w:cs="Times New Roman"/>
          <w:sz w:val="24"/>
          <w:szCs w:val="24"/>
        </w:rPr>
        <w:t xml:space="preserve">. In such cases, extrahepatic metabolism can contribute to the overall clearance of a drug, influencing its bioavailability and systemic exposure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{"citationItems":[{"id":"ITEM-1","itemData":{"DOI":"10.1080/17425255.2022.2106215","ISSN":"17447607","abstract":"Introduction: Hepatic drug metabolism is important in improving drug dosing strategies in sepsis. Pharmacokinetics in the critically ill population are severely altered due to changes in absorption, distribution, excretion and metabolization. Hepatic drug metabolism might be altered due to changes in hepatic blood flow, drug metabolizing protein availability, and protein binding. The purpose of this review is to examine evidence on whether hepatic drug metabolism is significantly affected in septic patients, and to provide insights in the need for future research. Areas covered: This review describes the effect of sepsis on hepatic drug metabolism in humans. Clinical trials, pathophysiological background information and example drug groups are further discussed. The literature search has been conducted in Embase, Medline ALL Ovid, and Cochrane CENTRAL register of trials. Expert opinion: Limited research has been conducted on drug metabolism in the sepsis population, with some trials having researched healthy individuals using endotoxin injections. Notwithstanding this limitation, hepatic drug metabolism seems to be decreased for certain drugs in sepsis. More research on the pharmacokinetic behavior of hepatic metabolized drugs in sepsis is warranted, using inflammatory biomarkers, hemodynamic changes, mechanical ventilation, organ support, and catecholamine infusion as possible confounders.","author":[{"dropping-particle":"","family":"Ewoldt","given":"Tim M.J.","non-dropping-particle":"","parse-names":false,"suffix":""},{"dropping-particle":"","family":"Abdulla","given":"Alan","non-dropping-particle":"","parse-names":false,"suffix":""},{"dropping-particle":"","family":"Hunfeld","given":"Nicole","non-dropping-particle":"","parse-names":false,"suffix":""},{"dropping-particle":"","family":"Li","given":"Letao","non-dropping-particle":"","parse-names":false,"suffix":""},{"dropping-particle":"","family":"Smeets","given":"Tim J.L.","non-dropping-particle":"","parse-names":false,"suffix":""},{"dropping-particle":"","family":"Gommers","given":"Diederik","non-dropping-particle":"","parse-names":false,"suffix":""},{"dropping-particle":"","family":"Koch","given":"Birgit C.P.","non-dropping-particle":"","parse-names":false,"suffix":""},{"dropping-particle":"","family":"Endeman","given":"Henrik","non-dropping-particle":"","parse-names":false,"suffix":""}],"container-title":"Expert Opinion on Drug Metabolism and Toxicology","id":"ITEM-1","issue":"6","issued":{"date-parts":[["2022"]]},"title":"The impact of sepsis on hepatic drug metabolism in critically ill patients: a narrative review","type":"article","volume":"18"},"uris":["http://www.mendeley.com/documents/?uuid=b0ed002a-9f65-386f-8e1d-5b9760352160"]}],"mendeley":{"formattedCitation":"(Ewoldt et al., 2022)","plainTextFormattedCitation":"(Ewoldt et al., 2022)","previouslyFormattedCitation":"(Ewoldt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(Ewoldt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6A386A4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Tissue-specific metabolic pathways further exemplify the impact of extrahepatic metabolism. Different tissues may express unique metabolic enzymes, leading to variations in drug metabolism across various organs. For example, certain drugs may undergo extensive metabolism in the intestinal wall, affecting their oral bioavailability before reaching the liver. This tissue-specific metabolism adds an additional layer of complexity to drug pharmacokinetics, requiring a nuanced understanding of the interplay between different metabolic pathways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{"citationItems":[{"id":"ITEM-1","itemData":{"DOI":"10.1158/1078-0432.CCR-07-0088","ISSN":"10780432","abstract":"Purpose: To examine the enzyme kinetics of gefitinib and erlotinib metabolism by individual cytochrome P450 (CYP) enzymes, and to compare their effects on CYP3A activity, with the aim to better understand mechanisms underlying pharmacokinetic variability and clinical effects. Experimental Design: Enzyme kinetics were examined by incubating gefitinib or erlotinib (1.5-50 μmol/L) with recombinant human CYP3A4, CYP3A5, CYP2D6, CYP1A1, CYP1A2, and CYP1B1 (10-160 pmol/mL). Their effects on CYP3A activity were examined by comparing midazolam metabolism in the presence and absence of gefitinib or erlotinib in human liver and intestinal microsomes. Parent compounds and metabolites were monitored by high-performance liquid chromatography with a photodiode detector or tandem mass spectrometer. Results: Both drugs were metabolized primarily by CYP3A4, CYP3A5, and CYP1A1, with respective maximum clearance (Clmax) values for metabolism of 0.41, 0.39, and 0.57 mL/min/nmol for gefitinib and 0.24, 0.21, 0.31mL/min/nmol for erlotinib. CYP2D6 was involved in gefitinib metabolism (Clmax, 0.63 mL/min/nmol) to a large extent, whereas CYP1A2 was considerably involved in erlotinib metabolism (Clmax, 0.15 mL/min/nmol). Both drugs stimulated CYP3A-mediated midazolam disappearance and 1-hydroxymidazolam formation in liver and intestinal microsomes. Conclusions: Gefitinib is more susceptible to CYP3A-mediated-metabolism than erlotinib, which may contribute to the higher apparent oral clearance observed for gefitinib. Metabolism by hepatic and extrahepatic CYP1A may represent a determinant of pharmacokinetic variability and response for both drugs. The differential metabolizing enzyme profiles suggest that there may be differences in drug-drug interaction potential and that stimulation of CYP3A4 may likely play a role in drug interactions for erlotinib and gefitinib. © 2007 American Association for Cancer Research.","author":[{"dropping-particle":"","family":"Li","given":"Jing","non-dropping-particle":"","parse-names":false,"suffix":""},{"dropping-particle":"","family":"Zhao","given":"Ming","non-dropping-particle":"","parse-names":false,"suffix":""},{"dropping-particle":"","family":"He","given":"Ping","non-dropping-particle":"","parse-names":false,"suffix":""},{"dropping-particle":"","family":"Hidalgo","given":"Manuel","non-dropping-particle":"","parse-names":false,"suffix":""},{"dropping-particle":"","family":"Baker","given":"Sharyn D.","non-dropping-particle":"","parse-names":false,"suffix":""}],"container-title":"Clinical Cancer Research","id":"ITEM-1","issue":"12","issued":{"date-parts":[["2007"]]},"title":"Differential metabolism of gefitinib and erlotinib by human cytochrome P450 enzymes","type":"article-journal","volume":"13"},"uris":["http://www.mendeley.com/documents/?uuid=93dd0550-67a0-39a2-8cbe-d2d9e4ded518"]}],"mendeley":{"formattedCitation":"(J. Li et al., 2007)","plainTextFormattedCitation":"(J. Li et al., 2007)","previouslyFormattedCitation":"(J. Li et al., 2007)"},"properties":{"noteIndex":0},"schema":"https://github.com/citation-style-language/schema/raw/master/csl-citation.json"}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 Li et al., 2007)</w:t>
      </w:r>
      <w:r>
        <w:rPr>
          <w:rFonts w:ascii="Times New Roman" w:hAnsi="Times New Roman" w:cs="Times New Roman"/>
          <w:sz w:val="24"/>
          <w:szCs w:val="24"/>
        </w:rPr>
        <w:fldChar w:fldCharType="end"/>
      </w:r>
      <w:r>
        <w:rPr>
          <w:rFonts w:ascii="Times New Roman" w:hAnsi="Times New Roman" w:cs="Times New Roman"/>
          <w:sz w:val="24"/>
          <w:szCs w:val="24"/>
        </w:rPr>
        <w:t>.</w:t>
      </w:r>
    </w:p>
    <w:p w14:paraId="1152175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impact of hepatic and extrahepatic metabolism on drug bioavailability is particularly noteworthy. The liver's role in first-pass metabolism significantly influences the bioavailability of orally administered drugs. Extensive hepatic metabolism during the first pass through the liver may reduce the amount of unchanged drug reaching the systemic circulation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{"citationItems":[{"id":"ITEM-1","itemData":{"DOI":"10.1186/s12986-020-00456-w","ISSN":"17437075","abstract":"Background: High fat diet impact transcription of hepatic genes responsible for drug metabolism and pharmacokinetics. Until now, researches just focused on a couple specific genes without a global profile showing. Age-dependent manner was also not noted well. This study aims to investigate the high fat diet effect on transcriptome of drug metabolism and pharmacokinetic system in mouse livers and show the age-dependent evidence. Methods: C57BL/6 male mice were used in this experiment. High fat diet was used to treat mice for 16 and 38 weeks. Serum total cholesterol, low density lipoprotein cholesterol, aspartate transaminase, and alanine transaminaselevels were measured. Meanwhile, Histology, RNA-Seq, RT-PCR analysis and fourteen major hepatic bile acids quantification were performed for the liver tissues. Data was mined at levels of genes, drug metabolism and pharmacokinetic sysem, and genome wide. Results: Treatment with high fat diet for 38 weeks significantly increased levels of serum lipids as well as aspartate transaminase, and alanine transaminase. Meanwhile, lipid accumulation in livers was observed. At week 38 of the experiment, the profile of 612 genes involved in drug metabolism and pharmacokinetics was significantly changed, indicated by a heatmap visulization and a principal component analysis. In total 210 genes were significantly regulated. Cyp3a11, Cyp4a10, and Cyp4a14 were down-regulated by 10-35 folds, while these three genes also were highly expressed in the liver. High fat diet regulated 11% of genome-wide gene while 30% of genes involved in the hepatic drug metabolism and pharmacokinetic system. Genes, including Adh4, Aldh1b1, Cyp3a11, Cyp4a10, Cyp8b1, Fmo2, Gsta3, Nat8f1, Slc22a7, Slco1a4, Sult5a1, and Ugt1a9, were regulated by high fat diet as an aging-dependent manner. Bile acids homeostasis, in which many genes related to metabolism and transportation were enriched, was also changed by high fat diet with an aging-dependet manner. Expression of genes in drug metabolism and disposition system significantly correlated to serum lipid profiles, and frequently correlated with each other. Conclusions: High fat diet changed the global transcription profile of hepatic drug metabolism and pharmacokinetic system with a age-dependent manner.","author":[{"dropping-particle":"","family":"He","given":"Yuqi","non-dropping-particle":"","parse-names":false,"suffix":""},{"dropping-particle":"","family":"Yang","given":"Tao","non-dropping-particle":"","parse-names":false,"suffix":""},{"dropping-particle":"","family":"Du","given":"Yimei","non-dropping-particle":"","parse-names":false,"suffix":""},{"dropping-particle":"","family":"Qin","given":"Lin","non-dropping-particle":"","parse-names":false,"suffix":""},{"dropping-particle":"","family":"Ma","given":"Feifei","non-dropping-particle":"","parse-names":false,"suffix":""},{"dropping-particle":"","family":"Wu","given":"Zunping","non-dropping-particle":"","parse-names":false,"suffix":""},{"dropping-particle":"","family":"Ling","given":"Hua","non-dropping-particle":"","parse-names":false,"suffix":""},{"dropping-particle":"","family":"Yang","given":"Li","non-dropping-particle":"","parse-names":false,"suffix":""},{"dropping-particle":"","family":"Wang","given":"Zhengtao","non-dropping-particle":"","parse-names":false,"suffix":""},{"dropping-particle":"","family":"Zhou","given":"Qingdi","non-dropping-particle":"","parse-names":false,"suffix":""},{"dropping-particle":"","family":"Ge","given":"Guangbo","non-dropping-particle":"","parse-names":false,"suffix":""},{"dropping-particle":"","family":"Lu","given":"Yanliu","non-dropping-particle":"","parse-names":false,"suffix":""}],"container-title":"Nutrition and Metabolism","id":"ITEM-1","issue":"1","issued":{"date-parts":[["2020"]]},"title":"High fat diet significantly changed the global gene expression profile involved in hepatic drug metabolism and pharmacokinetic system in mice","type":"article-journal","volume":"17"},"uris":["http://www.mendeley.com/documents/?uuid=a9dbd461-c4a3-3b5c-8854-8129b5203d28"]}],"mendeley":{"formattedCitation":"(He et al., 2020)","plainTextFormattedCitation":"(He et al., 2020)","previouslyFormattedCitation":"(He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 et al., 2020)</w:t>
      </w:r>
      <w:r>
        <w:rPr>
          <w:rFonts w:ascii="Times New Roman" w:hAnsi="Times New Roman" w:cs="Times New Roman"/>
          <w:sz w:val="24"/>
          <w:szCs w:val="24"/>
        </w:rPr>
        <w:fldChar w:fldCharType="end"/>
      </w:r>
      <w:r>
        <w:rPr>
          <w:rFonts w:ascii="Times New Roman" w:hAnsi="Times New Roman" w:cs="Times New Roman"/>
          <w:sz w:val="24"/>
          <w:szCs w:val="24"/>
        </w:rPr>
        <w:t>. This reduction in bioavailability has implications for the overall therapeutic efficacy of drugs administered orally. Conversely, parenteral routes, such as intravenous injection, bypass hepatic first-pass metabolism, leading to higher bioavailability.</w:t>
      </w:r>
    </w:p>
    <w:p w14:paraId="155512A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Understanding the contributions of hepatic and extrahepatic metabolism is critical for clinical considerations. Tailoring individualized treatment strategies requires an assessment of hepatic function, recognition of genetic polymorphisms impacting hepatic enzyme activity, and an </w:t>
      </w:r>
      <w:r>
        <w:rPr>
          <w:rFonts w:ascii="Times New Roman" w:hAnsi="Times New Roman" w:cs="Times New Roman"/>
          <w:sz w:val="24"/>
          <w:szCs w:val="24"/>
        </w:rPr>
        <w:lastRenderedPageBreak/>
        <w:t xml:space="preserve">awareness of tissue-specific metabolic pathways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{"citationItems":[{"id":"ITEM-1","itemData":{"DOI":"10.1124/dmd.116.070623","ISSN":"1521009X","abstract":"The Zucker diabetic fatty (ZDF) rat, an inbred strain of obese Zucker fatty rat, develops early onset of insulin resistance and displays hyperglycemia and hyperlipidemia. The phenotypic changes resemble human type 2 diabetes associated with obesity and therefore the strain is used as a pharmacological model for type 2 diabetes. The aim of the current study was to compare the pharmacokinetics and hepatic metabolism in male ZDF and Sprague-Dawley (SD) rats of five antidiabetic drugs that are known to be cleared via various mechanisms. Among the drugs examined, metformin, cleared through renal excretion, and rosiglitazone, metabolized by hepatic cytochrome P450 2C, did not exhibit differences in the plasma clearance in ZDF and SD rats. In contrast, glibenclamide, metabolized by hepatic CYP3A, canagliflozin, metabolized mainly by UDP-glucuronosyltransferases (UGT), and troglitazone, metabolized by sulfotransferase and UGT, exhibited significantly lower plasma clearance in ZDF than in SD rats after a single intravenous administration. To elucidate the mechanisms for the difference in the drug clearance, studies were performed to characterize the activity of hepatic drug-metabolizing enzymes using liver S9 fractions from the two strains. The results revealed that the activity for CYP3A and UGT was decreased in ZDF rats using the probe substrates, and decreased unbound intrinsic clearance in vitro for glibenclamide, canagliflozin, and troglitazone was consistent with lower plasma clearance in vivo. The difference in pharmacokinetics of these two strains may complicate pharmacokinetic/ pharmacodynamic correlations, given that ZDF is used as a pharmacological model, and SD rat as the pharmacokinetics and toxicology strain.","author":[{"dropping-particle":"","family":"Zhou","given":"Xin","non-dropping-particle":"","parse-names":false,"suffix":""},{"dropping-particle":"","family":"Rougée","given":"Luc R.A.","non-dropping-particle":"","parse-names":false,"suffix":""},{"dropping-particle":"","family":"Bedwell","given":"David W.","non-dropping-particle":"","parse-names":false,"suffix":""},{"dropping-particle":"","family":"Cramer","given":"Jeff W.","non-dropping-particle":"","parse-names":false,"suffix":""},{"dropping-particle":"","family":"Mohutsky","given":"Michael A.","non-dropping-particle":"","parse-names":false,"suffix":""},{"dropping-particle":"","family":"Calvert","given":"Nathan A.","non-dropping-particle":"","parse-names":false,"suffix":""},{"dropping-particle":"","family":"Moulton","given":"Richard D.","non-dropping-particle":"","parse-names":false,"suffix":""},{"dropping-particle":"","family":"Cassidy","given":"Kenneth C.","non-dropping-particle":"","parse-names":false,"suffix":""},{"dropping-particle":"","family":"Yumibe","given":"Nathan P.","non-dropping-particle":"","parse-names":false,"suffix":""},{"dropping-particle":"","family":"Adams","given":"Lisa A.","non-dropping-particle":"","parse-names":false,"suffix":""},{"dropping-particle":"","family":"Ruterbories","given":"Kenneth J.","non-dropping-particle":"","parse-names":false,"suffix":""}],"container-title":"Drug Metabolism and Disposition","id":"ITEM-1","issue":"8","issued":{"date-parts":[["2016"]]},"title":"Difference in the pharmacokinetics and hepatic metabolism of antidiabetic drugs in Zucker diabetic fatty and sprague-dawley rats","type":"article-journal","volume":"44"},"uris":["http://www.mendeley.com/documents/?uuid=701abf42-9838-36d3-8d51-28f88058ee69"]}],"mendeley":{"formattedCitation":"(Zhou et al., 2016)","plainTextFormattedCitation":"(Zhou et al., 2016)","previouslyFormattedCitation":"(Zhou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(Zhou et al., 2016)</w:t>
      </w:r>
      <w:r>
        <w:rPr>
          <w:rFonts w:ascii="Times New Roman" w:hAnsi="Times New Roman" w:cs="Times New Roman"/>
          <w:sz w:val="24"/>
          <w:szCs w:val="24"/>
        </w:rPr>
        <w:fldChar w:fldCharType="end"/>
      </w:r>
      <w:r>
        <w:rPr>
          <w:rFonts w:ascii="Times New Roman" w:hAnsi="Times New Roman" w:cs="Times New Roman"/>
          <w:sz w:val="24"/>
          <w:szCs w:val="24"/>
        </w:rPr>
        <w:t>. Drug-drug interactions, especially concerning hepatic metabolism, must be carefully considered to avoid unintended alterations in drug clearance.</w:t>
      </w:r>
    </w:p>
    <w:p w14:paraId="7BB9928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the impact of hepatic and extrahepatic metabolism on drug pharmacokinetics is multifaceted. The liver's central role in drug metabolism shapes clearance and systemic exposure, with genetic polymorphisms introducing variability. Extrahepatic metabolism, occurring in various tissues, adds an additional layer of complexity, influencing overall drug clearance and bioavailability. This intricate interplay between hepatic and extrahepatic metabolism underscores the importance of considering these factors in drug development, dosage optimization, and the implementation of personalized medicine approaches.</w:t>
      </w:r>
    </w:p>
    <w:p w14:paraId="1936C9D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mechanisms of drug-drug interactions involving metabolism, including enzyme induction and inhibition.</w:t>
      </w:r>
    </w:p>
    <w:p w14:paraId="65EA088E"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Drug-drug interactions constitute a complex phenomenon in pharmacology, often influencing the metabolism of co-administered drugs and altering their pharmacokinetic profiles. Two key mechanisms involved in these interactions are enzyme induction and inhibition.</w:t>
      </w:r>
    </w:p>
    <w:p w14:paraId="5E572C6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Enzyme Induction</w:t>
      </w:r>
    </w:p>
    <w:p w14:paraId="514FCFE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Enzyme induction occurs when a drug stimulates the synthesis of drug-metabolizing enzymes, predominantly those belonging to the cytochrome P450 (CYP) family. This increased enzyme activity accelerates the metabolism of co-administered drugs, potentially leading to reduced therapeutic efficacy. Common inducers include rifampin, phenobarbital, and carbamazepine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{"citationItems":[{"id":"ITEM-1","itemData":{"DOI":"10.1211/jpp.61.05.0002","ISSN":"0022-3573","abstract":"Objective Although the human small intestine serves primarily as an absorptive organ for nutrients and water, it also has the ability to metabolise drugs. Interest in the small intestine as a drug-metabolising organ has been increasing since the realisation that it is probably the most important extrahepatic site of drug biotransformation. Key findings Among the metabolising enzymes present in the small intestinal mucosa, the cytochromes P450 (CYPs) are of particular importance, being responsible for the majority of phase I drug metabolism reactions. Many drug interactions involving induction or inhibition of CYP enzymes, in particular CYP3A, have been proposed to occur substantially at the level of the intestine rather than exclusively within the liver, as originally thought. CYP3A and CYP2C represent the major intestinal CYPs, accounting for approximately 80% and 18%, respectively, of total immunoquantified CYPs. CYP2J2 is also consistently expressed in the human gut wall. In the case of CYP1A1, large interindividual variation in the expression levels has been reported. Data for the intestinal expression of the polymorphic CYP2D6 are conflicting. Several other CYPs, including the common hepatic isoform CYP2E1, are expressed in the human small intestine to only a very low extent, if at all. The distribution of most CYP enzymes is not uniform along the human gastrointestinal tract, being generally higher in the proximal regions of the small intestine. Summary This article reviews the current state of knowledge of CYP enzyme expression in human small intestine, the role of the gut wall in CYP-mediated metabolism, and how this metabolism limits the bioavailability of orally administered drugs. Possible interactions between drugs and CYP activity in the small intestine are also discussed.","author":[{"dropping-particle":"","family":"Thelen","given":"Kirstin","non-dropping-particle":"","parse-names":false,"suffix":""},{"dropping-particle":"","family":"Dressman","given":"Jennifer B","non-dropping-particle":"","parse-names":false,"suffix":""}],"container-title":"Journal of Pharmacy and Pharmacology","id":"ITEM-1","issue":"5","issued":{"date-parts":[["2010"]]},"title":"Cytochrome P450-mediated metabolism in the human gut wall","type":"article-journal","volume":"61"},"uris":["http://www.mendeley.com/documents/?uuid=8d505bea-2493-38e7-9412-4aaff256623d"]}],"mendeley":{"formattedCitation":"(Thelen &amp; Dressman, 2010)","plainTextFormattedCitation":"(Thelen &amp; Dressman, 2010)","previouslyFormattedCitation":"(Thelen &amp; Dressman,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(Thelen &amp; Dressman, 2010)</w:t>
      </w:r>
      <w:r>
        <w:rPr>
          <w:rFonts w:ascii="Times New Roman" w:hAnsi="Times New Roman" w:cs="Times New Roman"/>
          <w:sz w:val="24"/>
          <w:szCs w:val="24"/>
        </w:rPr>
        <w:fldChar w:fldCharType="end"/>
      </w:r>
      <w:r>
        <w:rPr>
          <w:rFonts w:ascii="Times New Roman" w:hAnsi="Times New Roman" w:cs="Times New Roman"/>
          <w:sz w:val="24"/>
          <w:szCs w:val="24"/>
        </w:rPr>
        <w:t>.</w:t>
      </w:r>
    </w:p>
    <w:p w14:paraId="7DE6976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mechanism behind enzyme induction involves the activation of nuclear receptors, such as the </w:t>
      </w:r>
      <w:proofErr w:type="spellStart"/>
      <w:r>
        <w:rPr>
          <w:rFonts w:ascii="Times New Roman" w:hAnsi="Times New Roman" w:cs="Times New Roman"/>
          <w:sz w:val="24"/>
          <w:szCs w:val="24"/>
        </w:rPr>
        <w:t>pregnane</w:t>
      </w:r>
      <w:proofErr w:type="spellEnd"/>
      <w:r>
        <w:rPr>
          <w:rFonts w:ascii="Times New Roman" w:hAnsi="Times New Roman" w:cs="Times New Roman"/>
          <w:sz w:val="24"/>
          <w:szCs w:val="24"/>
        </w:rPr>
        <w:t xml:space="preserve"> X receptor (PXR) and constitutive androstane receptor (CAR). These receptors, when activated by an inducer, translocate to the nucleus and initiate the transcription of genes encoding drug-metabolizing enzymes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{"citationItems":[{"id":"ITEM-1","itemData":{"DOI":"10.1211/jpp/61.05.0002","ISSN":"00223573","abstract":"OBJECTIVE Although the human small intestine serves primarily as an absorptive organ for nutrients and water, it also has the ability to metabolise drugs. Interest in the small intestine as a drug-metabolising organ has been increasing since the realisation that it is probably the most important extrahepatic site of drug biotransformation. KEY FINDINGS Among the metabolising enzymes present in the small intestinal mucosa, the cytochromes P450 (CYPs) are of particular importance, being responsible for the majority of phase I drug metabolism reactions. Many drug interactions involving induction or inhibition of CYP enzymes, in particular CYP3A, have been proposed to occur substantially at the level of the intestine rather than exclusively within the liver, as originally thought. CYP3A and CYP2C represent the major intestinal CYPs, accounting for approximately 80% and 18%, respectively, of total immunoquantified CYPs. CYP2J2 is also consistently expressed in the human gut wall. In the case of CYP1A1, large interindividual variation in the expression levels has been reported. Data for the intestinal expression of the polymorphic CYP2D6 are conflicting. Several other CYPs, including the common hepatic isoform CYP2E1, are expressed in the human small intestine to only a very low extent, if at all. The distribution of most CYP enzymes is not uniform along the human gastrointestinal tract, being generally higher in the proximal regions of the small intestine. SUMMARY This article reviews the current state of knowledge of CYP enzyme expression in human small intestine, the role of the gut wall in CYP-mediated metabolism, and how this metabolism limits the bioavailability of orally administered drugs. Possible interactions between drugs and CYP activity in the small intestine are also discussed.","author":[{"dropping-particle":"","family":"Dressman","given":"Jennifer B.","non-dropping-particle":"","parse-names":false,"suffix":""},{"dropping-particle":"","family":"Thelen","given":"Kirstin","non-dropping-particle":"","parse-names":false,"suffix":""}],"container-title":"Journal of Pharmacy and Pharmacology","id":"ITEM-1","issue":"5","issued":{"date-parts":[["2009"]]},"title":"Cytochrome P450-mediated metabolism in the human gut wall","type":"article-journal","volume":"61"},"uris":["http://www.mendeley.com/documents/?uuid=74037d77-1388-34a6-811c-acb776d2cfcd"]}],"mendeley":{"formattedCitation":"(Dressman &amp; Thelen, 2009)","plainTextFormattedCitation":"(Dressman &amp; Thelen, 2009)","previouslyFormattedCitation":"(Dressman &amp; Thelen,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(Dressman &amp; Thelen, 2009)</w:t>
      </w:r>
      <w:r>
        <w:rPr>
          <w:rFonts w:ascii="Times New Roman" w:hAnsi="Times New Roman" w:cs="Times New Roman"/>
          <w:sz w:val="24"/>
          <w:szCs w:val="24"/>
        </w:rPr>
        <w:fldChar w:fldCharType="end"/>
      </w:r>
      <w:r>
        <w:rPr>
          <w:rFonts w:ascii="Times New Roman" w:hAnsi="Times New Roman" w:cs="Times New Roman"/>
          <w:sz w:val="24"/>
          <w:szCs w:val="24"/>
        </w:rPr>
        <w:t>. Consequently, an accelerated metabolism ensues, resulting in the enhanced clearance of co-administered drugs. This can lead to sub therapeutic drug levels, compromising the intended therapeutic effect.</w:t>
      </w:r>
    </w:p>
    <w:p w14:paraId="124AE16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Enzyme Inhibition</w:t>
      </w:r>
    </w:p>
    <w:p w14:paraId="5DB6BD1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Conversely, enzyme inhibition occurs when one drug impedes the activity of drug-metabolizing enzymes, typically CYP enzymes. Inhibition can be competitive, non-competitive, or mixed, and it results in decreased metabolism and increased plasma concentrations of co-administered drugs. Notable inhibitors include ketoconazole, erythromycin, and cimetidine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{"citationItems":[{"id":"ITEM-1","itemData":{"DOI":"10.4172/2157-7609.1000131","abstract":"Objective: For clinicians it is challenging to oversee complex drug interactions of multi-drug administration. Rheumatoid arthritis (RA) patients are frequently under long-term medication with multiple anti-inflammatory and pain-relieving drugs, which are mainly metabolized by the Cytochrome P450 enzymes (CYPs). Additionally, treatment of co-morbidities, such as inflammatory periodontal disease (PD) may have to involve further drug administration. The aim of this investigation was to analyze drug interactions in the therapy of RA and PD and to provide a resource for health professionals to easily check interactions and avoid potential side effects. Methods: Information on drug administration in the therapy of RA and PD and expression data of human tissues regarding CYPs was gathered and/or analyzed from scientific literature and web resources. A literature compilation was developed and CYP interaction tables were generated. Results: Side effects, such as enzyme overload or enzyme induction and inhibition may occur in the therapy of RA and PD. To overcome these problems, a web-interface was developed to optimize drug cocktails. The compilation provides manually curated information on the metabolism of 1,500 drugs including 100,000 PubMed references, covering a variety of co-morbidities. Moreover, based on the WHO classification system for drugs (ATC-codes), the knowledge base offers drug alternatives, avoiding CYP-related problems. The web-interface is publicly available: http://bioinformatics.charite.de/perio Conclusions: After a detailed drug anamnesis, health professionals should use a web-interface to check drug interactions involving CYP metabolism, which may circumvent adverse side effects and optimize interdisciplinary drug therapy.","author":[{"dropping-particle":"","family":"Preissner","given":"Saskia","non-dropping-particle":"","parse-names":false,"suffix":""}],"container-title":"Journal of Drug Metabolism &amp; Toxicology","id":"ITEM-1","issue":"05","issued":{"date-parts":[["2012"]]},"title":"Drug Interactions Involving the Cytochrome P450 Enzymes: Analysis of Common Combinations of Antibiotics and Pain Relieving Drugs","type":"article-journal","volume":"03"},"uris":["http://www.mendeley.com/documents/?uuid=9899bfc0-3094-334d-9a54-a47d85c7dc7d"]}],"mendeley":{"formattedCitation":"(Preissner, 2012)","plainTextFormattedCitation":"(Preissner, 2012)","previouslyFormattedCitation":"(Preissner,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(Preissner, 2012)</w:t>
      </w:r>
      <w:r>
        <w:rPr>
          <w:rFonts w:ascii="Times New Roman" w:hAnsi="Times New Roman" w:cs="Times New Roman"/>
          <w:sz w:val="24"/>
          <w:szCs w:val="24"/>
        </w:rPr>
        <w:fldChar w:fldCharType="end"/>
      </w:r>
      <w:r>
        <w:rPr>
          <w:rFonts w:ascii="Times New Roman" w:hAnsi="Times New Roman" w:cs="Times New Roman"/>
          <w:sz w:val="24"/>
          <w:szCs w:val="24"/>
        </w:rPr>
        <w:t>.</w:t>
      </w:r>
    </w:p>
    <w:p w14:paraId="4680A81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Competitive inhibition involves the inhibitor binding to the active site of the enzyme, directly competing with the substrate. Non-competitive inhibition involves the inhibitor binding to an allosteric site on the enzyme, altering its conformation and reducing its activity. Mixed inhibition combines elements of both competitive and non-competitive inhibition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{"citationItems":[{"id":"ITEM-1","itemData":{"ISSN":"0002838X","abstract":"Many drug interactions are a result of inhibition or induction of cytochrome P450 enzymes (CYP450). The CYP3A subfamily is involved in many clinically significant drug interactions, including those involving nonsedating antihistamines and cisapride, that may result in cardiac dysrhythmias. CYP3A4 and CYP1A2 enzymes are involved in drug interactions involving theophylline. CYP2D6 is responsible for the metabolism of many psychotherapeutic agents. The protease inhibitors, which are used to treat patients infected with the human immunodeficiency virus, are metabolized by the CYP450 enzymes and consequently interact with a multitude of other medications. By understanding the unique functions and characteristics of these enzymes, physicians may better anticipate and manage drug interactions and may predict or explain an individual's response to a particular therapeutic regimen.","author":[{"dropping-particle":"","family":"Cupp","given":"Melanie Johns","non-dropping-particle":"","parse-names":false,"suffix":""},{"dropping-particle":"","family":"Tract","given":"Timothy S.","non-dropping-particle":"","parse-names":false,"suffix":""}],"container-title":"American Family Physician","id":"ITEM-1","issue":"1","issued":{"date-parts":[["1998"]]},"title":"Cytochrome P450: New nomenclature and clinical implications","type":"article","volume":"57"},"uris":["http://www.mendeley.com/documents/?uuid=b93b0457-8860-38d0-b7bd-75b47ded9b60"]}],"mendeley":{"formattedCitation":"(Cupp &amp; Tract, 1998)","plainTextFormattedCitation":"(Cupp &amp; Tract, 1998)","previouslyFormattedCitation":"(Cupp &amp; Tract, 1998)"},"properties":{"noteIndex":0},"schema":"https://github.com/citation-style-language/schema/raw/master/csl-citation.json"}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(Cupp &amp; Tract, 1998)</w:t>
      </w:r>
      <w:r>
        <w:rPr>
          <w:rFonts w:ascii="Times New Roman" w:hAnsi="Times New Roman" w:cs="Times New Roman"/>
          <w:sz w:val="24"/>
          <w:szCs w:val="24"/>
        </w:rPr>
        <w:fldChar w:fldCharType="end"/>
      </w:r>
      <w:r>
        <w:rPr>
          <w:rFonts w:ascii="Times New Roman" w:hAnsi="Times New Roman" w:cs="Times New Roman"/>
          <w:sz w:val="24"/>
          <w:szCs w:val="24"/>
        </w:rPr>
        <w:t>. The consequences of enzyme inhibition are profound, potentially leading to elevated drug concentrations and an increased risk of adverse effects. Therapeutic monitoring and dose adjustments become essential to mitigate the potential for toxicity.</w:t>
      </w:r>
    </w:p>
    <w:p w14:paraId="50BD75E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Clinical Implications</w:t>
      </w:r>
    </w:p>
    <w:p w14:paraId="0F6159A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Understanding the mechanisms of enzyme induction and inhibition is crucial in clinical practice. The potential for drug-drug interactions necessitates careful consideration when prescribing multiple medications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{"citationItems":[{"id":"ITEM-1","itemData":{"DOI":"10.1046/j.1365-2710.1999.00201.x","ISSN":"02694727","abstract":"Pharmacokinetic interactions between antiepileptics represent a major potential complication of epilepsy treatment because drug combinations are common. This review discusses pharmacokinetic drug interactions of clinical significance involving antiepileptics and cytochrome P450 (CYP). Most commonly used antiepileptics are eliminated through hepatic metabolism, catalysed by the enzymes CYP2C9, CYP2C19 and CYP3A4 and uridine diphosphate glucuronosyltransferase (UDGPT). Antiepileptics are associated with a wide range of drug interactions, including hepatic enzyme induction and inhibition. Phenytoin, phenobarbiral, primidone and carbamazepine induce CYP and UDPGT enzymes while valproic acid inhibits them. Avoidance of unnecessary polypharmacy, selection of alternative agents with lower interaction potential and careful dosage adjustments based on serum drug concentration monitoring and clinical observation are the main methods for reducing the risks associated with these interactions.","author":[{"dropping-particle":"","family":"Tanaka","given":"E.","non-dropping-particle":"","parse-names":false,"suffix":""}],"container-title":"Journal of Clinical Pharmacy and Therapeutics","id":"ITEM-1","issue":"2","issued":{"date-parts":[["1999"]]},"title":"Clinically significant pharmacokinetic drug interactions between antiepileptic drugs","type":"article","volume":"24"},"uris":["http://www.mendeley.com/documents/?uuid=497f6a31-7ceb-3112-9f00-dd33a628bb90"]}],"mendeley":{"formattedCitation":"(Tanaka, 1999)","plainTextFormattedCitation":"(Tanaka, 1999)","previouslyFormattedCitation":"(Tanaka, 1999)"},"properties":{"noteIndex":0},"schema":"https://github.com/citation-style-language/schema/raw/master/csl-citation.json"}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(Tanaka, 1999)</w:t>
      </w:r>
      <w:r>
        <w:rPr>
          <w:rFonts w:ascii="Times New Roman" w:hAnsi="Times New Roman" w:cs="Times New Roman"/>
          <w:sz w:val="24"/>
          <w:szCs w:val="24"/>
        </w:rPr>
        <w:fldChar w:fldCharType="end"/>
      </w:r>
      <w:r>
        <w:rPr>
          <w:rFonts w:ascii="Times New Roman" w:hAnsi="Times New Roman" w:cs="Times New Roman"/>
          <w:sz w:val="24"/>
          <w:szCs w:val="24"/>
        </w:rPr>
        <w:t>. For instance, the induction of drug-metabolizing enzymes may require dose adjustments for drugs whose clearance is accelerated, ensuring therapeutic efficacy is maintained. Conversely, in cases of enzyme inhibition, dose reductions may be necessary to prevent elevated drug concentrations and associated adverse effects.</w:t>
      </w:r>
    </w:p>
    <w:p w14:paraId="24B8B4E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impact of enzyme induction and inhibition extends beyond pharmacokinetics to pharmacodynamics, influencing the therapeutic response and the potential for toxicity. For example, the co-administration of an enzyme-inducing drug with an oral contraceptive may compromise contraceptive efficacy due to increased metabolism of the contraceptive agent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{"citationItems":[{"id":"ITEM-1","itemData":{"DOI":"10.1211/jpp/61.05.0002","ISSN":"00223573","abstract":"OBJECTIVE Although the human small intestine serves primarily as an absorptive organ for nutrients and water, it also has the ability to metabolise drugs. Interest in the small intestine as a drug-metabolising organ has been increasing since the realisation that it is probably the most important extrahepatic site of drug biotransformation. KEY FINDINGS Among the metabolising enzymes present in the small intestinal mucosa, the cytochromes P450 (CYPs) are of particular importance, being responsible for the majority of phase I drug metabolism reactions. Many drug interactions involving induction or inhibition of CYP enzymes, in particular CYP3A, have been proposed to occur substantially at the level of the intestine rather than exclusively within the liver, as originally thought. CYP3A and CYP2C represent the major intestinal CYPs, accounting for approximately 80% and 18%, respectively, of total immunoquantified CYPs. CYP2J2 is also consistently expressed in the human gut wall. In the case of CYP1A1, large interindividual variation in the expression levels has been reported. Data for the intestinal expression of the polymorphic CYP2D6 are conflicting. Several other CYPs, including the common hepatic isoform CYP2E1, are expressed in the human small intestine to only a very low extent, if at all. The distribution of most CYP enzymes is not uniform along the human gastrointestinal tract, being generally higher in the proximal regions of the small intestine. SUMMARY This article reviews the current state of knowledge of CYP enzyme expression in human small intestine, the role of the gut wall in CYP-mediated metabolism, and how this metabolism limits the bioavailability of orally administered drugs. Possible interactions between drugs and CYP activity in the small intestine are also discussed.","author":[{"dropping-particle":"","family":"Dressman","given":"Jennifer B.","non-dropping-particle":"","parse-names":false,"suffix":""},{"dropping-particle":"","family":"Thelen","given":"Kirstin","non-dropping-particle":"","parse-names":false,"suffix":""}],"container-title":"Journal of Pharmacy and Pharmacology","id":"ITEM-1","issue":"5","issued":{"date-parts":[["2009"]]},"title":"Cytochrome P450-mediated metabolism in the human gut wall","type":"article-journal","volume":"61"},"uris":["http://www.mendeley.com/documents/?uuid=74037d77-1388-34a6-811c-acb776d2cfcd"]}],"mendeley":{"formattedCitation":"(Dressman &amp; Thelen, 2009)","plainTextFormattedCitation":"(Dressman &amp; Thelen, 2009)","previouslyFormattedCitation":"(Dressman &amp; Thelen,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(Dressman &amp; Thelen, 2009)</w:t>
      </w:r>
      <w:r>
        <w:rPr>
          <w:rFonts w:ascii="Times New Roman" w:hAnsi="Times New Roman" w:cs="Times New Roman"/>
          <w:sz w:val="24"/>
          <w:szCs w:val="24"/>
        </w:rPr>
        <w:fldChar w:fldCharType="end"/>
      </w:r>
      <w:r>
        <w:rPr>
          <w:rFonts w:ascii="Times New Roman" w:hAnsi="Times New Roman" w:cs="Times New Roman"/>
          <w:sz w:val="24"/>
          <w:szCs w:val="24"/>
        </w:rPr>
        <w:t>.</w:t>
      </w:r>
    </w:p>
    <w:p w14:paraId="5D01EBD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the mechanisms of enzyme induction and inhibition play a pivotal role in drug-drug interactions, significantly influencing the pharmacokinetics and pharmacodynamics of co-administered drugs. Awareness of potential interactions, diligent monitoring, and individualized therapeutic strategies are essential to mitigate the risks and ensure optimal therapeutic outcomes in the complex landscape of polypharmacy.</w:t>
      </w:r>
    </w:p>
    <w:p w14:paraId="2DC0BD9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Explore the concept of pharmacogenomics and its implications for personalized medicine in drug metabolism.</w:t>
      </w:r>
    </w:p>
    <w:p w14:paraId="56353B3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Pharmacogenomics represents a revolutionary field at the intersection of genetics and pharmacology, offering insights into how an individual's genetic makeup influences their response to drugs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{"citationItems":[{"id":"ITEM-1","itemData":{"DOI":"10.1038/sj.tpj.6500384","ISSN":"1470269X","author":[{"dropping-particle":"","family":"Mangravite","given":"L. M.","non-dropping-particle":"","parse-names":false,"suffix":""},{"dropping-particle":"","family":"Thorn","given":"C. F.","non-dropping-particle":"","parse-names":false,"suffix":""},{"dropping-particle":"","family":"Krauss","given":"R. M.","non-dropping-particle":"","parse-names":false,"suffix":""}],"container-title":"Pharmacogenomics Journal","id":"ITEM-1","issue":"6","issued":{"date-parts":[["2006"]]},"title":"Clinical implications of pharmacogenomics of statin treatment","type":"article-journal","volume":"6"},"uris":["http://www.mendeley.com/documents/?uuid=09f62b37-d82e-3c52-9140-4d8c31fc6e66"]}],"mendeley":{"formattedCitation":"(Mangravite et al., 2006)","plainTextFormattedCitation":"(Mangravite et al., 2006)","previouslyFormattedCitation":"(Mangravite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(Mangravite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This concept has profound implications for personalized </w:t>
      </w:r>
      <w:r>
        <w:rPr>
          <w:rFonts w:ascii="Times New Roman" w:hAnsi="Times New Roman" w:cs="Times New Roman"/>
          <w:sz w:val="24"/>
          <w:szCs w:val="24"/>
        </w:rPr>
        <w:lastRenderedPageBreak/>
        <w:t xml:space="preserve">medicine, particularly in the realm of drug metabolism, where genetic variability plays a significant role in determining individual responses to medications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{"citationItems":[{"id":"ITEM-1","itemData":{"DOI":"10.1186/s40360-015-0001-5","ISSN":"20506511","abstract":"Background: This study aimed to determine whether single nucleotide polymorphisms (SNPs) in genes involved in DNA repair or metabolism of taxanes or platinum could predict toxicity or response to first-line chemotherapy in ovarian cancer. Methods: Twenty-six selected SNPs in 18 genes were genotyped in 322 patients treated with first-line paclitaxel-carboplatin or carboplatin mono-therapy. Genotypes were correlated with toxicity events (anemia, neutropenia, thrombocytopenia, febrile neutropenia, neurotoxicity), use of growth factors and survival. Results: The risk of anemia was increased for variant alleles of rs1128503 (ABCB1, C &gt; T; p = 0.023, OR = 1.71, 95% CI = 1.07-2.71), rs363717 (ABCA1, A &gt; G; p = 0.002, OR = 2.08, 95% CI = 1.32-3.27) and rs11615 (ERCC1, T &gt; C; p = 0.031, OR = 1.61, 95% CI = 1.04-2.50), while it was decreased for variant alleles of rs12762549 (ABCC2, C &gt; G; p = 0.004, OR = 0.51, 95% CI = 0.33-0.81). Likewise, increased risk of thrombocytopenia was associated with rs4986910 (CYP3A4, T &gt; C; p = 0.025, OR = 4.99, 95% CI = 1.22-20.31). No significant correlations were found for neurotoxicity. Variant alleles of rs2073337 (ABCC2, A &gt; G; p = 0.039, OR = 0.60, 95% CI = 0.37-0.98), rs1695 (ABCC1, A &gt; G; p = 0.017, OR = 0.55, 95% CI 0.33-0.90) and rs1799793 (ERCC2, G &gt; A; p = 0.042, OR = 0.63, 95% CI 0.41-0.98) associated with the use of colony stimulating factors (CSF), while rs2074087 (ABCC1, G &gt; C; p = 0.011, OR = 2.09, 95% CI 1.18-3.68) correlated with use of erythropoiesis stimulating agents (ESAs). Homozygous carriers of the rs1799793 (ERCC2, G &gt; A) G-allele had a prolonged platinum-free interval (p = 0.016). Conclusions: Our data reveal significant correlations between genetic variants of transport, hepatic metabolism, platinum related detoxification or DNA damage repair and toxicity or outcome in ovarian cancer.","author":[{"dropping-particle":"","family":"Lambrechts","given":"Sandrina","non-dropping-particle":"","parse-names":false,"suffix":""},{"dropping-particle":"","family":"Lambrechts","given":"Diether","non-dropping-particle":"","parse-names":false,"suffix":""},{"dropping-particle":"","family":"Despierre","given":"Evelyn","non-dropping-particle":"","parse-names":false,"suffix":""},{"dropping-particle":"","family":"Nieuwenhuysen","given":"Els","non-dropping-particle":"Van","parse-names":false,"suffix":""},{"dropping-particle":"","family":"Smeets","given":"Dominiek","non-dropping-particle":"","parse-names":false,"suffix":""},{"dropping-particle":"","family":"Debruyne","given":"Philip R.","non-dropping-particle":"","parse-names":false,"suffix":""},{"dropping-particle":"","family":"Renard","given":"Vincent","non-dropping-particle":"","parse-names":false,"suffix":""},{"dropping-particle":"","family":"Vroman","given":"Philippe","non-dropping-particle":"","parse-names":false,"suffix":""},{"dropping-particle":"","family":"Luyten","given":"Daisy","non-dropping-particle":"","parse-names":false,"suffix":""},{"dropping-particle":"","family":"Neven","given":"Patrick","non-dropping-particle":"","parse-names":false,"suffix":""},{"dropping-particle":"","family":"Amant","given":"Frédéric","non-dropping-particle":"","parse-names":false,"suffix":""},{"dropping-particle":"","family":"Leunen","given":"Karin","non-dropping-particle":"","parse-names":false,"suffix":""},{"dropping-particle":"","family":"Vergote","given":"Ignace","non-dropping-particle":"","parse-names":false,"suffix":""}],"container-title":"BMC Pharmacology and Toxicology","id":"ITEM-1","issue":"1","issued":{"date-parts":[["2015"]]},"title":"Genetic variability in drug transport, metabolism or DNA repair affecting toxicity of chemotherapy in ovarian cancer","type":"article-journal","volume":"16"},"uris":["http://www.mendeley.com/documents/?uuid=8d64e7e5-8377-3325-9c23-7f04c3b6ef94"]}],"mendeley":{"formattedCitation":"(Lambrechts et al., 2015)","plainTextFormattedCitation":"(Lambrechts et al., 2015)","previouslyFormattedCitation":"(Lambrechts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(Lambrechts et al., 2015)</w:t>
      </w:r>
      <w:r>
        <w:rPr>
          <w:rFonts w:ascii="Times New Roman" w:hAnsi="Times New Roman" w:cs="Times New Roman"/>
          <w:sz w:val="24"/>
          <w:szCs w:val="24"/>
        </w:rPr>
        <w:fldChar w:fldCharType="end"/>
      </w:r>
      <w:r>
        <w:rPr>
          <w:rFonts w:ascii="Times New Roman" w:hAnsi="Times New Roman" w:cs="Times New Roman"/>
          <w:sz w:val="24"/>
          <w:szCs w:val="24"/>
        </w:rPr>
        <w:t>.</w:t>
      </w:r>
    </w:p>
    <w:p w14:paraId="532CA6A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Genetic Variability and Drug Metabolism</w:t>
      </w:r>
    </w:p>
    <w:p w14:paraId="73017AE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human genome contains a multitude of genes responsible for encoding drug-metabolizing enzymes, particularly those of the cytochrome P450 (CYP) family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{"citationItems":[{"id":"ITEM-1","itemData":{"DOI":"10.1186/s40360-015-0001-5","ISSN":"20506511","abstract":"Background: This study aimed to determine whether single nucleotide polymorphisms (SNPs) in genes involved in DNA repair or metabolism of taxanes or platinum could predict toxicity or response to first-line chemotherapy in ovarian cancer. Methods: Twenty-six selected SNPs in 18 genes were genotyped in 322 patients treated with first-line paclitaxel-carboplatin or carboplatin mono-therapy. Genotypes were correlated with toxicity events (anemia, neutropenia, thrombocytopenia, febrile neutropenia, neurotoxicity), use of growth factors and survival. Results: The risk of anemia was increased for variant alleles of rs1128503 (ABCB1, C &gt; T; p = 0.023, OR = 1.71, 95% CI = 1.07-2.71), rs363717 (ABCA1, A &gt; G; p = 0.002, OR = 2.08, 95% CI = 1.32-3.27) and rs11615 (ERCC1, T &gt; C; p = 0.031, OR = 1.61, 95% CI = 1.04-2.50), while it was decreased for variant alleles of rs12762549 (ABCC2, C &gt; G; p = 0.004, OR = 0.51, 95% CI = 0.33-0.81). Likewise, increased risk of thrombocytopenia was associated with rs4986910 (CYP3A4, T &gt; C; p = 0.025, OR = 4.99, 95% CI = 1.22-20.31). No significant correlations were found for neurotoxicity. Variant alleles of rs2073337 (ABCC2, A &gt; G; p = 0.039, OR = 0.60, 95% CI = 0.37-0.98), rs1695 (ABCC1, A &gt; G; p = 0.017, OR = 0.55, 95% CI 0.33-0.90) and rs1799793 (ERCC2, G &gt; A; p = 0.042, OR = 0.63, 95% CI 0.41-0.98) associated with the use of colony stimulating factors (CSF), while rs2074087 (ABCC1, G &gt; C; p = 0.011, OR = 2.09, 95% CI 1.18-3.68) correlated with use of erythropoiesis stimulating agents (ESAs). Homozygous carriers of the rs1799793 (ERCC2, G &gt; A) G-allele had a prolonged platinum-free interval (p = 0.016). Conclusions: Our data reveal significant correlations between genetic variants of transport, hepatic metabolism, platinum related detoxification or DNA damage repair and toxicity or outcome in ovarian cancer.","author":[{"dropping-particle":"","family":"Lambrechts","given":"Sandrina","non-dropping-particle":"","parse-names":false,"suffix":""},{"dropping-particle":"","family":"Lambrechts","given":"Diether","non-dropping-particle":"","parse-names":false,"suffix":""},{"dropping-particle":"","family":"Despierre","given":"Evelyn","non-dropping-particle":"","parse-names":false,"suffix":""},{"dropping-particle":"","family":"Nieuwenhuysen","given":"Els","non-dropping-particle":"Van","parse-names":false,"suffix":""},{"dropping-particle":"","family":"Smeets","given":"Dominiek","non-dropping-particle":"","parse-names":false,"suffix":""},{"dropping-particle":"","family":"Debruyne","given":"Philip R.","non-dropping-particle":"","parse-names":false,"suffix":""},{"dropping-particle":"","family":"Renard","given":"Vincent","non-dropping-particle":"","parse-names":false,"suffix":""},{"dropping-particle":"","family":"Vroman","given":"Philippe","non-dropping-particle":"","parse-names":false,"suffix":""},{"dropping-particle":"","family":"Luyten","given":"Daisy","non-dropping-particle":"","parse-names":false,"suffix":""},{"dropping-particle":"","family":"Neven","given":"Patrick","non-dropping-particle":"","parse-names":false,"suffix":""},{"dropping-particle":"","family":"Amant","given":"Frédéric","non-dropping-particle":"","parse-names":false,"suffix":""},{"dropping-particle":"","family":"Leunen","given":"Karin","non-dropping-particle":"","parse-names":false,"suffix":""},{"dropping-particle":"","family":"Vergote","given":"Ignace","non-dropping-particle":"","parse-names":false,"suffix":""}],"container-title":"BMC Pharmacology and Toxicology","id":"ITEM-1","issue":"1","issued":{"date-parts":[["2015"]]},"title":"Genetic variability in drug transport, metabolism or DNA repair affecting toxicity of chemotherapy in ovarian cancer","type":"article-journal","volume":"16"},"uris":["http://www.mendeley.com/documents/?uuid=8d64e7e5-8377-3325-9c23-7f04c3b6ef94"]}],"mendeley":{"formattedCitation":"(Lambrechts et al., 2015)","plainTextFormattedCitation":"(Lambrechts et al., 2015)","previouslyFormattedCitation":"(Lambrechts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(Lambrechts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These enzymes play a central role in Phase I metabolism, modifying drugs to facilitate their elimination from the body. Genetic polymorphisms in these enzyme-encoding genes contribute to inter-individual variability in drug metabolism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{"citationItems":[{"id":"ITEM-1","itemData":{"DOI":"10.1155/2015/368979","ISSN":"23144378","abstract":"Variation exists in patient response on analgesic treatment in terms of efficacy and safety. This variation may be in part explained by pharmacogenomics. This paper aimed to review data on pharmacogenomics of opioid analgesics focusing on the effect of genetic variation on the efficacy and safety of these agents. Current evidence suggests that pharmacogenomics contribute to variation in efficacy and safety of opioids. However, most data come from case control studies and case reports. In addition, a recognized drawback in the field of pharmacogenomics is the common occurrence of false positive association between polymorphisms and the investigated outcome. Prospective studies are needed to further elucidate the clinical implications of available data as well as to define the guidelines for the clinical application of pharmacogenomic data. Furthermore, basic research should focus on the identification of biologically meaningful polymorphisms enabling a hypothesis with biological plausibility driven research in the field of pharmacogenomics of analgesics. Moreover, the publication of relevant negative results should be favoured.","author":[{"dropping-particle":"","family":"Yiannakopoulou","given":"Eugenia","non-dropping-particle":"","parse-names":false,"suffix":""}],"container-title":"International Journal of Genomics","id":"ITEM-1","issued":{"date-parts":[["2015"]]},"title":"Pharmacogenomics and opioid analgesics: Clinical implications","type":"article","volume":"2015"},"uris":["http://www.mendeley.com/documents/?uuid=0d6aee32-3701-3a08-8cf9-bcd0d9517c76"]}],"mendeley":{"formattedCitation":"(Yiannakopoulou, 2015)","plainTextFormattedCitation":"(Yiannakopoulou, 2015)","previouslyFormattedCitation":"(Yiannakopoulou,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(Yiannakopoulou, 2015)</w:t>
      </w:r>
      <w:r>
        <w:rPr>
          <w:rFonts w:ascii="Times New Roman" w:hAnsi="Times New Roman" w:cs="Times New Roman"/>
          <w:sz w:val="24"/>
          <w:szCs w:val="24"/>
        </w:rPr>
        <w:fldChar w:fldCharType="end"/>
      </w:r>
      <w:r>
        <w:rPr>
          <w:rFonts w:ascii="Times New Roman" w:hAnsi="Times New Roman" w:cs="Times New Roman"/>
          <w:sz w:val="24"/>
          <w:szCs w:val="24"/>
        </w:rPr>
        <w:t>.</w:t>
      </w:r>
    </w:p>
    <w:p w14:paraId="1AD4D8E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Cytochrome P450 Polymorphisms</w:t>
      </w:r>
    </w:p>
    <w:p w14:paraId="72918F1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Certain genetic variations, such as single nucleotide polymorphisms (SNPs), can lead to altered enzyme activity. Notable examples include CYP2D6, CYP2C9, and CYP2C19 polymorphisms, which affect the metabolism of drugs like codeine, warfarin, and clopidogrel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{"citationItems":[{"id":"ITEM-1","itemData":{"DOI":"10.2217/14622416.7.4.613","ISSN":"14622416","abstract":"Among patients receiving adjuvant therapy for breast cancer, there is variability in treatment outcomes, and it is unclear which patients will receive the most benefit from treatment and which will have better disease-free survival. To date, most studies of breast cancer prognosis have focused on tumor characteristics, but it is likely that pharmacogenetics, genetic variability in the metabolism of therapeutic agents, also plays a role in the prediction of survival. In this paper, we briefly discuss the metabolic pathways of drugs commonly used for the treatment of breast cancer (cyclophosphamide, doxorubicin, taxanes, tamoxifen and aromatase inhibitors) and describe the known genetic variants that may impact those pathways. Studies that have evaluated potential effects of these genetic variants on treatment outcomes are also discussed. It is likely that the application of pharmacogenetics, particularly in the setting of randomized clinical trials, will contribute to findings that may result in individualized therapeutic dosing. © 2006 Future Medicine Ltd.","author":[{"dropping-particle":"","family":"Choi","given":"Ji Yeob","non-dropping-particle":"","parse-names":false,"suffix":""},{"dropping-particle":"","family":"Nowell","given":"Susan A.","non-dropping-particle":"","parse-names":false,"suffix":""},{"dropping-particle":"","family":"Blanco","given":"Javier G.","non-dropping-particle":"","parse-names":false,"suffix":""},{"dropping-particle":"","family":"Ambrosone","given":"Christine B.","non-dropping-particle":"","parse-names":false,"suffix":""}],"container-title":"Pharmacogenomics","id":"ITEM-1","issue":"4","issued":{"date-parts":[["2006"]]},"title":"The role of genetic variability in drug metabolism pathways in breast cancer prognosis","type":"article","volume":"7"},"uris":["http://www.mendeley.com/documents/?uuid=b2b3f15a-976a-393b-af00-148c94aafe64"]}],"mendeley":{"formattedCitation":"(Choi et al., 2006)","plainTextFormattedCitation":"(Choi et al., 2006)","previouslyFormattedCitation":"(Choi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(Choi et al., 2006)</w:t>
      </w:r>
      <w:r>
        <w:rPr>
          <w:rFonts w:ascii="Times New Roman" w:hAnsi="Times New Roman" w:cs="Times New Roman"/>
          <w:sz w:val="24"/>
          <w:szCs w:val="24"/>
        </w:rPr>
        <w:fldChar w:fldCharType="end"/>
      </w:r>
      <w:r>
        <w:rPr>
          <w:rFonts w:ascii="Times New Roman" w:hAnsi="Times New Roman" w:cs="Times New Roman"/>
          <w:sz w:val="24"/>
          <w:szCs w:val="24"/>
        </w:rPr>
        <w:t xml:space="preserve">, respectively. Individuals can be classified as poor metabolizers, extensive metabolizers, or ultra-rapid metabolizers based on their specific genetic variants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{"citationItems":[{"id":"ITEM-1","itemData":{"DOI":"10.2217/14622416.7.4.613","ISSN":"14622416","abstract":"Among patients receiving adjuvant therapy for breast cancer, there is variability in treatment outcomes, and it is unclear which patients will receive the most benefit from treatment and which will have better disease-free survival. To date, most studies of breast cancer prognosis have focused on tumor characteristics, but it is likely that pharmacogenetics, genetic variability in the metabolism of therapeutic agents, also plays a role in the prediction of survival. In this paper, we briefly discuss the metabolic pathways of drugs commonly used for the treatment of breast cancer (cyclophosphamide, doxorubicin, taxanes, tamoxifen and aromatase inhibitors) and describe the known genetic variants that may impact those pathways. Studies that have evaluated potential effects of these genetic variants on treatment outcomes are also discussed. It is likely that the application of pharmacogenetics, particularly in the setting of randomized clinical trials, will contribute to findings that may result in individualized therapeutic dosing. © 2006 Future Medicine Ltd.","author":[{"dropping-particle":"","family":"Choi","given":"Ji Yeob","non-dropping-particle":"","parse-names":false,"suffix":""},{"dropping-particle":"","family":"Nowell","given":"Susan A.","non-dropping-particle":"","parse-names":false,"suffix":""},{"dropping-particle":"","family":"Blanco","given":"Javier G.","non-dropping-particle":"","parse-names":false,"suffix":""},{"dropping-particle":"","family":"Ambrosone","given":"Christine B.","non-dropping-particle":"","parse-names":false,"suffix":""}],"container-title":"Pharmacogenomics","id":"ITEM-1","issue":"4","issued":{"date-parts":[["2006"]]},"title":"The role of genetic variability in drug metabolism pathways in breast cancer prognosis","type":"article","volume":"7"},"uris":["http://www.mendeley.com/documents/?uuid=b2b3f15a-976a-393b-af00-148c94aafe64"]}],"mendeley":{"formattedCitation":"(Choi et al., 2006)","plainTextFormattedCitation":"(Choi et al., 2006)","previouslyFormattedCitation":"(Choi et al., 2006)"},"properties":{"noteIndex":0},"schema":"https://github.com/citation-style-language/schema/raw/master/csl-citation.json"}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(Choi et al., 2006)</w:t>
      </w:r>
      <w:r>
        <w:rPr>
          <w:rFonts w:ascii="Times New Roman" w:hAnsi="Times New Roman" w:cs="Times New Roman"/>
          <w:sz w:val="24"/>
          <w:szCs w:val="24"/>
        </w:rPr>
        <w:fldChar w:fldCharType="end"/>
      </w:r>
      <w:r>
        <w:rPr>
          <w:rFonts w:ascii="Times New Roman" w:hAnsi="Times New Roman" w:cs="Times New Roman"/>
          <w:sz w:val="24"/>
          <w:szCs w:val="24"/>
        </w:rPr>
        <w:t>.</w:t>
      </w:r>
    </w:p>
    <w:p w14:paraId="552B9DF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Clinical Implications of Pharmacogenomics</w:t>
      </w:r>
    </w:p>
    <w:p w14:paraId="05586F3E"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Optimizing Drug Selection</w:t>
      </w:r>
    </w:p>
    <w:p w14:paraId="2CB054D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Pharmacogenomics information enables healthcare providers to select drugs tailored to an individual's genetic profile, maximizing efficacy and minimizing adverse effects. For instance, individuals with a specific CYP2D6 polymorphism may not respond adequately to codeine, prompting the use of alternative analgesics to achieve optimal pain management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{"citationItems":[{"id":"ITEM-1","itemData":{"DOI":"10.1038/s41397-021-00209-9","ISSN":"14731150","abstract":"The outbreak of Coronavirus disease 2019 (COVID-19) has evolved into an emergent global pandemic. Many drugs without established efficacy are being used to treat COVID-19 patients either as an offlabel/compassionate use or as a clinical trial. Although drug repurposing is an attractive approach with reduced time and cost, there is a need to make predictions on success before the start of therapy. For the optimum use of these repurposed drugs, many factors should be considered such as drug–gene or dug–drug interactions, drug toxicity, and patient co-morbidity. There is limited data on the pharmacogenomics of these agents and this may constitute an obstacle for successful COVID-19 therapy. This article reviewed the available human genome interactions with some promising repurposed drugs for COVID-19 management. These drugs include chloroquine (CQ), hydroxychloroquine (HCQ), azithromycin, lopinavir/ritonavir (LPV/r), atazanavir (ATV), favipiravir (FVP), nevirapine (NVP), efavirenz (EFV), oseltamivir, remdesivir, anakinra, tocilizumab (TCZ), eculizumab, heme oxygenase 1 (HO-1) regulators, renin–angiotensin–aldosterone system (RAAS) inhibitors, ivermectin, and nitazoxanide. Drug-gene variant pairs that may alter the therapeutic outcomes in COVID-19 patients are presented. The major drug variant pairs that associated with variations in clinical efficacy include CQ/HCQ (CYP2C8, CYP2D6, ACE2, and HO-1); azithromycin (ABCB1); LPV/r (SLCO1B1, ABCB1, ABCC2 and CYP3A); NVP (ABCC10); oseltamivir (CES1 and ABCB1); remdesivir (CYP2C8, CYP2D6, CYP3A4, and OATP1B1); anakinra (IL-1a); and TCZ (IL6R and FCGR3A). The major drug variant pairs that associated with variations in adverse effects include CQ/HCQ (G6PD; hemolysis and ABCA4; retinopathy), ATV (MDR1 and UGT1A1*28; hyperbilirubinemia; and APOA5; dyslipidemia), NVP (HLA-DRB1*01, HLA-B*3505 and CYP2B6; skin rash and MDR1; hepatotoxicity), and EFV (CYP2B6; depression and suicidal tendencies).","author":[{"dropping-particle":"","family":"Badary","given":"Osama A.","non-dropping-particle":"","parse-names":false,"suffix":""}],"container-title":"Pharmacogenomics Journal","id":"ITEM-1","issue":"3","issued":{"date-parts":[["2021"]]},"title":"Pharmacogenomics and COVID-19: clinical implications of human genome interactions with repurposed drugs","type":"article","volume":"21"},"uris":["http://www.mendeley.com/documents/?uuid=e2673f45-526a-3fe4-9b35-7fdc3c2bd190"]}],"mendeley":{"formattedCitation":"(Badary, 2021)","plainTextFormattedCitation":"(Badary, 2021)","previouslyFormattedCitation":"(Badary,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(Badary, 2021)</w:t>
      </w:r>
      <w:r>
        <w:rPr>
          <w:rFonts w:ascii="Times New Roman" w:hAnsi="Times New Roman" w:cs="Times New Roman"/>
          <w:sz w:val="24"/>
          <w:szCs w:val="24"/>
        </w:rPr>
        <w:fldChar w:fldCharType="end"/>
      </w:r>
      <w:r>
        <w:rPr>
          <w:rFonts w:ascii="Times New Roman" w:hAnsi="Times New Roman" w:cs="Times New Roman"/>
          <w:sz w:val="24"/>
          <w:szCs w:val="24"/>
        </w:rPr>
        <w:t>.</w:t>
      </w:r>
    </w:p>
    <w:p w14:paraId="03B2D81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Individualized Dosing</w:t>
      </w:r>
    </w:p>
    <w:p w14:paraId="7F183E4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variability influences drug clearance, impacting the appropriate dosage required to achieve therapeutic concentrations. For drugs metabolized by enzymes with known polymorphisms, such as warfarin, pharmacogenomics testing can guide personalized dosing strategies. This individualization helps avoid under- or over-dosing, optimizing treatment outcomes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{"citationItems":[{"id":"ITEM-1","itemData":{"DOI":"10.1371/journal.pone.0162866","ISSN":"19326203","abstract":"Pharmacogenomics aims to correlate inter-individual differences of drug efficacy and/or toxicity with the underlying genetic composition, particularly in genes encoding for protein factors and enzymes involved in drug metabolism and transport. In several European populations, particularly in countries with lower income, information related to the prevalence of pharmacogenomic biomarkers is incomplete or lacking. Here, we have implemented the microattribution approach to assess the pharmacogenomic biomarkers allelic spectrum in 18 European populations, mostly from developing European countries, by analyzing 1,931 pharmacogenomics biomarkers in 231 genes. Our data show significant interpopulation pharmacogenomic biomarker allele frequency differences, particularly in 7 clinically actionable pharmacogenomic biomarkers in 7 European populations, affecting drug efficacy and/or toxicity of 51 medication treatment modalities. These data also reflect on the differences observed in the prevalence of high-risk genotypes in these populations, as far as common markers in the CYP2C9, CYP2C19, CYP3A5, VKORC1, SLCO1B1 and TPMT pharmacogenes are concerned. Also, our data demonstrate notable differences in predicted genotype-based warfarin dosing among these populations. Our findings can be exploited not only to develop guidelines for medical prioritization, but most importantly to facilitate integration of pharmacogenomics and to support pre-emptive pharmacogenomic testing. This may subsequently contribute towards significant cost-savings in the overall healthcare expenditure in the participating countries, where pharmacogenomics implementation proves to be cost-effective.","author":[{"dropping-particle":"","family":"Mizzi","given":"Clint","non-dropping-particle":"","parse-names":false,"suffix":""},{"dropping-particle":"","family":"Dalabira","given":"Eleni","non-dropping-particle":"","parse-names":false,"suffix":""},{"dropping-particle":"","family":"Kumuthini","given":"Judit","non-dropping-particle":"","parse-names":false,"suffix":""},{"dropping-particle":"","family":"Dzimiri","given":"Nduna","non-dropping-particle":"","parse-names":false,"suffix":""},{"dropping-particle":"","family":"Balogh","given":"Istvan","non-dropping-particle":"","parse-names":false,"suffix":""},{"dropping-particle":"","family":"Başak","given":"Nazli","non-dropping-particle":"","parse-names":false,"suffix":""},{"dropping-particle":"","family":"Böhm","given":"Ruwen","non-dropping-particle":"","parse-names":false,"suffix":""},{"dropping-particle":"","family":"Borg","given":"Joseph","non-dropping-particle":"","parse-names":false,"suffix":""},{"dropping-particle":"","family":"Borgiani","given":"Paola","non-dropping-particle":"","parse-names":false,"suffix":""},{"dropping-particle":"","family":"Bozina","given":"Nada","non-dropping-particle":"","parse-names":false,"suffix":""},{"dropping-particle":"","family":"Bruckmueller","given":"Henrike","non-dropping-particle":"","parse-names":false,"suffix":""},{"dropping-particle":"","family":"Burzynska","given":"Beata","non-dropping-particle":"","parse-names":false,"suffix":""},{"dropping-particle":"","family":"Carracedo","given":"Angel","non-dropping-particle":"","parse-names":false,"suffix":""},{"dropping-particle":"","family":"Cascorbi","given":"Ingolf","non-dropping-particle":"","parse-names":false,"suffix":""},{"dropping-particle":"","family":"Deltas","given":"Constantinos","non-dropping-particle":"","parse-names":false,"suffix":""},{"dropping-particle":"","family":"Dolzan","given":"Vita","non-dropping-particle":"","parse-names":false,"suffix":""},{"dropping-particle":"","family":"Fenech","given":"Anthony","non-dropping-particle":"","parse-names":false,"suffix":""},{"dropping-particle":"","family":"Grech","given":"Godfrey","non-dropping-particle":"","parse-names":false,"suffix":""},{"dropping-particle":"","family":"Kasiulevicius","given":"Vytautas","non-dropping-particle":"","parse-names":false,"suffix":""},{"dropping-particle":"","family":"Kádaši","given":"Ludevít","non-dropping-particle":"","parse-names":false,"suffix":""},{"dropping-particle":"","family":"Kučinskas","given":"Vaidutis","non-dropping-particle":"","parse-names":false,"suffix":""},{"dropping-particle":"","family":"Khusnutdinova","given":"Elza","non-dropping-particle":"","parse-names":false,"suffix":""},{"dropping-particle":"","family":"Loukas","given":"Yiannis L.","non-dropping-particle":"","parse-names":false,"suffix":""},{"dropping-particle":"","family":"Macek","given":"Milan","non-dropping-particle":"","parse-names":false,"suffix":""},{"dropping-particle":"","family":"Makukh","given":"Halyna","non-dropping-particle":"","parse-names":false,"suffix":""},{"dropping-particle":"","family":"Mathijssen","given":"Ron","non-dropping-particle":"","parse-names":false,"suffix":""},{"dropping-particle":"","family":"Mitropoulos","given":"Konstantinos","non-dropping-particle":"","parse-names":false,"suffix":""},{"dropping-particle":"","family":"Mitropoulou","given":"Christina","non-dropping-particle":"","parse-names":false,"suffix":""},{"dropping-particle":"","family":"Novelli","given":"Giuseppe","non-dropping-particle":"","parse-names":false,"suffix":""},{"dropping-particle":"","family":"Papantoni","given":"Ioanna","non-dropping-particle":"","parse-names":false,"suffix":""},{"dropping-particle":"","family":"Pavlovic","given":"Sonja","non-dropping-particle":"","parse-names":false,"suffix":""},{"dropping-particle":"","family":"Saglio","given":"Giuseppe","non-dropping-particle":"","parse-names":false,"suffix":""},{"dropping-particle":"","family":"Setric","given":"Jadranka","non-dropping-particle":"","parse-names":false,"suffix":""},{"dropping-particle":"","family":"Stojiljkovic","given":"Maja","non-dropping-particle":"","parse-names":false,"suffix":""},{"dropping-particle":"","family":"Stubbs","given":"Andrew P.","non-dropping-particle":"","parse-names":false,"suffix":""},{"dropping-particle":"","family":"Squassina","given":"Alessio","non-dropping-particle":"","parse-names":false,"suffix":""},{"dropping-particle":"","family":"Torres","given":"Maria","non-dropping-particle":"","parse-names":false,"suffix":""},{"dropping-particle":"","family":"Turnovec","given":"Marek","non-dropping-particle":"","parse-names":false,"suffix":""},{"dropping-particle":"","family":"Schaik","given":"Ron H.","non-dropping-particle":"Van","parse-names":false,"suffix":""},{"dropping-particle":"","family":"Voskarides","given":"Konstantinos","non-dropping-particle":"","parse-names":false,"suffix":""},{"dropping-particle":"","family":"Wakil","given":"Salma M.","non-dropping-particle":"","parse-names":false,"suffix":""},{"dropping-particle":"","family":"Werk","given":"Anneke","non-dropping-particle":"","parse-names":false,"suffix":""},{"dropping-particle":"Del","family":"Zompo","given":"Maria","non-dropping-particle":"","parse-names":false,"suffix":""},{"dropping-particle":"","family":"Zukic","given":"Branka","non-dropping-particle":"","parse-names":false,"suffix":""},{"dropping-particle":"","family":"Katsila","given":"Theodora","non-dropping-particle":"","parse-names":false,"suffix":""},{"dropping-particle":"","family":"Lee","given":"Ming Ta Michael","non-dropping-particle":"","parse-names":false,"suffix":""},{"dropping-particle":"","family":"Motsinger-Rief","given":"Alison","non-dropping-particle":"","parse-names":false,"suffix":""},{"dropping-particle":"","family":"Leod","given":"Howard L.Mc","non-dropping-particle":"","parse-names":false,"suffix":""},{"dropping-particle":"","family":"Spek","given":"Peter J.","non-dropping-particle":"Van Der","parse-names":false,"suffix":""},{"dropping-particle":"","family":"Patrinos","given":"George P.","non-dropping-particle":"","parse-names":false,"suffix":""}],"container-title":"PLoS ONE","id":"ITEM-1","issue":"9","issued":{"date-parts":[["2016"]]},"title":"A European spectrum of pharmacogenomic biomarkers: Implications for clinical pharmacogenomics","type":"article-journal","volume":"11"},"uris":["http://www.mendeley.com/documents/?uuid=4fa0d636-6c90-3920-ac76-1a0333287f0a"]}],"mendeley":{"formattedCitation":"(Mizzi et al., 2016)","plainTextFormattedCitation":"(Mizzi et al., 2016)","previouslyFormattedCitation":"(Mizzi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(Mizzi et al., 2016)</w:t>
      </w:r>
      <w:r>
        <w:rPr>
          <w:rFonts w:ascii="Times New Roman" w:hAnsi="Times New Roman" w:cs="Times New Roman"/>
          <w:sz w:val="24"/>
          <w:szCs w:val="24"/>
        </w:rPr>
        <w:fldChar w:fldCharType="end"/>
      </w:r>
      <w:r>
        <w:rPr>
          <w:rFonts w:ascii="Times New Roman" w:hAnsi="Times New Roman" w:cs="Times New Roman"/>
          <w:sz w:val="24"/>
          <w:szCs w:val="24"/>
        </w:rPr>
        <w:t>.</w:t>
      </w:r>
    </w:p>
    <w:p w14:paraId="601ACAF1"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Reducing Adverse Effects</w:t>
      </w:r>
    </w:p>
    <w:p w14:paraId="7EE8579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Understanding an individual's genetic predispositions allows for the identification of potential risks of adverse drug reactions. For example, patients with a CYP2C19 poor metabolizer phenotype may be at an increased risk of experiencing side effects with certain proton pump inhibitors, influencing the choice of an alternative drug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{"citationItems":[{"id":"ITEM-1","itemData":{"DOI":"10.1371/journal.pone.0162866","ISSN":"19326203","abstract":"Pharmacogenomics aims to correlate inter-individual differences of drug efficacy and/or toxicity with the underlying genetic composition, particularly in genes encoding for protein factors and enzymes involved in drug metabolism and transport. In several European populations, particularly in countries with lower income, information related to the prevalence of pharmacogenomic biomarkers is incomplete or lacking. Here, we have implemented the microattribution approach to assess the pharmacogenomic biomarkers allelic spectrum in 18 European populations, mostly from developing European countries, by analyzing 1,931 pharmacogenomics biomarkers in 231 genes. Our data show significant interpopulation pharmacogenomic biomarker allele frequency differences, particularly in 7 clinically actionable pharmacogenomic biomarkers in 7 European populations, affecting drug efficacy and/or toxicity of 51 medication treatment modalities. These data also reflect on the differences observed in the prevalence of high-risk genotypes in these populations, as far as common markers in the CYP2C9, CYP2C19, CYP3A5, VKORC1, SLCO1B1 and TPMT pharmacogenes are concerned. Also, our data demonstrate notable differences in predicted genotype-based warfarin dosing among these populations. Our findings can be exploited not only to develop guidelines for medical prioritization, but most importantly to facilitate integration of pharmacogenomics and to support pre-emptive pharmacogenomic testing. This may subsequently contribute towards significant cost-savings in the overall healthcare expenditure in the participating countries, where pharmacogenomics implementation proves to be cost-effective.","author":[{"dropping-particle":"","family":"Mizzi","given":"Clint","non-dropping-particle":"","parse-names":false,"suffix":""},{"dropping-particle":"","family":"Dalabira","given":"Eleni","non-dropping-particle":"","parse-names":false,"suffix":""},{"dropping-particle":"","family":"Kumuthini","given":"Judit","non-dropping-particle":"","parse-names":false,"suffix":""},{"dropping-particle":"","family":"Dzimiri","given":"Nduna","non-dropping-particle":"","parse-names":false,"suffix":""},{"dropping-particle":"","family":"Balogh","given":"Istvan","non-dropping-particle":"","parse-names":false,"suffix":""},{"dropping-particle":"","family":"Başak","given":"Nazli","non-dropping-particle":"","parse-names":false,"suffix":""},{"dropping-particle":"","family":"Böhm","given":"Ruwen","non-dropping-particle":"","parse-names":false,"suffix":""},{"dropping-particle":"","family":"Borg","given":"Joseph","non-dropping-particle":"","parse-names":false,"suffix":""},{"dropping-particle":"","family":"Borgiani","given":"Paola","non-dropping-particle":"","parse-names":false,"suffix":""},{"dropping-particle":"","family":"Bozina","given":"Nada","non-dropping-particle":"","parse-names":false,"suffix":""},{"dropping-particle":"","family":"Bruckmueller","given":"Henrike","non-dropping-particle":"","parse-names":false,"suffix":""},{"dropping-particle":"","family":"Burzynska","given":"Beata","non-dropping-particle":"","parse-names":false,"suffix":""},{"dropping-particle":"","family":"Carracedo","given":"Angel","non-dropping-particle":"","parse-names":false,"suffix":""},{"dropping-particle":"","family":"Cascorbi","given":"Ingolf","non-dropping-particle":"","parse-names":false,"suffix":""},{"dropping-particle":"","family":"Deltas","given":"Constantinos","non-dropping-particle":"","parse-names":false,"suffix":""},{"dropping-particle":"","family":"Dolzan","given":"Vita","non-dropping-particle":"","parse-names":false,"suffix":""},{"dropping-particle":"","family":"Fenech","given":"Anthony","non-dropping-particle":"","parse-names":false,"suffix":""},{"dropping-particle":"","family":"Grech","given":"Godfrey","non-dropping-particle":"","parse-names":false,"suffix":""},{"dropping-particle":"","family":"Kasiulevicius","given":"Vytautas","non-dropping-particle":"","parse-names":false,"suffix":""},{"dropping-particle":"","family":"Kádaši","given":"Ludevít","non-dropping-particle":"","parse-names":false,"suffix":""},{"dropping-particle":"","family":"Kučinskas","given":"Vaidutis","non-dropping-particle":"","parse-names":false,"suffix":""},{"dropping-particle":"","family":"Khusnutdinova","given":"Elza","non-dropping-particle":"","parse-names":false,"suffix":""},{"dropping-particle":"","family":"Loukas","given":"Yiannis L.","non-dropping-particle":"","parse-names":false,"suffix":""},{"dropping-particle":"","family":"Macek","given":"Milan","non-dropping-particle":"","parse-names":false,"suffix":""},{"dropping-particle":"","family":"Makukh","given":"Halyna","non-dropping-particle":"","parse-names":false,"suffix":""},{"dropping-particle":"","family":"Mathijssen","given":"Ron","non-dropping-particle":"","parse-names":false,"suffix":""},{"dropping-particle":"","family":"Mitropoulos","given":"Konstantinos","non-dropping-particle":"","parse-names":false,"suffix":""},{"dropping-particle":"","family":"Mitropoulou","given":"Christina","non-dropping-particle":"","parse-names":false,"suffix":""},{"dropping-particle":"","family":"Novelli","given":"Giuseppe","non-dropping-particle":"","parse-names":false,"suffix":""},{"dropping-particle":"","family":"Papantoni","given":"Ioanna","non-dropping-particle":"","parse-names":false,"suffix":""},{"dropping-particle":"","family":"Pavlovic","given":"Sonja","non-dropping-particle":"","parse-names":false,"suffix":""},{"dropping-particle":"","family":"Saglio","given":"Giuseppe","non-dropping-particle":"","parse-names":false,"suffix":""},{"dropping-particle":"","family":"Setric","given":"Jadranka","non-dropping-particle":"","parse-names":false,"suffix":""},{"dropping-particle":"","family":"Stojiljkovic","given":"Maja","non-dropping-particle":"","parse-names":false,"suffix":""},{"dropping-particle":"","family":"Stubbs","given":"Andrew P.","non-dropping-particle":"","parse-names":false,"suffix":""},{"dropping-particle":"","family":"Squassina","given":"Alessio","non-dropping-particle":"","parse-names":false,"suffix":""},{"dropping-particle":"","family":"Torres","given":"Maria","non-dropping-particle":"","parse-names":false,"suffix":""},{"dropping-particle":"","family":"Turnovec","given":"Marek","non-dropping-particle":"","parse-names":false,"suffix":""},{"dropping-particle":"","family":"Schaik","given":"Ron H.","non-dropping-particle":"Van","parse-names":false,"suffix":""},{"dropping-particle":"","family":"Voskarides","given":"Konstantinos","non-dropping-particle":"","parse-names":false,"suffix":""},{"dropping-particle":"","family":"Wakil","given":"Salma M.","non-dropping-particle":"","parse-names":false,"suffix":""},{"dropping-particle":"","family":"Werk","given":"Anneke","non-dropping-particle":"","parse-names":false,"suffix":""},{"dropping-particle":"Del","family":"Zompo","given":"Maria","non-dropping-particle":"","parse-names":false,"suffix":""},{"dropping-particle":"","family":"Zukic","given":"Branka","non-dropping-particle":"","parse-names":false,"suffix":""},{"dropping-particle":"","family":"Katsila","given":"Theodora","non-dropping-particle":"","parse-names":false,"suffix":""},{"dropping-particle":"","family":"Lee","given":"Ming Ta Michael","non-dropping-particle":"","parse-names":false,"suffix":""},{"dropping-particle":"","family":"Motsinger-Rief","given":"Alison","non-dropping-particle":"","parse-names":false,"suffix":""},{"dropping-particle":"","family":"Leod","given":"Howard L.Mc","non-dropping-particle":"","parse-names":false,"suffix":""},{"dropping-particle":"","family":"Spek","given":"Peter J.","non-dropping-particle":"Van Der","parse-names":false,"suffix":""},{"dropping-particle":"","family":"Patrinos","given":"George P.","non-dropping-particle":"","parse-names":false,"suffix":""}],"container-title":"PLoS ONE","id":"ITEM-1","issue":"9","issued":{"date-parts":[["2016"]]},"title":"A European spectrum of pharmacogenomic biomarkers: Implications for clinical pharmacogenomics","type":"article-journal","volume":"11"},"uris":["http://www.mendeley.com/documents/?uuid=4fa0d636-6c90-3920-ac76-1a0333287f0a"]}],"mendeley":{"formattedCitation":"(Mizzi et al., 2016)","plainTextFormattedCitation":"(Mizzi et al., 2016)","previouslyFormattedCitation":"(Mizzi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(Mizzi et al., 2016)</w:t>
      </w:r>
      <w:r>
        <w:rPr>
          <w:rFonts w:ascii="Times New Roman" w:hAnsi="Times New Roman" w:cs="Times New Roman"/>
          <w:sz w:val="24"/>
          <w:szCs w:val="24"/>
        </w:rPr>
        <w:fldChar w:fldCharType="end"/>
      </w:r>
      <w:r>
        <w:rPr>
          <w:rFonts w:ascii="Times New Roman" w:hAnsi="Times New Roman" w:cs="Times New Roman"/>
          <w:sz w:val="24"/>
          <w:szCs w:val="24"/>
        </w:rPr>
        <w:t>.</w:t>
      </w:r>
    </w:p>
    <w:p w14:paraId="3275261B"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Challenges and Future Directions</w:t>
      </w:r>
    </w:p>
    <w:p w14:paraId="5343A32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While pharmacogenomics holds immense promise, challenges remain, including the need for widespread implementation, standardization of testing methodologies, and integration into clinical practice. Education of healthcare professionals and the development of user-friendly tools for interpreting genetic data are crucial steps in overcoming these challenges.</w:t>
      </w:r>
    </w:p>
    <w:p w14:paraId="64D7556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future of personalized medicine in drug metabolism lies in advancing our understanding of complex gene-drug interactions, incorporating whole-genome sequencing, and leveraging big data to refine predictive models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{"citationItems":[{"id":"ITEM-1","itemData":{"DOI":"10.1038/sj.tpj.6500233","ISSN":"1470269X","author":[{"dropping-particle":"","family":"Müller","given":"D. J.","non-dropping-particle":"","parse-names":false,"suffix":""},{"dropping-particle":"","family":"Shinkai","given":"T.","non-dropping-particle":"","parse-names":false,"suffix":""},{"dropping-particle":"","family":"Luca","given":"V.","non-dropping-particle":"De","parse-names":false,"suffix":""},{"dropping-particle":"","family":"Kennedy","given":"James L.","non-dropping-particle":"","parse-names":false,"suffix":""}],"container-title":"Pharmacogenomics Journal","id":"ITEM-1","issue":"2","issued":{"date-parts":[["2004"]]},"title":"Clinical implications of pharmacogenomics for tardive dyskinesia","type":"article-journal","volume":"4"},"uris":["http://www.mendeley.com/documents/?uuid=1ecd5a16-da17-3601-958e-e9d01294dd24"]}],"mendeley":{"formattedCitation":"(Müller et al., 2004)","plainTextFormattedCitation":"(Müller et al., 2004)","previouslyFormattedCitation":"(Müller et al., 2004)"},"properties":{"noteIndex":0},"schema":"https://github.com/citation-style-language/schema/raw/master/csl-citation.json"}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(Müller et al., 2004)</w:t>
      </w:r>
      <w:r>
        <w:rPr>
          <w:rFonts w:ascii="Times New Roman" w:hAnsi="Times New Roman" w:cs="Times New Roman"/>
          <w:sz w:val="24"/>
          <w:szCs w:val="24"/>
        </w:rPr>
        <w:fldChar w:fldCharType="end"/>
      </w:r>
      <w:r>
        <w:rPr>
          <w:rFonts w:ascii="Times New Roman" w:hAnsi="Times New Roman" w:cs="Times New Roman"/>
          <w:sz w:val="24"/>
          <w:szCs w:val="24"/>
        </w:rPr>
        <w:t>. Ongoing research and technological advancements will continue to enhance our ability to harness the potential of pharmacogenomics, paving the way for a more tailored and effective approach to drug therapy.</w:t>
      </w:r>
    </w:p>
    <w:p w14:paraId="33F5284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In conclusion, pharmacogenomics is revolutionizing the field of drug metabolism by unraveling the genetic basis of individual responses to medications. The ability to predict and optimize drug outcomes based on an individual's genetic makeup heralds a new era of personalized medicine. As our understanding deepens and technologies evolve, the integration of pharmacogenomics data into clinical decision-making promises to enhance drug safety, efficacy, and overall patient care.</w:t>
      </w:r>
    </w:p>
    <w:p w14:paraId="5F16813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significance of drug metabolism in drug safety and toxicity assessment.</w:t>
      </w:r>
    </w:p>
    <w:p w14:paraId="7D68AE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a pivotal aspect of pharmacokinetics, plays a critical role in determining the safety and toxicity of drugs. The intricate processes of biotransformation influence the balance between therapeutic efficacy and the potential for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{"citationItems":[{"id":"ITEM-1","itemData":{"DOI":"10.1016/j.aquatox.2014.10.021","ISSN":"18791514","abstract":"Arsenic (As) exists as the toxic inorganic forms in marine water and sediment, while marine oysters usually accumulate high As contents mostly as the less toxic organic forms. It has not yet been clear that how As is biotransformed in marine oysters. This study therefore investigated the biotransformation and detoxification of two inorganic As forms (As(III) and As(V)) in Bombay oyster Saccostrea cucullata after waterborne exposures for 30 days. Seven treatments of dissolved As exposure (clean seawater, 1, 5, 20. mg/L As(III), and 1, 5, 20. mg/L As(V)) were performed. Body As concentration increased significantly after all As exposure treatments except 1. mg/L As(V). Total As, As(III), and As(V) concentration were positive correlated with glutathione-S-transferases (GST) activities, suggesting GST might play an important role in the As biotransformation and detoxification process. Organic As species were predominant in control and the low As exposed oysters, whereas a large fraction of As was remained as the inorganic forms in the high As exposed oysters, suggesting As could be biotransformed efficiently in the oysters in clean or light contaminated environment. The results of As speciation demonstrated the As biotransformation in the oysters included As(V) reduction, methylation to monomethylarsonic acid (MMA) and dimethylarsinic acid (DMA), and subsequent conversion to arsenobetaine (AsB). More As was distributed in the subcellular metallothionein-like proteins fraction (MTLP) functioning sequestration and detoxification in the inorganic As exposed oysters, suggesting it was also a strategy for oysters against As stress. In summary, this study elucidated that marine oysters had high ability to accumulate, biotransform, and detoxify inorganic As.","author":[{"dropping-particle":"","family":"Zhang","given":"Wei","non-dropping-particle":"","parse-names":false,"suffix":""},{"dropping-particle":"","family":"Guo","given":"Zhiqiang","non-dropping-particle":"","parse-names":false,"suffix":""},{"dropping-particle":"","family":"Zhou","given":"Yanyan","non-dropping-particle":"","parse-names":false,"suffix":""},{"dropping-particle":"","family":"Liu","given":"Huaxue","non-dropping-particle":"","parse-names":false,"suffix":""},{"dropping-particle":"","family":"Zhang","given":"Li","non-dropping-particle":"","parse-names":false,"suffix":""}],"container-title":"Aquatic Toxicology","id":"ITEM-1","issued":{"date-parts":[["2015"]]},"title":"Biotransformation and detoxification of inorganic arsenic in Bombay oyster Saccostrea cucullata","type":"article-journal","volume":"158"},"uris":["http://www.mendeley.com/documents/?uuid=ef7b1397-6309-3d92-929c-24a0c2bb417c"]}],"mendeley":{"formattedCitation":"(Zhang et al., 2015)","plainTextFormattedCitation":"(Zhang et al., 2015)","previouslyFormattedCitation":"(Zhang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(Zhang et al., 2015)</w:t>
      </w:r>
      <w:r>
        <w:rPr>
          <w:rFonts w:ascii="Times New Roman" w:hAnsi="Times New Roman" w:cs="Times New Roman"/>
          <w:sz w:val="24"/>
          <w:szCs w:val="24"/>
        </w:rPr>
        <w:fldChar w:fldCharType="end"/>
      </w:r>
      <w:r>
        <w:rPr>
          <w:rFonts w:ascii="Times New Roman" w:hAnsi="Times New Roman" w:cs="Times New Roman"/>
          <w:sz w:val="24"/>
          <w:szCs w:val="24"/>
        </w:rPr>
        <w:t>. Understanding the significance of drug metabolism in drug safety and toxicity assessment is crucial for ensuring the development and administration of safe and effective medications.</w:t>
      </w:r>
    </w:p>
    <w:p w14:paraId="33E9AE4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Biotransformation and Detoxification</w:t>
      </w:r>
    </w:p>
    <w:p w14:paraId="26CF51A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primarily occurs in the liver, where various enzymes, notably cytochrome P450 (CYP) enzymes, facilitate the transformation of drugs into metabolites. This biotransformation is often geared towards increasing the water solubility of drugs, facilitating their elimination from the body. The formation of metabolites, particularly those that are less toxic or more easily excreted, contributes to the detoxification process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{"citationItems":[{"id":"ITEM-1","itemData":{"DOI":"10.1016/j.aquatox.2014.10.021","ISSN":"18791514","abstract":"Arsenic (As) exists as the toxic inorganic forms in marine water and sediment, while marine oysters usually accumulate high As contents mostly as the less toxic organic forms. It has not yet been clear that how As is biotransformed in marine oysters. This study therefore investigated the biotransformation and detoxification of two inorganic As forms (As(III) and As(V)) in Bombay oyster Saccostrea cucullata after waterborne exposures for 30 days. Seven treatments of dissolved As exposure (clean seawater, 1, 5, 20. mg/L As(III), and 1, 5, 20. mg/L As(V)) were performed. Body As concentration increased significantly after all As exposure treatments except 1. mg/L As(V). Total As, As(III), and As(V) concentration were positive correlated with glutathione-S-transferases (GST) activities, suggesting GST might play an important role in the As biotransformation and detoxification process. Organic As species were predominant in control and the low As exposed oysters, whereas a large fraction of As was remained as the inorganic forms in the high As exposed oysters, suggesting As could be biotransformed efficiently in the oysters in clean or light contaminated environment. The results of As speciation demonstrated the As biotransformation in the oysters included As(V) reduction, methylation to monomethylarsonic acid (MMA) and dimethylarsinic acid (DMA), and subsequent conversion to arsenobetaine (AsB). More As was distributed in the subcellular metallothionein-like proteins fraction (MTLP) functioning sequestration and detoxification in the inorganic As exposed oysters, suggesting it was also a strategy for oysters against As stress. In summary, this study elucidated that marine oysters had high ability to accumulate, biotransform, and detoxify inorganic As.","author":[{"dropping-particle":"","family":"Zhang","given":"Wei","non-dropping-particle":"","parse-names":false,"suffix":""},{"dropping-particle":"","family":"Guo","given":"Zhiqiang","non-dropping-particle":"","parse-names":false,"suffix":""},{"dropping-particle":"","family":"Zhou","given":"Yanyan","non-dropping-particle":"","parse-names":false,"suffix":""},{"dropping-particle":"","family":"Liu","given":"Huaxue","non-dropping-particle":"","parse-names":false,"suffix":""},{"dropping-particle":"","family":"Zhang","given":"Li","non-dropping-particle":"","parse-names":false,"suffix":""}],"container-title":"Aquatic Toxicology","id":"ITEM-1","issued":{"date-parts":[["2015"]]},"title":"Biotransformation and detoxification of inorganic arsenic in Bombay oyster Saccostrea cucullata","type":"article-journal","volume":"158"},"uris":["http://www.mendeley.com/documents/?uuid=ef7b1397-6309-3d92-929c-24a0c2bb417c"]}],"mendeley":{"formattedCitation":"(Zhang et al., 2015)","plainTextFormattedCitation":"(Zhang et al., 2015)","previouslyFormattedCitation":"(Zhang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(Zhang et al., 2015)</w:t>
      </w:r>
      <w:r>
        <w:rPr>
          <w:rFonts w:ascii="Times New Roman" w:hAnsi="Times New Roman" w:cs="Times New Roman"/>
          <w:sz w:val="24"/>
          <w:szCs w:val="24"/>
        </w:rPr>
        <w:fldChar w:fldCharType="end"/>
      </w:r>
      <w:r>
        <w:rPr>
          <w:rFonts w:ascii="Times New Roman" w:hAnsi="Times New Roman" w:cs="Times New Roman"/>
          <w:sz w:val="24"/>
          <w:szCs w:val="24"/>
        </w:rPr>
        <w:t>.</w:t>
      </w:r>
    </w:p>
    <w:p w14:paraId="7A7B48AE"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Formation of Reactive Metabolites</w:t>
      </w:r>
    </w:p>
    <w:p w14:paraId="66A0281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While drug metabolism generally aims for detoxification, it can lead to the formation of reactive metabolites in some cases. These reactive species have the potential to bind covalently to </w:t>
      </w:r>
      <w:r>
        <w:rPr>
          <w:rFonts w:ascii="Times New Roman" w:hAnsi="Times New Roman" w:cs="Times New Roman"/>
          <w:sz w:val="24"/>
          <w:szCs w:val="24"/>
        </w:rPr>
        <w:lastRenderedPageBreak/>
        <w:t xml:space="preserve">cellular proteins, DNA, or lipids, triggering adverse effects and contributing to drug-induced toxicity. Understanding the pathways and conditions that lead to the formation of reactive metabolites is critical in assessing the safety profile of a drug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{"citationItems":[{"id":"ITEM-1","itemData":{"DOI":"10.3390/toxins12020121","ISSN":"20726651","abstract":"Mycotoxins are toxic fungal secondary metabolites that pose a major threat to the safety of food and feed. Mycotoxins are usually converted into less toxic or non-toxic metabolites through biotransformation that are often made by living organisms as well as the isolated enzymes. The conversions mainly include hydroxylation, oxidation, hydrogenation, de-epoxidation, methylation, glycosylation and glucuronidation, esterification, hydrolysis, sulfation, demethylation and deamination. Biotransformations of some notorious mycotoxins such as alfatoxins, alternariol, citrinin, fomannoxin, ochratoxins, patulin, trichothecenes and zearalenone analogues are reviewed in detail. The recent development and applications of mycotoxins detoxification through biotransformation are also discussed.","author":[{"dropping-particle":"","family":"Li","given":"Peng","non-dropping-particle":"","parse-names":false,"suffix":""},{"dropping-particle":"","family":"Su","given":"Ruixue","non-dropping-particle":"","parse-names":false,"suffix":""},{"dropping-particle":"","family":"Yin","given":"Ruya","non-dropping-particle":"","parse-names":false,"suffix":""},{"dropping-particle":"","family":"Lai","given":"Daowan","non-dropping-particle":"","parse-names":false,"suffix":""},{"dropping-particle":"","family":"Wang","given":"Mingan","non-dropping-particle":"","parse-names":false,"suffix":""},{"dropping-particle":"","family":"Liu","given":"Yang","non-dropping-particle":"","parse-names":false,"suffix":""},{"dropping-particle":"","family":"Zhou","given":"Ligang","non-dropping-particle":"","parse-names":false,"suffix":""}],"container-title":"Toxins","id":"ITEM-1","issue":"2","issued":{"date-parts":[["2020"]]},"title":"Detoxification of mycotoxins through biotransformation","type":"article","volume":"12"},"uris":["http://www.mendeley.com/documents/?uuid=eb3aeccb-be88-38c9-bad3-0c2f8f600668"]}],"mendeley":{"formattedCitation":"(P. Li et al., 2020)","plainTextFormattedCitation":"(P. Li et al., 2020)","previouslyFormattedCitation":"(P. Li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 Li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292E849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 in Pharmacokinetics</w:t>
      </w:r>
    </w:p>
    <w:p w14:paraId="78A29D2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kinetics of drug metabolism influence the duration and intensity of drug exposure. The rate at which a drug is metabolized affects its half-life, bioavailability, and overall pharmacokinetic profile. Rapid metabolism may result in shorter half-lives, necessitating more frequent dosing, while slow metabolism may lead to prolonged drug exposure, increasing the risk of toxicity.</w:t>
      </w:r>
    </w:p>
    <w:p w14:paraId="1174CA4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Genetic Polymorphisms and Inter-Individual Variability</w:t>
      </w:r>
    </w:p>
    <w:p w14:paraId="487FB95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Genetic variability in drug-metabolizing enzymes can lead to significant inter-individual differences in drug metabolism. Polymorphisms in genes encoding enzymes like CYP2D6, CYP2C9, and others can result in poor metabolizer or ultra-rapid metabolizer phenotypes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{"citationItems":[{"id":"ITEM-1","itemData":{"DOI":"10.1093/hmg/ddu566","ISSN":"14602083","abstract":"CYP2D6 metabolizes nearly 25% of clinically used drugs. Genetic polymorphisms cause large inter-individual variability in CYP2D6 enzyme activity and are currently used as biomarker to predict CYP2D6 metabolizer phenotype. Previously, we had identified a region 115 kb downstream of CYP2D6 as enhancer for CYP2D6, containing two completely linked single nucleotide polymorphisms (SNPs), rs133333 and rs5758550, associated with enhanced transcription. However, the enhancer effect on CYP2D6 expression, and the causative variant, remained to be ascertained. To characterize the CYP2D6 enhancer element, we applied chromatin conformation capture combined with the next-generation sequencing (4C assays) and chromatin immunoprecipitation with P300 antibody, in HepG2 and human primary culture hepatocytes. The results confirmed the role of the previously identified enhancer region in CYP2D6 expression, expanding the number of candidate variants to three highly linked SNPs (rs133333, rs5758550 and rs4822082). Among these, only rs5758550 demonstrated regulating enhancer activity in a reporter gene assay. Use of clustered regularly interspaced short palindromic repeats mediated genome editing in HepG2 cells targeting suspected enhancer regions decreased CYP2D6 mRNA expression by 70%, only upon deletion of the rs5758550 region. These results demonstrate robust effects of both the enhancer element and SNP rs5758550 on CYP2D6 expression, supporting consideration of rs5758550 for CYP2D6 genotyping panels to yield more accurate phenotype prediction.","author":[{"dropping-particle":"","family":"Wang","given":"Danxin","non-dropping-particle":"","parse-names":false,"suffix":""},{"dropping-particle":"","family":"Papp","given":"Audrey C.","non-dropping-particle":"","parse-names":false,"suffix":""},{"dropping-particle":"","family":"Sun","given":"Xiaochun","non-dropping-particle":"","parse-names":false,"suffix":""}],"container-title":"Human Molecular Genetics","id":"ITEM-1","issue":"6","issued":{"date-parts":[["2015"]]},"title":"Functional characterization of CYP2D6 enhancer polymorphisms","type":"article-journal","volume":"24"},"uris":["http://www.mendeley.com/documents/?uuid=b8cbc78f-529b-327d-bf6b-8bcdd5337163"]}],"mendeley":{"formattedCitation":"(D. Wang et al., 2015)","plainTextFormattedCitation":"(D. Wang et al., 2015)","previouslyFormattedCitation":"(D. Wang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 Wang et al., 2015)</w:t>
      </w:r>
      <w:r>
        <w:rPr>
          <w:rFonts w:ascii="Times New Roman" w:hAnsi="Times New Roman" w:cs="Times New Roman"/>
          <w:sz w:val="24"/>
          <w:szCs w:val="24"/>
        </w:rPr>
        <w:fldChar w:fldCharType="end"/>
      </w:r>
      <w:r>
        <w:rPr>
          <w:rFonts w:ascii="Times New Roman" w:hAnsi="Times New Roman" w:cs="Times New Roman"/>
          <w:sz w:val="24"/>
          <w:szCs w:val="24"/>
        </w:rPr>
        <w:t>. Such variability influences individual responses to drugs, impacting both therapeutic efficacy and the risk of adverse reactions.</w:t>
      </w:r>
    </w:p>
    <w:p w14:paraId="66F51783" w14:textId="79A4B105" w:rsidR="00460EB1" w:rsidRDefault="00460EB1" w:rsidP="00460EB1">
      <w:pPr>
        <w:spacing w:line="480" w:lineRule="auto"/>
        <w:ind w:firstLine="720"/>
        <w:jc w:val="center"/>
        <w:rPr>
          <w:rFonts w:ascii="Times New Roman" w:hAnsi="Times New Roman" w:cs="Times New Roman"/>
          <w:sz w:val="24"/>
          <w:szCs w:val="24"/>
        </w:rPr>
      </w:pPr>
      <w:r>
        <w:rPr>
          <w:noProof/>
        </w:rPr>
        <w:drawing>
          <wp:inline distT="0" distB="0" distL="0" distR="0" wp14:anchorId="53E026A0" wp14:editId="70B56305">
            <wp:extent cx="4114800" cy="2419350"/>
            <wp:effectExtent l="0" t="0" r="0" b="0"/>
            <wp:docPr id="4" name="Picture 4" descr="Effects of genetic polymorphisms on the pharmacokinetics and  pharmacodynamics of proton pump inhibitor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ffects of genetic polymorphisms on the pharmacokinetics and  pharmacodynamics of proton pump inhibitors - ScienceDi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4800" cy="2419350"/>
                    </a:xfrm>
                    <a:prstGeom prst="rect">
                      <a:avLst/>
                    </a:prstGeom>
                    <a:noFill/>
                    <a:ln>
                      <a:noFill/>
                    </a:ln>
                  </pic:spPr>
                </pic:pic>
              </a:graphicData>
            </a:graphic>
          </wp:inline>
        </w:drawing>
      </w:r>
    </w:p>
    <w:p w14:paraId="6393FA8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Drug-Drug Interactions</w:t>
      </w:r>
    </w:p>
    <w:p w14:paraId="3EFF8D4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susceptible to interactions between co-administered drugs. Enzyme induction or inhibition may alter the metabolic pathways of drugs, potentially leading to unexpected toxicities or reduced therapeutic effects. The assessment of potential drug-drug interactions involving metabolism is crucial for prescribing safe and effective drug combinations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{"citationItems":[{"id":"ITEM-1","itemData":{"DOI":"10.3390/jpm9010007","ISSN":"20754426","abstract":"Direct oral anticoagulants (DOAC) have shown an upward prescribing trend in recent years due to favorable pharmacokinetics and pharmacodynamics without requirement for routine coagulation monitoring. However, recent studies have documented inter-individual variability in plasma drug levels of DOACs. Pharmacogenomics of DOACs is a relatively new area of research. There is a need to understand the role of pharmacogenomics in the interpatient variability of the four most commonly prescribed DOACs, namely dabigatran, rivaroxaban, apixaban, and edoxaban. We performed an extensive search of recently published research articles including clinical trials and in-vitro studies in PubMed, particularly those focusing on genetic loci, single nucleotide polymorphisms (SNPs), and DNA polymorphisms, and their effect on inter-individual variation of DOACs. Additionally, we also focused on commonly associated drug-drug interactions of DOACs. CES1 and ABCB1 SNPs are the most common documented genetic variants that contribute to alteration in peak and trough levels of dabigatran with demonstrated clinical impact. ABCB1 SNPs are implicated in alteration of plasma drug levels of rivaroxaban and apixaban. Studies conducted with factor Xa, ABCB1, SLCOB1, CYP2C9, and VKORC1 genetic variants did not reveal any significant association with plasma drug levels of edoxaban. Pharmacokinetic drug-drug interactions of dabigatran are mainly mediated by p-glycoprotein. Strong inhibitors and inducers of CYP3A4 and p-glycoprotein should be avoided in patients treated with rivaroxaban, apixaban, and edoxaban. We conclude that some of the inter-individual variability of DOACs can be attributed to alteration of genetic variants of gene loci and drug-drug interactions. Future research should be focused on exploring new genetic variants, their effect, and molecular mechanisms that contribute to alteration of plasma levels of DOACs.","author":[{"dropping-particle":"","family":"Kanuri","given":"Sri H.","non-dropping-particle":"","parse-names":false,"suffix":""},{"dropping-particle":"","family":"Kreutz","given":"Rolf P.","non-dropping-particle":"","parse-names":false,"suffix":""}],"container-title":"Journal of Personalized Medicine","id":"ITEM-1","issue":"1","issued":{"date-parts":[["2019"]]},"title":"Pharmacogenomics of novel direct oral anticoagulants: Newly identified genes and genetic variants","type":"article-journal","volume":"9"},"uris":["http://www.mendeley.com/documents/?uuid=32130786-6b01-349f-8a65-aa4d6a91e7e2"]}],"mendeley":{"formattedCitation":"(Kanuri &amp; Kreutz, 2019)","plainTextFormattedCitation":"(Kanuri &amp; Kreutz, 2019)","previouslyFormattedCitation":"(Kanuri &amp; Kreutz,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(Kanuri &amp; Kreutz, 2019)</w:t>
      </w:r>
      <w:r>
        <w:rPr>
          <w:rFonts w:ascii="Times New Roman" w:hAnsi="Times New Roman" w:cs="Times New Roman"/>
          <w:sz w:val="24"/>
          <w:szCs w:val="24"/>
        </w:rPr>
        <w:fldChar w:fldCharType="end"/>
      </w:r>
      <w:r>
        <w:rPr>
          <w:rFonts w:ascii="Times New Roman" w:hAnsi="Times New Roman" w:cs="Times New Roman"/>
          <w:sz w:val="24"/>
          <w:szCs w:val="24"/>
        </w:rPr>
        <w:t>.</w:t>
      </w:r>
    </w:p>
    <w:p w14:paraId="6CDC7E8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Predicting and Mitigating Toxicity</w:t>
      </w:r>
    </w:p>
    <w:p w14:paraId="61EF5D7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Understanding the metabolic pathways of a drug allows for the identification and prediction of potential toxicities. By recognizing the formation of reactive metabolites or understanding which pathways may lead to toxic intermediates, researchers and clinicians can design strategies to mitigate the risk of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{"citationItems":[{"id":"ITEM-1","itemData":{"DOI":"10.3390/jpm9010007","ISSN":"20754426","abstract":"Direct oral anticoagulants (DOAC) have shown an upward prescribing trend in recent years due to favorable pharmacokinetics and pharmacodynamics without requirement for routine coagulation monitoring. However, recent studies have documented inter-individual variability in plasma drug levels of DOACs. Pharmacogenomics of DOACs is a relatively new area of research. There is a need to understand the role of pharmacogenomics in the interpatient variability of the four most commonly prescribed DOACs, namely dabigatran, rivaroxaban, apixaban, and edoxaban. We performed an extensive search of recently published research articles including clinical trials and in-vitro studies in PubMed, particularly those focusing on genetic loci, single nucleotide polymorphisms (SNPs), and DNA polymorphisms, and their effect on inter-individual variation of DOACs. Additionally, we also focused on commonly associated drug-drug interactions of DOACs. CES1 and ABCB1 SNPs are the most common documented genetic variants that contribute to alteration in peak and trough levels of dabigatran with demonstrated clinical impact. ABCB1 SNPs are implicated in alteration of plasma drug levels of rivaroxaban and apixaban. Studies conducted with factor Xa, ABCB1, SLCOB1, CYP2C9, and VKORC1 genetic variants did not reveal any significant association with plasma drug levels of edoxaban. Pharmacokinetic drug-drug interactions of dabigatran are mainly mediated by p-glycoprotein. Strong inhibitors and inducers of CYP3A4 and p-glycoprotein should be avoided in patients treated with rivaroxaban, apixaban, and edoxaban. We conclude that some of the inter-individual variability of DOACs can be attributed to alteration of genetic variants of gene loci and drug-drug interactions. Future research should be focused on exploring new genetic variants, their effect, and molecular mechanisms that contribute to alteration of plasma levels of DOACs.","author":[{"dropping-particle":"","family":"Kanuri","given":"Sri H.","non-dropping-particle":"","parse-names":false,"suffix":""},{"dropping-particle":"","family":"Kreutz","given":"Rolf P.","non-dropping-particle":"","parse-names":false,"suffix":""}],"container-title":"Journal of Personalized Medicine","id":"ITEM-1","issue":"1","issued":{"date-parts":[["2019"]]},"title":"Pharmacogenomics of novel direct oral anticoagulants: Newly identified genes and genetic variants","type":"article-journal","volume":"9"},"uris":["http://www.mendeley.com/documents/?uuid=32130786-6b01-349f-8a65-aa4d6a91e7e2"]}],"mendeley":{"formattedCitation":"(Kanuri &amp; Kreutz, 2019)","plainTextFormattedCitation":"(Kanuri &amp; Kreutz, 2019)","previouslyFormattedCitation":"(Kanuri &amp; Kreutz,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(Kanuri &amp; Kreutz, 2019)</w:t>
      </w:r>
      <w:r>
        <w:rPr>
          <w:rFonts w:ascii="Times New Roman" w:hAnsi="Times New Roman" w:cs="Times New Roman"/>
          <w:sz w:val="24"/>
          <w:szCs w:val="24"/>
        </w:rPr>
        <w:fldChar w:fldCharType="end"/>
      </w:r>
      <w:r>
        <w:rPr>
          <w:rFonts w:ascii="Times New Roman" w:hAnsi="Times New Roman" w:cs="Times New Roman"/>
          <w:sz w:val="24"/>
          <w:szCs w:val="24"/>
        </w:rPr>
        <w:t>. This may involve dose adjustments, therapeutic drug monitoring, or the development of prodrugs with safer metabolic profiles.</w:t>
      </w:r>
    </w:p>
    <w:p w14:paraId="36E2208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Preclinical and Clinical Safety Assessments</w:t>
      </w:r>
    </w:p>
    <w:p w14:paraId="1C05F97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an integral component of preclinical and clinical safety assessments. During drug development, researchers investigate the metabolic fate of a drug through in vitro and in vivo studies. These assessments help identify potential safety concerns related to metabolism, guiding decisions about further development or modifications to improve the safety profile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{"citationItems":[{"id":"ITEM-1","itemData":{"DOI":"10.1016/j.isci.2022.104985","ISSN":"25890042","abstract":"Neuronal oscillations, their inter-areal synchronization, and scale-free dynamics constitute fundamental mechanisms for cognition by regulating communication in neuronal networks. These oscillatory dynamics have large inter-individual variability that is partly heritable. We hypothesized that this variability could be partially explained by genetic polymorphisms in neuromodulatory genes. We recorded resting-state magnetoencephalography (MEG) from 82 healthy participants and investigated whether oscillation dynamics were influenced by genetic polymorphisms in catechol-O-methyltransferase (COMT) Val158Met and brain-derived neurotrophic factor (BDNF) Val66Met. Both COMT and BDNF polymorphisms influenced local oscillation amplitudes and their long-range temporal correlations (LRTCs), while only BDNF polymorphism affected the strength of large-scale synchronization. Our findings demonstrate that COMT and BDNF genetic polymorphisms contribute to inter-individual variability in neuronal oscillation dynamics. Comparison of these results to computational modeling of near-critical synchronization dynamics further suggested that COMT and BDNF polymorphisms influenced local oscillations by modulating the excitation-inhibition balance according to the brain criticality framework.","author":[{"dropping-particle":"","family":"Simola","given":"Jaana","non-dropping-particle":"","parse-names":false,"suffix":""},{"dropping-particle":"","family":"Siebenhühner","given":"Felix","non-dropping-particle":"","parse-names":false,"suffix":""},{"dropping-particle":"","family":"Myrov","given":"Vladislav","non-dropping-particle":"","parse-names":false,"suffix":""},{"dropping-particle":"","family":"Kantojärvi","given":"Katri","non-dropping-particle":"","parse-names":false,"suffix":""},{"dropping-particle":"","family":"Paunio","given":"Tiina","non-dropping-particle":"","parse-names":false,"suffix":""},{"dropping-particle":"","family":"Palva","given":"J. Matias","non-dropping-particle":"","parse-names":false,"suffix":""},{"dropping-particle":"","family":"Brattico","given":"Elvira","non-dropping-particle":"","parse-names":false,"suffix":""},{"dropping-particle":"","family":"Palva","given":"Satu","non-dropping-particle":"","parse-names":false,"suffix":""}],"container-title":"iScience","id":"ITEM-1","issue":"9","issued":{"date-parts":[["2022"]]},"title":"Genetic polymorphisms in COMT and BDNF influence synchronization dynamics of human neuronal oscillations","type":"article-journal","volume":"25"},"uris":["http://www.mendeley.com/documents/?uuid=9e41925a-c92b-39d2-ae26-660ad86d1cdf"]}],"mendeley":{"formattedCitation":"(Simola et al., 2022)","plainTextFormattedCitation":"(Simola et al., 2022)","previouslyFormattedCitation":"(Simola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(Simola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2C40F73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drug metabolism plays a pivotal role in drug safety and toxicity assessment. Understanding the interplay between biotransformation, genetic variability, and drug interactions </w:t>
      </w:r>
      <w:r>
        <w:rPr>
          <w:rFonts w:ascii="Times New Roman" w:hAnsi="Times New Roman" w:cs="Times New Roman"/>
          <w:sz w:val="24"/>
          <w:szCs w:val="24"/>
        </w:rPr>
        <w:lastRenderedPageBreak/>
        <w:t>allows for a comprehensive evaluation of a drug's safety profile. By anticipating and mitigating potential toxicities related to drug metabolism, researchers and clinicians can contribute to the development and administration of drugs that are not only effective but also safe for diverse patient populations. This integration of drug metabolism into the broader context of drug safety ensures a more holistic approach to pharmaceutical research and therapeutics.</w:t>
      </w:r>
    </w:p>
    <w:p w14:paraId="5358EBC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Analyze the role of drug metabolism in the activation and inactivation of prodrugs and xenobiotics.</w:t>
      </w:r>
    </w:p>
    <w:p w14:paraId="1559C8E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a dynamic process that plays a crucial role in the activation and inactivation of various compounds, including prodrugs and xenobiotics. The intricate interplay of enzymatic reactions transforms these substances, influencing their pharmacological activity, bioavailability, and potential for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{"citationItems":[{"id":"ITEM-1","itemData":{"DOI":"10.1023/A:1008668913093","ISSN":"09281231","abstract":"In addition to cytochrome P450, oxidation of drugs and other xenobiotics can also be mediated by non-P450 enzymes. the most significant of which are flavin monooxygenase, monoamine oxidase, alcohol dehydrogenase, aldehyde dehydrogenase, aldehyde oxidase and xanthine oxidase. This article highlights the importance of these non-P450 enzymes in drug metabolism. A brief introduction to each of the non-P450 oxidizing enzymes is given in this review and the oxidative reactions have been illustrated with clinical examples. Drug oxidation catalyzed by enzymes such as flavin monooxygenase and monoamine oxidase may often produce the same metabolites as those generated by P450 and thus drug interactions may be difficult to predict without a clear knowledge of the underlying enzymology. In contrast, oxidation via aldehyde oxidase and xanthine oxidase gives different metabolites to those resulting from P450 hydroxylation. Although oxidation catalyzed by non-P450 enzymes can lead to drug inactivation, oxidation may be essential for the generation of active metabolite(s). The activation of a number of prodrugs by non-P450 enzymes is thus described. It is concluded that there is still much to learn about factors affecting the non-P450 enzymes in the clinical situation.","author":[{"dropping-particle":"","family":"Beedham","given":"Christine","non-dropping-particle":"","parse-names":false,"suffix":""}],"container-title":"Pharmacy World and Science","id":"ITEM-1","issue":"6","issued":{"date-parts":[["1997"]]},"title":"The role of non-P450 enzymes in drug oxidation","type":"article","volume":"19"},"uris":["http://www.mendeley.com/documents/?uuid=c94eb3da-0101-397a-8bdc-5876cea2f094"]}],"mendeley":{"formattedCitation":"(Beedham, 1997)","plainTextFormattedCitation":"(Beedham, 1997)","previouslyFormattedCitation":"(Beedham, 1997)"},"properties":{"noteIndex":0},"schema":"https://github.com/citation-style-language/schema/raw/master/csl-citation.json"}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(Beedham, 1997)</w:t>
      </w:r>
      <w:r>
        <w:rPr>
          <w:rFonts w:ascii="Times New Roman" w:hAnsi="Times New Roman" w:cs="Times New Roman"/>
          <w:sz w:val="24"/>
          <w:szCs w:val="24"/>
        </w:rPr>
        <w:fldChar w:fldCharType="end"/>
      </w:r>
      <w:r>
        <w:rPr>
          <w:rFonts w:ascii="Times New Roman" w:hAnsi="Times New Roman" w:cs="Times New Roman"/>
          <w:sz w:val="24"/>
          <w:szCs w:val="24"/>
        </w:rPr>
        <w:t>.</w:t>
      </w:r>
    </w:p>
    <w:p w14:paraId="307CDB5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Activation of Prodrugs</w:t>
      </w:r>
    </w:p>
    <w:p w14:paraId="40F7BD3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Prodrugs are inactive or less active forms of drugs that require metabolic conversion to their active form within the body. Enzymatic activation typically involves Phase I reactions, such as oxidation, reduction, or hydrolysis, converting the prodrug into its pharmacologically active metabolite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{"citationItems":[{"id":"ITEM-1","itemData":{"DOI":"10.1039/C8SC02610F","ISSN":"20416539","abstract":"The selective and biocompatible activation of prodrugs within complex biological systems remains a key challenge in medical chemistry and chemical biology. Herein we report, for the first time, a dual prodrug activation strategy that fully satisfies the principle of bioorthogonality by the symbiotic formation of two active drugs. This dual and traceless prodrug activation strategy takes advantage of the INVDA chemistry of tetrazines (here a prodrug), generating a pyridazine-based miR21 inhibitor and the anti-cancer drug camptothecin and offers a new concept in prodrug activation.","author":[{"dropping-particle":"","family":"Neumann","given":"Kevin","non-dropping-particle":"","parse-names":false,"suffix":""},{"dropping-particle":"","family":"Gambardella","given":"Alessia","non-dropping-particle":"","parse-names":false,"suffix":""},{"dropping-particle":"","family":"Lilienkampf","given":"Annamaria","non-dropping-particle":"","parse-names":false,"suffix":""},{"dropping-particle":"","family":"Bradley","given":"Mark","non-dropping-particle":"","parse-names":false,"suffix":""}],"container-title":"Chemical Science","id":"ITEM-1","issue":"36","issued":{"date-parts":[["2018"]]},"title":"Tetrazine-mediated bioorthogonal prodrug-prodrug activation","type":"article-journal","volume":"9"},"uris":["http://www.mendeley.com/documents/?uuid=a621784d-4cb4-3540-972c-120d0181aa56"]}],"mendeley":{"formattedCitation":"(Neumann et al., 2018)","plainTextFormattedCitation":"(Neumann et al., 2018)","previouslyFormattedCitation":"(Neumann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(Neumann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7B231004"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Example</w:t>
      </w:r>
    </w:p>
    <w:p w14:paraId="0B2A6144"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Codeine: Codeine is a prodrug that undergoes hepatic metabolism, primarily catalyzed by CYP2D6, to form morphine, its active metabolite. This conversion is essential for the analgesic effects associated with codeine.</w:t>
      </w:r>
    </w:p>
    <w:p w14:paraId="73E2324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Inactivation of Xenobiotics</w:t>
      </w:r>
    </w:p>
    <w:p w14:paraId="47AF15E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Xenobiotics, which include environmental pollutants, toxins, and foreign substances, undergo metabolic processes to enhance their elimination and reduce their potential harm. Phase I and Phase II reactions contribute to the inactivation of xenobiotics, making them more water-soluble and facilitating their excretion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{"citationItems":[{"id":"ITEM-1","itemData":{"DOI":"10.1016/j.apsb.2011.08.001","ISSN":"22113835","abstract":"Prodrug design is an important part of drug discovery. Prodrugs can offer many advantages over parent drugs such as increased solubility, enhanced stability, improved bioavailability, reduced side effects, and better selectivity. Many prodrugs have been used successfully in the clinic; examples include oseltamivir in anti-influenza therapy, enalapril in anti-hypertension therapy, capecitabine in cancer therapy, and omeprazole in the treatment of peptic ulcer. A key step in prodrug design is the incorporation of an activation mechanism that can convert the prodrug into the active species in an efficient and/or controlled manner to meet the needs of a given medical application. Prodrug activation can be achieved through enzyme-mediated hydrolytic or oxidoreductive processes while activation of some prodrugs may proceed through pure chemical nonenzymatic processes. This review focuses on the hydrolytic enzymes that have been used in prodrug activation, including transferases, hydrolases, and lyases.","author":[{"dropping-particle":"","family":"Yang","given":"Yan-hui","non-dropping-particle":"","parse-names":false,"suffix":""},{"dropping-particle":"","family":"Aloysius","given":"Herve","non-dropping-particle":"","parse-names":false,"suffix":""},{"dropping-particle":"","family":"Inoyama","given":"Daigo","non-dropping-particle":"","parse-names":false,"suffix":""},{"dropping-particle":"","family":"Chen","given":"Yu","non-dropping-particle":"","parse-names":false,"suffix":""},{"dropping-particle":"","family":"Hu","given":"Long-qin","non-dropping-particle":"","parse-names":false,"suffix":""}],"container-title":"Acta Pharmaceutica Sinica B","id":"ITEM-1","issue":"3","issued":{"date-parts":[["2011"]]},"title":"Enzyme-mediated hydrolytic activation of prodrugs","type":"article-journal","volume":"1"},"uris":["http://www.mendeley.com/documents/?uuid=a5c22080-8811-34a5-86f6-fa038ef363fd"]}],"mendeley":{"formattedCitation":"(Yang et al., 2011)","plainTextFormattedCitation":"(Yang et al., 2011)","previouslyFormattedCitation":"(Yang et al., 2011)"},"properties":{"noteIndex":0},"schema":"https://github.com/citation-style-language/schema/raw/master/csl-citation.json"}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(Yang et al., 2011)</w:t>
      </w:r>
      <w:r>
        <w:rPr>
          <w:rFonts w:ascii="Times New Roman" w:hAnsi="Times New Roman" w:cs="Times New Roman"/>
          <w:sz w:val="24"/>
          <w:szCs w:val="24"/>
        </w:rPr>
        <w:fldChar w:fldCharType="end"/>
      </w:r>
      <w:r>
        <w:rPr>
          <w:rFonts w:ascii="Times New Roman" w:hAnsi="Times New Roman" w:cs="Times New Roman"/>
          <w:sz w:val="24"/>
          <w:szCs w:val="24"/>
        </w:rPr>
        <w:t>.</w:t>
      </w:r>
    </w:p>
    <w:p w14:paraId="22E7DF37"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Example</w:t>
      </w:r>
    </w:p>
    <w:p w14:paraId="346AFF7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Polycyclic Aromatic Hydrocarbons (PAHs): PAHs, common environmental pollutants, are metabolized in the liver through Phase I reactions, mainly by CYP enzymes, converting them into more reactive intermediates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{"citationItems":[{"id":"ITEM-1","itemData":{"DOI":"10.1016/j.jes.2016.08.023","ISSN":"18787320","abstract":"Polycyclic aromatic hydrocarbons (PAHs) are a large group of chemicals. They represent an important concern due to their widespread distribution in the environment, their resistance to biodegradation, their potential to bioaccumulate and their harmful effects. Several pilot treatments have been implemented to prevent economic consequences and deterioration of soil and water quality. As a promising option, fungal enzymes are regarded as a powerful choice for degradation of PAHs. Phanerochaete chrysosporium, Pleurotus ostreatus and Bjerkandera adusta are most commonly used for the degradation of such compounds due to their production of ligninolytic enzymes such as lignin peroxidase, manganese peroxidase and laccase. The rate of biodegradation depends on many culture conditions, such as temperature, oxygen, accessibility of nutrients and agitated or shallow culture. Moreover, the addition of biosurfactants can strongly modify the enzyme activity. The removal of PAHs is dependent on the ionization potential. The study of the kinetics is not completely comprehended, and it becomes more challenging when fungi are applied for bioremediation. Degradation studies in soil are much more complicated than liquid cultures because of the heterogeneity of soil, thus, many factors should be considered when studying soil bioremediation, such as desorption and bioavailability of PAHs. Different degradation pathways can be suggested. The peroxidases are heme-containing enzymes having common catalytic cycles. One molecule of hydrogen peroxide oxidizes the resting enzyme withdrawing two electrons. Subsequently, the peroxidase is reduced back in two steps of one electron oxidation. Laccases are copper-containing oxidases. They reduce molecular oxygen to water and oxidize phenolic compounds.","author":[{"dropping-particle":"","family":"Kadri","given":"Tayssir","non-dropping-particle":"","parse-names":false,"suffix":""},{"dropping-particle":"","family":"Rouissi","given":"Tarek","non-dropping-particle":"","parse-names":false,"suffix":""},{"dropping-particle":"","family":"Kaur Brar","given":"Satinder","non-dropping-particle":"","parse-names":false,"suffix":""},{"dropping-particle":"","family":"Cledon","given":"Maximiliano","non-dropping-particle":"","parse-names":false,"suffix":""},{"dropping-particle":"","family":"Sarma","given":"Saurabhjyoti","non-dropping-particle":"","parse-names":false,"suffix":""},{"dropping-particle":"","family":"Verma","given":"Mausam","non-dropping-particle":"","parse-names":false,"suffix":""}],"container-title":"Journal of Environmental Sciences (China)","id":"ITEM-1","issued":{"date-parts":[["2017"]]},"title":"Biodegradation of polycyclic aromatic hydrocarbons (PAHs) by fungal enzymes: A review","type":"article","volume":"51"},"uris":["http://www.mendeley.com/documents/?uuid=c0ff606c-e3de-3652-b3fc-a17f5b9d9918"]}],"mendeley":{"formattedCitation":"(Kadri et al., 2017)","plainTextFormattedCitation":"(Kadri et al., 2017)","previouslyFormattedCitation":"(Kadri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(Kadri et al., 2017)</w:t>
      </w:r>
      <w:r>
        <w:rPr>
          <w:rFonts w:ascii="Times New Roman" w:hAnsi="Times New Roman" w:cs="Times New Roman"/>
          <w:sz w:val="24"/>
          <w:szCs w:val="24"/>
        </w:rPr>
        <w:fldChar w:fldCharType="end"/>
      </w:r>
      <w:r>
        <w:rPr>
          <w:rFonts w:ascii="Times New Roman" w:hAnsi="Times New Roman" w:cs="Times New Roman"/>
          <w:sz w:val="24"/>
          <w:szCs w:val="24"/>
        </w:rPr>
        <w:t xml:space="preserve">. Subsequent Phase II reactions conjugate these intermediates with molecules such as glucuronic acid or sulfate, rendering them less toxic and facilitating their elimination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{"citationItems":[{"id":"ITEM-1","itemData":{"DOI":"10.3389/fmicb.2016.01369","ISSN":"1664302X","abstract":"Polycyclic aromatic hydrocarbons (PAHs) include a group of organic priority pollutants of critical environmental and public health concern due to their toxic, genotoxic, mutagenic and/or carcinogenic properties and their ubiquitous occurrence as well as recalcitrance. The increased awareness of their various adverse effects on ecosystem and human health has led to a dramatic increase in research aimed toward removing PAHs from the environment. PAHs may undergo adsorption, volatilization, photolysis, and chemical oxidation, although transformation by microorganisms is the major neutralization process of PAH-contaminated sites in an ecologically accepted manner. Microbial degradation of PAHs depends on various environmental conditions, such as nutrients, number and kind of the microorganisms, nature as well as chemical property of the PAH being degraded. A wide variety of bacterial, fungal and algal species have the potential to degrade/transform PAHs, among which bacteria and fungi mediated degradation has been studied most extensively. In last few decades microbial community analysis, biochemical pathway for PAHs degradation, gene organization, enzyme system, genetic regulation for PAH degradation have been explored in great detail. Although, xenobiotic-degrading microorganisms have incredible potential to restore contaminated environments inexpensively yet effectively, but new advancements are required to make such microbes effective and more powerful in removing those compounds, which were once thought to be recalcitrant. Recent analytical chemistry and genetic engineering tools might help to improve the efficiency of degradation of PAHs by microorganisms, and minimize uncertainties of successful bioremediation. However, appropriate implementation of the potential of naturally occurring microorganisms for field bioremediation could be considerably enhanced by optimizing certain factors such as bioavailability, adsorption and mass transfer of PAHs. The main purpose of this review is to provide an overview of current knowledge of bacteria, halophilic archaea, fungi and algae mediated degradation/transformation of PAHs. In addition, factors affecting PAHs degradation in the environment, recent advancement in genetic, genomic, proteomic and metabolomic techniques are also highlighted with an aim to facilitate the development of a new insight into the bioremediation of PAH in the environment.","author":[{"dropping-particle":"","family":"Ghosal","given":"Debajyoti","non-dropping-particle":"","parse-names":false,"suffix":""},{"dropping-particle":"","family":"Ghosh","given":"Shreya","non-dropping-particle":"","parse-names":false,"suffix":""},{"dropping-particle":"","family":"Dutta","given":"Tapan K.","non-dropping-particle":"","parse-names":false,"suffix":""},{"dropping-particle":"","family":"Ahn","given":"Youngho","non-dropping-particle":"","parse-names":false,"suffix":""}],"container-title":"Frontiers in Microbiology","id":"ITEM-1","issue":"AUG","issued":{"date-parts":[["2016"]]},"title":"Current state of knowledge in microbial degradation of polycyclic aromatic hydrocarbons (PAHs): A review","type":"article","volume":"7"},"uris":["http://www.mendeley.com/documents/?uuid=d64e9bc9-c1c5-3290-b06a-9f4724ecb6fe"]}],"mendeley":{"formattedCitation":"(Ghosal et al., 2016)","plainTextFormattedCitation":"(Ghosal et al., 2016)","previouslyFormattedCitation":"(Ghosal et al., 2016)"},"properties":{"noteIndex":0},"schema":"https://github.com/citation-style-language/schema/raw/master/csl-citation.json"}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(Ghosal et al., 2016)</w:t>
      </w:r>
      <w:r>
        <w:rPr>
          <w:rFonts w:ascii="Times New Roman" w:hAnsi="Times New Roman" w:cs="Times New Roman"/>
          <w:sz w:val="24"/>
          <w:szCs w:val="24"/>
        </w:rPr>
        <w:fldChar w:fldCharType="end"/>
      </w:r>
      <w:r>
        <w:rPr>
          <w:rFonts w:ascii="Times New Roman" w:hAnsi="Times New Roman" w:cs="Times New Roman"/>
          <w:sz w:val="24"/>
          <w:szCs w:val="24"/>
        </w:rPr>
        <w:t>.</w:t>
      </w:r>
    </w:p>
    <w:p w14:paraId="07D78B2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Detoxification and Reactive Metabolites</w:t>
      </w:r>
    </w:p>
    <w:p w14:paraId="7302ABA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metabolism is crucial in detoxifying potentially harmful compounds. However, in some cases, metabolic activation can lead to the formation of reactive metabolites, contributing to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{"citationItems":[{"id":"ITEM-1","itemData":{"DOI":"10.1016/j.cbi.2018.08.023","ISSN":"18727786","abstract":"Glutathione S-transferases (GSTs), the versatile phase II biotransformation enzymes, metabolize and detoxify a wide variety of toxic chemical compounds like carcinogens, chemotherapeutic drugs, environmental pollutants and oxidative stress products. GSTs are currently of great interest in drug discovery, nanotechnology and biotechnology because of their involvement in many major cellular processes. GSTs, which are either homo or hetero dimeric proteins mediate catalytic binding between glutathione (GSH) and an array of either endogenous or exogenous toxic compounds to form a highly soluble detoxified complex which is then eliminated. Polycyclic aromatic hydrocarbons (PAHs) which are composed of two or more benzene rings bonded as linear, cluster or angular arrangements are used as intermediaries in pharmaceuticals, agricultural products, photographic products, thermosetting plastics, lubricating materials and other chemical products. Foods those cooked at high temperatures by grilling, roasting, frying and smoking are the main sources for the persistent bio-accumulation of PAHs in food chain. The carcinogenic, mutagenic and immunosuppressive effects of PAHs are well established. A well-known polycyclic aromatic hydrocarbon, methylcholanthrene is a potential carcinogenic, neurotoxic, mutagenic and tumour causing agent that is used as an experimental carcinogen in biological research. Methylcholanthrene converts into reactive metabolites when it enters living cells and those reactive metabolites oxidize DNA, RNA, proteins and lipids and form DNA and protein adducts as well. GSTs play major role in the detoxification of reactive metabolites of methylcholanthrene by mediating catalytic binding with GSH to form a highly soluble detoxified complex which is then eliminated. This review summarizes the role of GSTs in the detoxification of a polycyclic aromatic hydrocarbon, methylcholanthrene.","author":[{"dropping-particle":"","family":"Dasari","given":"Sreenivasulu","non-dropping-particle":"","parse-names":false,"suffix":""},{"dropping-particle":"","family":"Ganjayi","given":"Muni Swamy","non-dropping-particle":"","parse-names":false,"suffix":""},{"dropping-particle":"","family":"Yellanurkonda","given":"Prabhakar","non-dropping-particle":"","parse-names":false,"suffix":""},{"dropping-particle":"","family":"Basha","given":"Sreenivasulu","non-dropping-particle":"","parse-names":false,"suffix":""},{"dropping-particle":"","family":"Meriga","given":"Balaji","non-dropping-particle":"","parse-names":false,"suffix":""}],"container-title":"Chemico-Biological Interactions","id":"ITEM-1","issued":{"date-parts":[["2018"]]},"title":"Role of glutathione S-transferases in detoxification of a polycyclic aromatic hydrocarbon, methylcholanthrene","type":"article","volume":"294"},"uris":["http://www.mendeley.com/documents/?uuid=555ddc4d-9f30-321f-82b6-0a5feb15264e"]}],"mendeley":{"formattedCitation":"(Dasari et al., 2018)","plainTextFormattedCitation":"(Dasari et al., 2018)","previouslyFormattedCitation":"(Dasari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(Dasari et al., 2018)</w:t>
      </w:r>
      <w:r>
        <w:rPr>
          <w:rFonts w:ascii="Times New Roman" w:hAnsi="Times New Roman" w:cs="Times New Roman"/>
          <w:sz w:val="24"/>
          <w:szCs w:val="24"/>
        </w:rPr>
        <w:fldChar w:fldCharType="end"/>
      </w:r>
      <w:r>
        <w:rPr>
          <w:rFonts w:ascii="Times New Roman" w:hAnsi="Times New Roman" w:cs="Times New Roman"/>
          <w:sz w:val="24"/>
          <w:szCs w:val="24"/>
        </w:rPr>
        <w:t>. Understanding the balance between detoxification and the generation of reactive intermediates is essential for assessing the safety of drugs and xenobiotics.</w:t>
      </w:r>
    </w:p>
    <w:p w14:paraId="488077B1"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Example</w:t>
      </w:r>
    </w:p>
    <w:p w14:paraId="037CA08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Paracetamol (Acetaminophen): Paracetamol undergoes both detoxification and activation. The majority is conjugated with glucuronic acid or sulfate (Phase II), leading to its elimination. However, a small fraction undergoes metabolic activation by CYP enzymes, forming a reactive metabolite that, when in excess, can cause hepatotoxicity.</w:t>
      </w:r>
    </w:p>
    <w:p w14:paraId="5F277C7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 of Phase II Conjugation Reactions</w:t>
      </w:r>
    </w:p>
    <w:p w14:paraId="08DDB84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Phase II reactions, including glucuronidation, </w:t>
      </w:r>
      <w:proofErr w:type="spellStart"/>
      <w:r>
        <w:rPr>
          <w:rFonts w:ascii="Times New Roman" w:hAnsi="Times New Roman" w:cs="Times New Roman"/>
          <w:sz w:val="24"/>
          <w:szCs w:val="24"/>
        </w:rPr>
        <w:t>sulfation</w:t>
      </w:r>
      <w:proofErr w:type="spellEnd"/>
      <w:r>
        <w:rPr>
          <w:rFonts w:ascii="Times New Roman" w:hAnsi="Times New Roman" w:cs="Times New Roman"/>
          <w:sz w:val="24"/>
          <w:szCs w:val="24"/>
        </w:rPr>
        <w:t xml:space="preserve">, and glutathione conjugation, play a pivotal role in the inactivation of xenobiotics and prodrugs. These reactions increase water solubility, facilitating the excretion of the conjugated metabolites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{"citationItems":[{"id":"ITEM-1","itemData":{"DOI":"10.5507/bp.2010.017","ISSN":"12138118","abstract":"Background. Phase II biotransformation reactions (also 'conjugation reactions') generally serve as a detoxifying step in drug metabolism. Phase II drug metabolising enzymes are mainly transferases. This review covers the major phase II enzymes: UDP-glucuronosyltransferases, sulfotransferases, N-acetyltransferases, glutathione S-transferases and methyltransferases (mainly thiopurine S-methyl transferase and catechol O-methyl transferase). The focus is on the presence of various forms, on tissue and cellular distribution, on the respective substrates, on genetic polymorphism and finally on the interspecies differences in these enzymes. &amp; Methods and Results. A literature search using the following databases PubMed, Science Direct and EBSCO for the years, 1969-2010. &amp; Conclusions. Phase II drug metabolizing enzymes play an important role in biotransformation of endogenous compounds and xenobiotics to more easily excretable forms as well as in the metabolic nactivation of pharmacologically active compounds. Reduced metabolising capacity of Phase II enzymes can lead to toxic effects of clinically used drugs. Gene polymorphism/ lack of these enzymes may often play a role in several forms of cancer. © P. Jancova, P. Anzenbacher, E. Anzenbacherova.","author":[{"dropping-particle":"","family":"Jancova","given":"Petra","non-dropping-particle":"","parse-names":false,"suffix":""},{"dropping-particle":"","family":"Anzenbacher","given":"Pavel","non-dropping-particle":"","parse-names":false,"suffix":""},{"dropping-particle":"","family":"Anzenbacherova","given":"Eva","non-dropping-particle":"","parse-names":false,"suffix":""}],"container-title":"Biomedical Papers","id":"ITEM-1","issue":"2","issued":{"date-parts":[["2010"]]},"title":"Phase II drug metabolizing enzymes","type":"article-journal","volume":"154"},"uris":["http://www.mendeley.com/documents/?uuid=119fa449-a905-3237-aa50-b4ca3ab5cf36"]}],"mendeley":{"formattedCitation":"(Jancova et al., 2010)","plainTextFormattedCitation":"(Jancova et al., 2010)","previouslyFormattedCitation":"(Jancova et al.,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(Jancova et al., 2010)</w:t>
      </w:r>
      <w:r>
        <w:rPr>
          <w:rFonts w:ascii="Times New Roman" w:hAnsi="Times New Roman" w:cs="Times New Roman"/>
          <w:sz w:val="24"/>
          <w:szCs w:val="24"/>
        </w:rPr>
        <w:fldChar w:fldCharType="end"/>
      </w:r>
      <w:r>
        <w:rPr>
          <w:rFonts w:ascii="Times New Roman" w:hAnsi="Times New Roman" w:cs="Times New Roman"/>
          <w:sz w:val="24"/>
          <w:szCs w:val="24"/>
        </w:rPr>
        <w:t>.</w:t>
      </w:r>
    </w:p>
    <w:p w14:paraId="3CF2F1E7"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Example</w:t>
      </w:r>
    </w:p>
    <w:p w14:paraId="4F3705A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Irinotecan: Irinotecan, a prodrug used in cancer treatment, undergoes Phase I metabolism to form the active metabolite SN-38. This metabolite is then inactivated through glucuronidation (Phase II) in the liver to produce a water-soluble, less toxic compound for excretion.</w:t>
      </w:r>
    </w:p>
    <w:p w14:paraId="0CE0D69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Impact on Pharmacokinetics</w:t>
      </w:r>
    </w:p>
    <w:p w14:paraId="289579E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interplay between drug metabolism and the activation or inactivation of prodrugs and xenobiotics significantly influences pharmacokinetics. The rate and efficiency of metabolism determine the duration and intensity of drug action, bioavailability, and potential for adverse effects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{"citationItems":[{"id":"ITEM-1","itemData":{"DOI":"10.1016/j.jes.2016.08.023","ISSN":"18787320","abstract":"Polycyclic aromatic hydrocarbons (PAHs) are a large group of chemicals. They represent an important concern due to their widespread distribution in the environment, their resistance to biodegradation, their potential to bioaccumulate and their harmful effects. Several pilot treatments have been implemented to prevent economic consequences and deterioration of soil and water quality. As a promising option, fungal enzymes are regarded as a powerful choice for degradation of PAHs. Phanerochaete chrysosporium, Pleurotus ostreatus and Bjerkandera adusta are most commonly used for the degradation of such compounds due to their production of ligninolytic enzymes such as lignin peroxidase, manganese peroxidase and laccase. The rate of biodegradation depends on many culture conditions, such as temperature, oxygen, accessibility of nutrients and agitated or shallow culture. Moreover, the addition of biosurfactants can strongly modify the enzyme activity. The removal of PAHs is dependent on the ionization potential. The study of the kinetics is not completely comprehended, and it becomes more challenging when fungi are applied for bioremediation. Degradation studies in soil are much more complicated than liquid cultures because of the heterogeneity of soil, thus, many factors should be considered when studying soil bioremediation, such as desorption and bioavailability of PAHs. Different degradation pathways can be suggested. The peroxidases are heme-containing enzymes having common catalytic cycles. One molecule of hydrogen peroxide oxidizes the resting enzyme withdrawing two electrons. Subsequently, the peroxidase is reduced back in two steps of one electron oxidation. Laccases are copper-containing oxidases. They reduce molecular oxygen to water and oxidize phenolic compounds.","author":[{"dropping-particle":"","family":"Kadri","given":"Tayssir","non-dropping-particle":"","parse-names":false,"suffix":""},{"dropping-particle":"","family":"Rouissi","given":"Tarek","non-dropping-particle":"","parse-names":false,"suffix":""},{"dropping-particle":"","family":"Kaur Brar","given":"Satinder","non-dropping-particle":"","parse-names":false,"suffix":""},{"dropping-particle":"","family":"Cledon","given":"Maximiliano","non-dropping-particle":"","parse-names":false,"suffix":""},{"dropping-particle":"","family":"Sarma","given":"Saurabhjyoti","non-dropping-particle":"","parse-names":false,"suffix":""},{"dropping-particle":"","family":"Verma","given":"Mausam","non-dropping-particle":"","parse-names":false,"suffix":""}],"container-title":"Journal of Environmental Sciences (China)","id":"ITEM-1","issued":{"date-parts":[["2017"]]},"title":"Biodegradation of polycyclic aromatic hydrocarbons (PAHs) by fungal enzymes: A review","type":"article","volume":"51"},"uris":["http://www.mendeley.com/documents/?uuid=c0ff606c-e3de-3652-b3fc-a17f5b9d9918"]}],"mendeley":{"formattedCitation":"(Kadri et al., 2017)","plainTextFormattedCitation":"(Kadri et al., 2017)","previouslyFormattedCitation":"(Kadri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(Kadri et al., 2017)</w:t>
      </w:r>
      <w:r>
        <w:rPr>
          <w:rFonts w:ascii="Times New Roman" w:hAnsi="Times New Roman" w:cs="Times New Roman"/>
          <w:sz w:val="24"/>
          <w:szCs w:val="24"/>
        </w:rPr>
        <w:fldChar w:fldCharType="end"/>
      </w:r>
      <w:r>
        <w:rPr>
          <w:rFonts w:ascii="Times New Roman" w:hAnsi="Times New Roman" w:cs="Times New Roman"/>
          <w:sz w:val="24"/>
          <w:szCs w:val="24"/>
        </w:rPr>
        <w:t>.</w:t>
      </w:r>
    </w:p>
    <w:p w14:paraId="0971A5D3"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Example</w:t>
      </w:r>
    </w:p>
    <w:p w14:paraId="67F3578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Clopidogrel: Clopidogrel is a prodrug that undergoes hepatic metabolism, primarily by CYP2C19, to form its active metabolite. Genetic variations in CYP2C19 can lead to poor metabolizer phenotypes, impacting the activation of clopidogrel and potentially reducing its antiplatelet efficacy.</w:t>
      </w:r>
    </w:p>
    <w:p w14:paraId="7D70F77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conclusion, drug metabolism plays a central role in the activation of prodrugs and inactivation of xenobiotics, balancing therapeutic efficacy and safety. The complex interplay of Phase I and Phase II reactions determines the fate of these compounds within the body, impacting their pharmacological activity and potential for toxicity. Understanding these metabolic processes </w:t>
      </w:r>
      <w:r>
        <w:rPr>
          <w:rFonts w:ascii="Times New Roman" w:hAnsi="Times New Roman" w:cs="Times New Roman"/>
          <w:sz w:val="24"/>
          <w:szCs w:val="24"/>
        </w:rPr>
        <w:lastRenderedPageBreak/>
        <w:t>is fundamental for drug development, personalized medicine, and ensuring the safe and effective use of pharmaceuticals and environmental chemicals.</w:t>
      </w:r>
    </w:p>
    <w:p w14:paraId="71D3210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factors influencing drug distribution and their impact on pharmacokinetics.</w:t>
      </w:r>
    </w:p>
    <w:p w14:paraId="4BA78A7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Drug distribution is a crucial phase in pharmacokinetics, influencing the concentration and localization of drugs within the body. Several factors contribute to the complex process of drug distribution, affecting the overall pharmacokinetic profile and therapeutic outcomes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{"citationItems":[{"id":"ITEM-1","itemData":{"DOI":"10.5507/bp.2010.017","ISSN":"12138118","abstract":"Background. Phase II biotransformation reactions (also 'conjugation reactions') generally serve as a detoxifying step in drug metabolism. Phase II drug metabolising enzymes are mainly transferases. This review covers the major phase II enzymes: UDP-glucuronosyltransferases, sulfotransferases, N-acetyltransferases, glutathione S-transferases and methyltransferases (mainly thiopurine S-methyl transferase and catechol O-methyl transferase). The focus is on the presence of various forms, on tissue and cellular distribution, on the respective substrates, on genetic polymorphism and finally on the interspecies differences in these enzymes. &amp; Methods and Results. A literature search using the following databases PubMed, Science Direct and EBSCO for the years, 1969-2010. &amp; Conclusions. Phase II drug metabolizing enzymes play an important role in biotransformation of endogenous compounds and xenobiotics to more easily excretable forms as well as in the metabolic nactivation of pharmacologically active compounds. Reduced metabolising capacity of Phase II enzymes can lead to toxic effects of clinically used drugs. Gene polymorphism/ lack of these enzymes may often play a role in several forms of cancer. © P. Jancova, P. Anzenbacher, E. Anzenbacherova.","author":[{"dropping-particle":"","family":"Jancova","given":"Petra","non-dropping-particle":"","parse-names":false,"suffix":""},{"dropping-particle":"","family":"Anzenbacher","given":"Pavel","non-dropping-particle":"","parse-names":false,"suffix":""},{"dropping-particle":"","family":"Anzenbacherova","given":"Eva","non-dropping-particle":"","parse-names":false,"suffix":""}],"container-title":"Biomedical Papers","id":"ITEM-1","issue":"2","issued":{"date-parts":[["2010"]]},"title":"Phase II drug metabolizing enzymes","type":"article-journal","volume":"154"},"uris":["http://www.mendeley.com/documents/?uuid=119fa449-a905-3237-aa50-b4ca3ab5cf36"]}],"mendeley":{"formattedCitation":"(Jancova et al., 2010)","plainTextFormattedCitation":"(Jancova et al., 2010)","previouslyFormattedCitation":"(Jancova et al., 2010)"},"properties":{"noteIndex":0},"schema":"https://github.com/citation-style-language/schema/raw/master/csl-citation.json"}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(Jancova et al., 2010)</w:t>
      </w:r>
      <w:r>
        <w:rPr>
          <w:rFonts w:ascii="Times New Roman" w:hAnsi="Times New Roman" w:cs="Times New Roman"/>
          <w:sz w:val="24"/>
          <w:szCs w:val="24"/>
        </w:rPr>
        <w:fldChar w:fldCharType="end"/>
      </w:r>
      <w:r>
        <w:rPr>
          <w:rFonts w:ascii="Times New Roman" w:hAnsi="Times New Roman" w:cs="Times New Roman"/>
          <w:sz w:val="24"/>
          <w:szCs w:val="24"/>
        </w:rPr>
        <w:t>.</w:t>
      </w:r>
    </w:p>
    <w:p w14:paraId="757817F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Physicochemical Properties of Drugs</w:t>
      </w:r>
    </w:p>
    <w:p w14:paraId="1B3BB6D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physicochemical characteristics of a drug significantly influence its distribution. Lipophilic drugs tend to distribute well into fatty tissues, crossing cell membranes easily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{"citationItems":[{"id":"ITEM-1","itemData":{"DOI":"10.1021/acs.jnatprod.5b00255","ISSN":"15206025","abstract":"The impact of time, therapy area, and route of administration on 13 physicochemical properties calculated for 664 drugs developed from a natural prototype was investigated. The mean values for the majority of properties sampled over five periods from pre-1900 to 2013 were found to change in a statistically significant manner. In contrast, lipophilicity and aromatic ring count remained relatively constant, suggesting that these parameters are the most important for successful prosecution of a natural product drug discovery program if the route of administration is not focused exclusively on oral availability. An examination by therapy area revealed that anti-infective agents had the most differences in physicochemical property profiles compared with other areas, particularly with respect to lipophilicity. However, when this group was removed, the variation between the mean values for lipophilicity and aromatic ring count across the remaining therapy areas was again found not to change in a meaningful manner, further highlighting the importance of these two parameters. The vast majority of drugs with a natural progenitor were formulated for either oral and/or injectable administration. Injectables were, on average, larger and more polar than drugs developed for oral, topical, and inhalation routes.","author":[{"dropping-particle":"","family":"Camp","given":"David","non-dropping-particle":"","parse-names":false,"suffix":""},{"dropping-particle":"","family":"Garavelas","given":"Agatha","non-dropping-particle":"","parse-names":false,"suffix":""},{"dropping-particle":"","family":"Campitelli","given":"Marc","non-dropping-particle":"","parse-names":false,"suffix":""}],"container-title":"Journal of Natural Products","id":"ITEM-1","issue":"6","issued":{"date-parts":[["2015"]]},"title":"Analysis of Physicochemical Properties for Drugs of Natural Origin","type":"article-journal","volume":"78"},"uris":["http://www.mendeley.com/documents/?uuid=26e02b53-ac7b-3c4c-b6ca-17c9c5871073"]}],"mendeley":{"formattedCitation":"(Camp et al., 2015)","plainTextFormattedCitation":"(Camp et al., 2015)","previouslyFormattedCitation":"(Camp et al., 2015)"},"properties":{"noteIndex":0},"schema":"https://github.com/citation-style-language/schema/raw/master/csl-citation.json"}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(Camp et al., 2015)</w:t>
      </w:r>
      <w:r>
        <w:rPr>
          <w:rFonts w:ascii="Times New Roman" w:hAnsi="Times New Roman" w:cs="Times New Roman"/>
          <w:sz w:val="24"/>
          <w:szCs w:val="24"/>
        </w:rPr>
        <w:fldChar w:fldCharType="end"/>
      </w:r>
      <w:r>
        <w:rPr>
          <w:rFonts w:ascii="Times New Roman" w:hAnsi="Times New Roman" w:cs="Times New Roman"/>
          <w:sz w:val="24"/>
          <w:szCs w:val="24"/>
        </w:rPr>
        <w:t xml:space="preserve">. On the other hand, hydrophilic drugs may have limited penetration into lipid-rich compartments. The degree of ionization also affects distribution, as ionized forms may have difficulty crossing lipid barriers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{"citationItems":[{"id":"ITEM-1","itemData":{"DOI":"10.4172/pharmaceutical-sciences.1000357","ISSN":"19983743","abstract":"Sirolimus is metabolized by the CYP3A subfamily and is a substrate of the P-glycoprotein. CYP3A5 and MDR1 gene polymorphisms have been reported to influence plasma concentrations of this drug and dose requirements, but some recent studies reported conflicting results. The aim of this study was to develop population pharmacokinetics to identify the potential influencing factors that explain pharmacokinetic variability in healthy Chinese adults. Twenty seven healthy Chinese subjects were enrolled into this study and were genotyped for CYP3A5 (6986A&gt;G), MDR1 (3435C&gt;T). Blood samples at different time point were collected from each subject and blood concentrations were measured. The population pharmacokinetic model was established using the non-linear mixed-effects model method, CYP3A5, MDR1, gender and other factors were evaluated in the model as covariates. The results indicated that CYP3A5 polymorphisms significantly influenced the clearance, the central compartment distribution volume was larger in male than that in female subjects, body surface area showed remarkable impact on peripheral compartment volume. All parameters were estimated with acceptable precision. Visual predictive check and bootstrap indicated that the population model adequately captured the observed profiles. This model may be useful in guiding clinicians to adjust drug dosing regimen.","author":[{"dropping-particle":"","family":"Peng","given":"M.","non-dropping-particle":"","parse-names":false,"suffix":""},{"dropping-particle":"","family":"Zhao","given":"G.","non-dropping-particle":"","parse-names":false,"suffix":""},{"dropping-particle":"","family":"Li","given":"X.","non-dropping-particle":"","parse-names":false,"suffix":""},{"dropping-particle":"","family":"Chen","given":"M.","non-dropping-particle":"","parse-names":false,"suffix":""}],"container-title":"Indian Journal of Pharmaceutical Sciences","id":"ITEM-1","issue":"2","issued":{"date-parts":[["2018"]]},"title":"Population pharmacokinetics of sirolimus in healthy Chinese subjects","type":"article-journal","volume":"80"},"uris":["http://www.mendeley.com/documents/?uuid=99ac318d-ec6d-32d9-8fe8-8a993b5c361c"]}],"mendeley":{"formattedCitation":"(Peng et al., 2018)","plainTextFormattedCitation":"(Peng et al., 2018)","previouslyFormattedCitation":"(Peng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(Peng et al., 2018)</w:t>
      </w:r>
      <w:r>
        <w:rPr>
          <w:rFonts w:ascii="Times New Roman" w:hAnsi="Times New Roman" w:cs="Times New Roman"/>
          <w:sz w:val="24"/>
          <w:szCs w:val="24"/>
        </w:rPr>
        <w:fldChar w:fldCharType="end"/>
      </w:r>
      <w:r>
        <w:rPr>
          <w:rFonts w:ascii="Times New Roman" w:hAnsi="Times New Roman" w:cs="Times New Roman"/>
          <w:sz w:val="24"/>
          <w:szCs w:val="24"/>
        </w:rPr>
        <w:t>.</w:t>
      </w:r>
    </w:p>
    <w:p w14:paraId="5CE34A9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Protein Binding</w:t>
      </w:r>
    </w:p>
    <w:p w14:paraId="16B0C0C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binding of drugs to plasma proteins, primarily albumin, influences their distribution. Only the unbound fraction of a drug is generally available for distribution to tissues. Drugs with high protein binding may have a smaller free fraction, potentially leading to decreased distribution to target tissues and altered pharmacokinetics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{"citationItems":[{"id":"ITEM-1","itemData":{"DOI":"10.1002/wcms.1448","ISSN":"17590884","abstract":"Protein–protein interactions form central elements of almost all cellular processes. Knowledge of the structure of protein–protein complexes but also of the binding affinity is of major importance to understand the biological function of protein–protein interactions. Even weak transient protein–protein interactions can be of functional relevance for the cell during signal transduction or regulation of metabolism. The structure of a growing number of protein–protein complexes has been solved in recent years. Combined with docking approaches or template-based methods, it is possible to generate structural models of many putative protein–protein complexes or to design new protein–protein interactions. In order to evaluate the functional relevance of putative or predicted protein–protein complexes, realistic binding affinity prediction is of increasing importance. Several computational tools ranging from simple force-field or knowledge-based scoring of single protein–protein complexes to ensemble-based approaches and rigorous binding free energy simulations are available to predict relative and absolute binding affinities of complexes. With a focus on molecular mechanics force-field approaches the present review aims at presenting an overview on available methods and discussing advantages, approximations, and limitations of the various methods. This article is categorized under: Molecular and Statistical Mechanics &gt; Molecular Interactions Molecular and Statistical Mechanics &gt; Free Energy Methods Software &gt; Molecular Modeling.","author":[{"dropping-particle":"","family":"Siebenmorgen","given":"Till","non-dropping-particle":"","parse-names":false,"suffix":""},{"dropping-particle":"","family":"Zacharias","given":"Martin","non-dropping-particle":"","parse-names":false,"suffix":""}],"container-title":"Wiley Interdisciplinary Reviews: Computational Molecular Science","id":"ITEM-1","issue":"3","issued":{"date-parts":[["2020"]]},"title":"Computational prediction of protein–protein binding affinities","type":"article","volume":"10"},"uris":["http://www.mendeley.com/documents/?uuid=b8339cf3-25ee-3054-b6bf-d9a45c08befc"]}],"mendeley":{"formattedCitation":"(Siebenmorgen &amp; Zacharias, 2020)","plainTextFormattedCitation":"(Siebenmorgen &amp; Zacharias, 2020)","previouslyFormattedCitation":"(Siebenmorgen &amp; Zacharias,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(Siebenmorgen &amp; Zacharias, 2020)</w:t>
      </w:r>
      <w:r>
        <w:rPr>
          <w:rFonts w:ascii="Times New Roman" w:hAnsi="Times New Roman" w:cs="Times New Roman"/>
          <w:sz w:val="24"/>
          <w:szCs w:val="24"/>
        </w:rPr>
        <w:fldChar w:fldCharType="end"/>
      </w:r>
      <w:r>
        <w:rPr>
          <w:rFonts w:ascii="Times New Roman" w:hAnsi="Times New Roman" w:cs="Times New Roman"/>
          <w:sz w:val="24"/>
          <w:szCs w:val="24"/>
        </w:rPr>
        <w:t>.</w:t>
      </w:r>
    </w:p>
    <w:p w14:paraId="15E0177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Blood Flow to Tissues</w:t>
      </w:r>
    </w:p>
    <w:p w14:paraId="50F0F82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perfusion rate of blood to different tissues affects drug distribution. Well-perfused tissues, such as the heart, liver, and kidneys, receive drugs more readily than poorly perfused </w:t>
      </w:r>
      <w:r>
        <w:rPr>
          <w:rFonts w:ascii="Times New Roman" w:hAnsi="Times New Roman" w:cs="Times New Roman"/>
          <w:sz w:val="24"/>
          <w:szCs w:val="24"/>
        </w:rPr>
        <w:lastRenderedPageBreak/>
        <w:t>tissues. Consequently, variations in blood flow impact the concentration gradient between blood and tissues, influencing the distribution of drugs</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{"citationItems":[{"id":"ITEM-1","itemData":{"DOI":"10.1007/s00421-018-4029-2","ISSN":"14396319","abstract":"Introduction: Exercise with blood flow restriction (BFR) is emerging as an effective modality for improving muscular function in clinical and athletic populations. Selection of cuff pressure is critical because it should maximize metabolic stress without completely occluding blood flow or compromising user safety. It is unknown how cuff pressures determined at rest influence blood flow hemodynamics during exercise. Purpose: We evaluated changes in blood flow and tissue perfusion before, during, and after exercise with BFR. Methods: Ten males performed rhythmic handgrip exercise (30 contractions, 30% MVC) at 0%, 60%, 80%, 100%, and 120% of limb occlusion pressure (LOP). Brachial artery blood flow and tissue saturation were assessed using Doppler ultrasound and near-infrared spectroscopy, respectively. Results: At rest blood flow generally decreased with increased pressure (0% &gt; 60% ≈ 80% &gt; 100% ≈ 120% LOP). During 60% and 80% LOP conditions, blood flow increased during exercise from rest and decreased after exercise (all P &lt; 0.05). Compared to 0% LOP, relative blood flow at 60% and 80% LOP decreased by 22–47% at rest, 22–48% during exercise, and 52–71% after exercise (all P &lt; 0.05). Increased LOP decreased tissue saturation during exercise with BFR (P &lt; 0.05). Heart rate, mean arterial pressure, and cardiac output did not differ across LOP. Conclusion: At pressures below LOP the cardiovascular system overcame the external pressure and increased blood flow to exercising muscles. Relative reductions in blood flow at rest were similar to those during exercise. Thus, the relative occlusion measured at rest approximated the degree of occlusion during exercise. Moderate cuff pressures increased metabolic stress without completely occluding blood flow.","author":[{"dropping-particle":"","family":"Kilgas","given":"Matthew A.","non-dropping-particle":"","parse-names":false,"suffix":""},{"dropping-particle":"","family":"McDaniel","given":"John","non-dropping-particle":"","parse-names":false,"suffix":""},{"dropping-particle":"","family":"Stavres","given":"Jon","non-dropping-particle":"","parse-names":false,"suffix":""},{"dropping-particle":"","family":"Pollock","given":"Brandon S.","non-dropping-particle":"","parse-names":false,"suffix":""},{"dropping-particle":"","family":"Singer","given":"Tyler J.","non-dropping-particle":"","parse-names":false,"suffix":""},{"dropping-particle":"","family":"Elmer","given":"Steven J.","non-dropping-particle":"","parse-names":false,"suffix":""}],"container-title":"European Journal of Applied Physiology","id":"ITEM-1","issue":"2","issued":{"date-parts":[["2019"]]},"title":"Limb blood flow and tissue perfusion during exercise with blood flow restriction","type":"article-journal","volume":"119"},"uris":["http://www.mendeley.com/documents/?uuid=d47024a8-cb02-368e-a720-a827dbfa66cd"]}],"mendeley":{"formattedCitation":"(Kilgas et al., 2019)","plainTextFormattedCitation":"(Kilgas et al., 2019)","previouslyFormattedCitation":"(Kilgas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proofErr w:type="spellStart"/>
      <w:r>
        <w:rPr>
          <w:rFonts w:ascii="Times New Roman" w:hAnsi="Times New Roman" w:cs="Times New Roman"/>
          <w:noProof/>
          <w:sz w:val="24"/>
          <w:szCs w:val="24"/>
        </w:rPr>
        <w:t>Kilgas</w:t>
      </w:r>
      <w:proofErr w:type="spellEnd"/>
      <w:r>
        <w:rPr>
          <w:rFonts w:ascii="Times New Roman" w:hAnsi="Times New Roman" w:cs="Times New Roman"/>
          <w:noProof/>
          <w:sz w:val="24"/>
          <w:szCs w:val="24"/>
        </w:rPr>
        <w:t xml:space="preserve">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476D251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Tissue Composition</w:t>
      </w:r>
    </w:p>
    <w:p w14:paraId="4135E32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Tissues vary in composition, with factors such as lipid content, blood flow, and pH influencing drug distribution. Lipophilic drugs may accumulate in adipose tissue, leading to prolonged release over time. Additionally, differences in tissue pH may affect drug ionization and, consequently, impact distribution.</w:t>
      </w:r>
    </w:p>
    <w:p w14:paraId="4B579D7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Molecular Size and Drug Structure</w:t>
      </w:r>
    </w:p>
    <w:p w14:paraId="7B41B43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Molecular size and drug structure play a role in distribution. Larger molecules may have difficulty crossing cell membranes, limiting their distribution to certain compartments. Additionally, drugs with specific chemical structures may exhibit selective distribution patterns, targeting particular tissues or organs.</w:t>
      </w:r>
    </w:p>
    <w:p w14:paraId="22AB090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Binding to Tissue Components</w:t>
      </w:r>
    </w:p>
    <w:p w14:paraId="16863F2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Some drugs bind selectively to tissues or cellular components, affecting their distribution. This can lead to drug accumulation in specific organs or tissues, influencing the therapeutic and toxic effects. Examples include tetracycline’s binding to bone and iodine-containing compounds concentrating in the thyroid.</w:t>
      </w:r>
    </w:p>
    <w:p w14:paraId="3731FE22"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b/>
          <w:sz w:val="24"/>
          <w:szCs w:val="24"/>
        </w:rPr>
        <w:t>Blood-Brain Barrier (BBB)</w:t>
      </w:r>
    </w:p>
    <w:p w14:paraId="13EF29F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blood-brain barrier restricts the entry of many drugs into the central nervous system. Only drugs with specific characteristics, such as high lipid solubility or active transport </w:t>
      </w:r>
      <w:r>
        <w:rPr>
          <w:rFonts w:ascii="Times New Roman" w:hAnsi="Times New Roman" w:cs="Times New Roman"/>
          <w:sz w:val="24"/>
          <w:szCs w:val="24"/>
        </w:rPr>
        <w:lastRenderedPageBreak/>
        <w:t xml:space="preserve">mechanisms, can readily cross the BBB. This barrier has implications for drug distribution to the brain and impacts the treatment of neurological conditions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{"citationItems":[{"id":"ITEM-1","itemData":{"DOI":"10.3390/pharmaceutics15071999","ISSN":"19994923","abstract":"Among the challenges to the 21st-century health care industry, one that demands special mention is the transport of drugs/active pharmaceutical agents across the blood–brain barrier (BBB). The epithelial-like tight junctions within the brain capillary endothelium hinder the uptake of most pharmaceutical agents. With an aim to understand more deeply the intricacies of cell-penetrating and targeted peptides as a powerful tool for desirable biological activity, we provide a critical review of both CPP and homing/targeted peptides as intracellular drug delivery agents, especially across the blood–brain barrier (BBB). Two main peptides have been discussed to understand intracellular drug delivery; first is the cell-penetrating peptides (CPPs) for the targeted delivery of compounds of interest (primarily peptides and nucleic acids) and second is the family of homing peptides, which specifically targets cells/tissues based on their overexpression of tumour-specific markers and are thus at the heart of cancer research. These small, amphipathic molecules demonstrate specific physical and chemical modifications aimed at increased ease of cellular internalisation. Because only a limited number of drug molecules can bypass the blood–brain barrier by free diffusion, it is essential to explore all aspects of CPPs that can be exploited for crossing this barrier. Considering siRNAs that can be designed against any target RNA, marking such molecules with high therapeutic potential, we present a synopsis of the studies on synthetic siRNA-based therapeutics using CPPs and homing peptides drugs that can emerge as potential drug-delivery systems as an upcoming requirement in the world of pharma- and nutraceuticals.","author":[{"dropping-particle":"","family":"Ghorai","given":"Soma Mondal","non-dropping-particle":"","parse-names":false,"suffix":""},{"dropping-particle":"","family":"Deep","given":"Auroni","non-dropping-particle":"","parse-names":false,"suffix":""},{"dropping-particle":"","family":"Magoo","given":"Devanshi","non-dropping-particle":"","parse-names":false,"suffix":""},{"dropping-particle":"","family":"Gupta","given":"Chetna","non-dropping-particle":"","parse-names":false,"suffix":""},{"dropping-particle":"","family":"Gupta","given":"Nikesh","non-dropping-particle":"","parse-names":false,"suffix":""}],"container-title":"Pharmaceutics","id":"ITEM-1","issue":"7","issued":{"date-parts":[["2023"]]},"title":"Cell-Penetrating and Targeted Peptides Delivery Systems as Potential Pharmaceutical Carriers for Enhanced Delivery across the Blood–Brain Barrier (BBB)","type":"article","volume":"15"},"uris":["http://www.mendeley.com/documents/?uuid=260de6cc-04e3-305c-9f9e-88f3a57e04de"]}],"mendeley":{"formattedCitation":"(Ghorai et al., 2023)","plainTextFormattedCitation":"(Ghorai et al., 2023)","previouslyFormattedCitation":"(Ghorai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(Ghorai et al., 2023)</w:t>
      </w:r>
      <w:r>
        <w:rPr>
          <w:rFonts w:ascii="Times New Roman" w:hAnsi="Times New Roman" w:cs="Times New Roman"/>
          <w:sz w:val="24"/>
          <w:szCs w:val="24"/>
        </w:rPr>
        <w:fldChar w:fldCharType="end"/>
      </w:r>
    </w:p>
    <w:p w14:paraId="59295A0B" w14:textId="51B051B8" w:rsidR="00460EB1" w:rsidRDefault="00460EB1" w:rsidP="00460EB1">
      <w:pPr>
        <w:spacing w:line="480" w:lineRule="auto"/>
        <w:ind w:firstLine="720"/>
        <w:jc w:val="center"/>
        <w:rPr>
          <w:rFonts w:ascii="Times New Roman" w:hAnsi="Times New Roman" w:cs="Times New Roman"/>
          <w:sz w:val="24"/>
          <w:szCs w:val="24"/>
        </w:rPr>
      </w:pPr>
      <w:r>
        <w:rPr>
          <w:noProof/>
        </w:rPr>
        <w:drawing>
          <wp:inline distT="0" distB="0" distL="0" distR="0" wp14:anchorId="5936AD80" wp14:editId="5BAB322A">
            <wp:extent cx="4162425" cy="1905000"/>
            <wp:effectExtent l="0" t="0" r="9525" b="0"/>
            <wp:docPr id="3" name="Picture 3" descr="Development of blood brain barrier permeation prediction models for organic  and inorganic biocidal active substances - Science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velopment of blood brain barrier permeation prediction models for organic  and inorganic biocidal active substances - ScienceDi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2425" cy="1905000"/>
                    </a:xfrm>
                    <a:prstGeom prst="rect">
                      <a:avLst/>
                    </a:prstGeom>
                    <a:noFill/>
                    <a:ln>
                      <a:noFill/>
                    </a:ln>
                  </pic:spPr>
                </pic:pic>
              </a:graphicData>
            </a:graphic>
          </wp:inline>
        </w:drawing>
      </w:r>
    </w:p>
    <w:p w14:paraId="2270411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Disease States and Pathophysiology</w:t>
      </w:r>
    </w:p>
    <w:p w14:paraId="477F160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Alterations in physiological conditions or disease states can significantly influence drug distribution. Changes in blood flow, protein binding, and organ function can impact the distribution of drugs in pathological conditions, potentially leading to unexpected pharmacokinetic changes.</w:t>
      </w:r>
    </w:p>
    <w:p w14:paraId="717D0D9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Age, Gender, and Genetics</w:t>
      </w:r>
    </w:p>
    <w:p w14:paraId="657F4E2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Age-related changes in body composition, organ function, and blood flow influence drug distribution. Gender differences, such as variations in body fat and muscle mass, can also impact drug distribution. Genetic factors, including polymorphisms in drug transporters and metabolism enzymes, contribute to inter-individual variability in drug distribution.</w:t>
      </w:r>
    </w:p>
    <w:p w14:paraId="5FE5B7A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Impact on Pharmacokinetics</w:t>
      </w:r>
    </w:p>
    <w:p w14:paraId="0AC4910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factors influencing drug distribution collectively contribute to the pharmacokinetic profile of a drug. Variations in distribution can affect the onset and duration of drug action, </w:t>
      </w:r>
      <w:r>
        <w:rPr>
          <w:rFonts w:ascii="Times New Roman" w:hAnsi="Times New Roman" w:cs="Times New Roman"/>
          <w:sz w:val="24"/>
          <w:szCs w:val="24"/>
        </w:rPr>
        <w:lastRenderedPageBreak/>
        <w:t>influence the therapeutic window, and contribute to the potential for adverse effects. Understanding these factors is crucial for dosing optimization, predicting drug behavior, and ensuring safe and effective pharmacotherapy.</w:t>
      </w:r>
    </w:p>
    <w:p w14:paraId="31FCE5A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drug distribution is a complex and multifaceted process influenced by various factors. The interplay of physicochemical properties, protein binding, tissue composition, and other determinants shapes the pharmacokinetic profile of drugs. Recognizing the impact of these factors allows healthcare professionals to make informed decisions regarding drug dosing, administration, and monitoring for optimal therapeutic outcomes.</w:t>
      </w:r>
    </w:p>
    <w:p w14:paraId="4E031A4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Explore the concept of drug metabolism in special populations, such as pediatric, geriatric, and pregnant patients.</w:t>
      </w:r>
    </w:p>
    <w:p w14:paraId="6813CAC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 metabolism is a dynamic process influenced by various factors, and special populations, including pediatric, geriatric, and pregnant patients, exhibit unique characteristics that can impact the pharmacokinetics and safety of medications.</w:t>
      </w:r>
    </w:p>
    <w:p w14:paraId="5A56AB2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Pediatric Patients</w:t>
      </w:r>
    </w:p>
    <w:p w14:paraId="49F0CADD"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Physiological Variability</w:t>
      </w:r>
    </w:p>
    <w:p w14:paraId="35A3560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Pediatric patients undergo rapid growth and development, leading to significant physiological changes. Differences in organ function, body composition, and enzyme activity can result in distinct pharmacokinetic profiles compared to adults.</w:t>
      </w:r>
    </w:p>
    <w:p w14:paraId="56273669"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Enzyme Maturation</w:t>
      </w:r>
    </w:p>
    <w:p w14:paraId="395F300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maturation of drug-metabolizing enzymes, particularly those of the cytochrome P450 (CYP) family, is a critical factor. Newborns and infants may have lower enzyme activity, affecting </w:t>
      </w:r>
      <w:r>
        <w:rPr>
          <w:rFonts w:ascii="Times New Roman" w:hAnsi="Times New Roman" w:cs="Times New Roman"/>
          <w:sz w:val="24"/>
          <w:szCs w:val="24"/>
        </w:rPr>
        <w:lastRenderedPageBreak/>
        <w:t xml:space="preserve">the clearance of drugs. The trajectory of enzyme maturation varies, influencing drug metabolism in different pediatric age groups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{"citationItems":[{"id":"ITEM-1","itemData":{"DOI":"10.1002/psp4.12350","ISSN":"21638306","abstract":"The objective of this study was to develop pediatric physiologically based pharmacokinetic (PBPK) models for pantoprazole and esomeprazole. Pediatric PBPK models were developed by Simcyp version 15 by incorporating cytochrome P450 (CYP)2C19 maturation and auto-inhibition. The predicted-to-observed pantoprazole clearance (CL) ratio ranged from 0.96–1.35 in children 1–17 years of age and 0.43–0.70 in term infants. The predicted-to-observed esomeprazole CL ratio ranged from 1.08–1.50 for children 6–17 years of age, and 0.15–0.33 for infants. The prediction was markedly improved by assuming no auto-inhibition of esomeprazole in infants in the PBPK model. Our results suggested that the CYP2C19 auto-inhibition model was appropriate for esomeprazole in adults and older children but could not be directly extended to infants. A better understanding of the complex interplay of enzyme maturation, inhibition, and compensatory mechanisms for CYP2C19 is necessary for PBPK modeling in infants.","author":[{"dropping-particle":"","family":"Duan","given":"Peng","non-dropping-particle":"","parse-names":false,"suffix":""},{"dropping-particle":"","family":"Wu","given":"Fang","non-dropping-particle":"","parse-names":false,"suffix":""},{"dropping-particle":"","family":"Moore","given":"Jason N.","non-dropping-particle":"","parse-names":false,"suffix":""},{"dropping-particle":"","family":"Fisher","given":"Jeffrey","non-dropping-particle":"","parse-names":false,"suffix":""},{"dropping-particle":"","family":"Crentsil","given":"Victor","non-dropping-particle":"","parse-names":false,"suffix":""},{"dropping-particle":"","family":"Gonzalez","given":"Daniel","non-dropping-particle":"","parse-names":false,"suffix":""},{"dropping-particle":"","family":"Zhang","given":"Lei","non-dropping-particle":"","parse-names":false,"suffix":""},{"dropping-particle":"","family":"Burckart","given":"Gilbert J.","non-dropping-particle":"","parse-names":false,"suffix":""},{"dropping-particle":"","family":"Wang","given":"Jian","non-dropping-particle":"","parse-names":false,"suffix":""}],"container-title":"CPT: Pharmacometrics and Systems Pharmacology","id":"ITEM-1","issue":"3","issued":{"date-parts":[["2019"]]},"title":"Assessing CYP2C19 Ontogeny in Neonates and Infants Using Physiologically Based Pharmacokinetic Models: Impact of Enzyme Maturation Versus Inhibition","type":"article-journal","volume":"8"},"uris":["http://www.mendeley.com/documents/?uuid=1207bcc1-47a2-35c9-afcc-f083a17b6c08"]}],"mendeley":{"formattedCitation":"(Duan et al., 2019)","plainTextFormattedCitation":"(Duan et al., 2019)","previouslyFormattedCitation":"(Duan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(Duan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13C1C31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Increased Sensitivity to Inducers/Inhibitors</w:t>
      </w:r>
    </w:p>
    <w:p w14:paraId="0B657D8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Pediatric patients may be more sensitive to enzyme inducers or inhibitors. The administration of drugs that influence enzyme activity can have a more pronounced effect in children, potentially requiring dose adjustments and close monitoring.</w:t>
      </w:r>
    </w:p>
    <w:p w14:paraId="4F8D84C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Considerations for Drug Dosing</w:t>
      </w:r>
    </w:p>
    <w:p w14:paraId="032B8CE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Dosing in pediatrics often involves weight-based calculations and adjustments based on age. Pediatric pharmacokinetics must account for variations in absorption, distribution, metabolism, and excretion to ensure safe and effective drug therapy.</w:t>
      </w:r>
    </w:p>
    <w:p w14:paraId="38C84B4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Geriatric Patients</w:t>
      </w:r>
    </w:p>
    <w:p w14:paraId="76FC13AB"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Age-Related Changes in Organ Function</w:t>
      </w:r>
    </w:p>
    <w:p w14:paraId="3F8B7F2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Geriatric patients experience age-related changes in organ function, including reduced renal and hepatic blood flow, altered body composition, and changes in enzyme activity. These factors contribute to variations in drug metabolism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{"citationItems":[{"id":"ITEM-1","itemData":{"DOI":"10.1016/j.ctrv.2020.101980","ISSN":"15321967","abstract":"Gastric cancer is considered an age-related disease, with the majority of new cases in the UK diagnosed in individuals over the age of 75. At present most guidance related to the management of gastric cancer is based on trials undertaken in the fit, younger patient. Historically the elderly have been underrepresented in clinical trials, which frequently have a restricted inclusion to an upper age limit of 75. The European Society for Medical Oncology (ESMO) recommends use of a geriatric assessment to determine functional age when initiating treatment in elderly patients with gastric cancer, which has been shown to be a better predictor of treatment response than chronological age. The physiological changes that occur with age, including reduced organ function and pharmacokinetic and pharmacodynamic variability, together with impaired functional status, necessitate a more individualised approach to treatment decisions in the older patient to provide them with the same advantages from radical treatment and palliative chemotherapy as younger patients. This review summarises the current evidence extrapolated from trial data on how best to optimise treatment for elderly patients with gastric cancer.","author":[{"dropping-particle":"","family":"Joharatnam-Hogan","given":"Nalinie","non-dropping-particle":"","parse-names":false,"suffix":""},{"dropping-particle":"","family":"Shiu","given":"Kai Keen","non-dropping-particle":"","parse-names":false,"suffix":""},{"dropping-particle":"","family":"Khan","given":"Khurum","non-dropping-particle":"","parse-names":false,"suffix":""}],"container-title":"Cancer Treatment Reviews","id":"ITEM-1","issued":{"date-parts":[["2020"]]},"title":"Challenges in the treatment of gastric cancer in the older patient","type":"article","volume":"85"},"uris":["http://www.mendeley.com/documents/?uuid=615844ab-b1ef-326d-a2bc-4caf8895ec86"]}],"mendeley":{"formattedCitation":"(Joharatnam-Hogan et al., 2020)","plainTextFormattedCitation":"(Joharatnam-Hogan et al., 2020)","previouslyFormattedCitation":"(Joharatnam-Hogan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(Joharatnam-Hogan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6599FB12"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Decreased Enzyme Activity</w:t>
      </w:r>
    </w:p>
    <w:p w14:paraId="5F41BDB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Aging can result in reduced activity of drug-metabolizing enzymes, particularly the CYP enzymes in the liver. This may lead to a slower metabolism of certain drugs, potentially prolonging their half-life and increasing the risk of adverse effects.</w:t>
      </w:r>
    </w:p>
    <w:p w14:paraId="781765E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Polypharmacy and Drug Interactions</w:t>
      </w:r>
    </w:p>
    <w:p w14:paraId="34AD1BA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Geriatric patients often take multiple medications, increasing the potential for drug-drug interactions. The cumulative impact of polypharmacy, combined with age-related changes in metabolism, necessitates careful consideration of drug regimens to avoid adverse outcomes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{"citationItems":[{"id":"ITEM-1","itemData":{"DOI":"10.2147/JMDH.S297423","ISSN":"11782390","abstract":"Background: Risks associated with polypharmacy and drug–drug interactions represent a challenge in drug treatment, especially in older adults. The aim of the present study was to assess the use of prescription and non-prescription drugs and the frequency of potential drug–drug interactions in home-dwelling older individuals. Methods: A cross-sectional study design was applied. Data were collected during preventive home visits among individuals aged ≥75 in three separate communities of Western Norway. A questionnaire, which was filled out by the individual, their next-of-kin, and the nurse performing the home visit was used for the collection of demographic and clinical data (age, sex, medication use, diagnoses, need of assistance with drug administration). Potential drug–drug interactions were identified electronically by IBM Micromedex Drug Interaction Checking. Point prevalence of potential drug–drug interactions and polypharmacy (≥5 drugs) were calculated. Binary logistic regression analyses were performed to assess factors potentially associated with polypharmacy or potential drug–drug interactions. Results: Among the 233 individuals (mean age 78±3 years, 46% male) included in the study, 43% used ≥5 drugs, 3.4% ≥10 drugs, while 4.3% used no drugs. In 54% of the 197 individuals using two or more drugs, at least one potential drug–drug interaction was detected. Low-dose aspirin and simvastatin were most frequently involved in potential drug–drug interactions. In total, 25% of the individuals reported current use of drugs sold over the counter of which more than 95% were analgesic drugs. Potential drug–drug interactions involving ibuprofen were identified in nine of 11 (82%) individuals using over-the-counter ibuprofen. Conclusion: The study revealed a high prevalence of polypharmacy and potential drug–drug interactions with both prescription and non-prescription drugs in older home-dwelling individuals. Close monitoring of the patients at risk of drug–drug interactions, and increased awareness of the potential of over-the-counter drugs to cause drug–drug interactions, is needed.","author":[{"dropping-particle":"","family":"Hermann","given":"Monica","non-dropping-particle":"","parse-names":false,"suffix":""},{"dropping-particle":"","family":"Carstens","given":"Nina","non-dropping-particle":"","parse-names":false,"suffix":""},{"dropping-particle":"","family":"Kvinge","given":"Lars","non-dropping-particle":"","parse-names":false,"suffix":""},{"dropping-particle":"","family":"Fjell","given":"Astrid","non-dropping-particle":"","parse-names":false,"suffix":""},{"dropping-particle":"","family":"Wennersberg","given":"Marianne","non-dropping-particle":"","parse-names":false,"suffix":""},{"dropping-particle":"","family":"Folleso","given":"Kjersti","non-dropping-particle":"","parse-names":false,"suffix":""},{"dropping-particle":"","family":"Skaug","given":"Knut","non-dropping-particle":"","parse-names":false,"suffix":""},{"dropping-particle":"","family":"Seiger","given":"Ake","non-dropping-particle":"","parse-names":false,"suffix":""},{"dropping-particle":"","family":"Cronfalk","given":"Berit Seiger","non-dropping-particle":"","parse-names":false,"suffix":""},{"dropping-particle":"","family":"Bostrom","given":"Anne Marie","non-dropping-particle":"","parse-names":false,"suffix":""}],"container-title":"Journal of Multidisciplinary Healthcare","id":"ITEM-1","issued":{"date-parts":[["2021"]]},"title":"Polypharmacy and potential drug–drug interactions in home-dwelling older people – a cross-sectional study","type":"article-journal","volume":"14"},"uris":["http://www.mendeley.com/documents/?uuid=58a30146-a2cb-38cb-8fde-e3ffe20ed9a7"]}],"mendeley":{"formattedCitation":"(Hermann et al., 2021)","plainTextFormattedCitation":"(Hermann et al., 2021)","previouslyFormattedCitation":"(Hermann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(Hermann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700A62C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Individual Variability</w:t>
      </w:r>
    </w:p>
    <w:p w14:paraId="597C645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is substantial individual variability among geriatric patients. Factors such as genetics, comorbidities, and lifestyle contribute to differences in drug metabolism and response, emphasizing the need for personalized approaches to drug therapy in this population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{"citationItems":[{"id":"ITEM-1","itemData":{"DOI":"10.2147/CIA.S358633","ISSN":"11781998","abstract":"Background: Appropriate prescribing is often challenging in geriatric patients due to age-related pharmacokinetic and pharmacody-namic alterations. Elderly patients with cardiovascular diseases are frequently prescribed multiple medications. Hence, it is imperative to investigate medication appropriateness, polypharmacy, and drug-drug interactions in these groups of patients. Objective: To assess medication appropriateness using the 2019 American Geriatric Society Beers and Medication Appropriateness Index criteria, polypharmacy and drug-drug interactions among elderly ambulatory patients with cardiovascular diseases at Tikur Anbessa Specialized Hospital. Methods: A hospital-based retrospective cross-sectional study was conducted among 384 elderly (60 years and older) ambulatory patients with cardiovascular diseases between May 01-August 30, 2021. Data was collected from the patient’s medical record using a data abstraction tool. The data were entered and analyzed using the SPSS program. Descriptive and logistic regression models were used to present the findings. Results: The most frequent diagnosis was hypertension (78.4%) followed by ischemic heart disease (31.3%). Averagely, 4.4 ± 2 medications were prescribed per patient. More than half of (53.1%) the patients received polypharmacy. According to Beer’s and medication appropriateness index criteria, over one-third (28.1%) and the majority (95.1%) of the patients were prescribed potentially inappropriate medications, respectively. In addition, 53.1% and 90.1% of patients had polypharmacy, and were exposed to potential drug-drug interactions ranging from mild to major interactions, respectively. Further, polypharmacy was significantly associated with inappropriate medication prescribing. Conclusion: The study found that more than half of the patients got one or more potentially inappropriate medications in both criteria. The medication appropriateness index tool identified more potentially inappropriate medication than the Beers criteria. In addition, more than half of the patients got polypharmacy and had potential drug-drug interactions. Further, polypharmacy was significantly associated with inappropriate medication prescriptions. These findings highlight the need for interventions to improve appropriate prescribing practice among elderly patients.","author":[{"dropping-particle":"","family":"Adem","given":"Limi","non-dropping-particle":"","parse-names":false,"suffix":""},{"dropping-particle":"","family":"Tegegne","given":"Gobezie T.","non-dropping-particle":"","parse-names":false,"suffix":""}],"container-title":"Clinical Interventions in Aging","id":"ITEM-1","issued":{"date-parts":[["2022"]]},"title":"Medication Appropriateness, Polypharmacy, and Drug-Drug Interactions in Ambulatory Elderly Patients with Cardiovascular Diseases at Tikur Anbessa Specialized Hospital, Ethiopia","type":"article-journal","volume":"17"},"uris":["http://www.mendeley.com/documents/?uuid=66f55fcc-b105-3185-8ed4-0f67dc7f0323"]}],"mendeley":{"formattedCitation":"(Adem &amp; Tegegne, 2022)","plainTextFormattedCitation":"(Adem &amp; Tegegne, 2022)","previouslyFormattedCitation":"(Adem &amp; Tegegne,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(Adem &amp; Tegegne, 2022)</w:t>
      </w:r>
      <w:r>
        <w:rPr>
          <w:rFonts w:ascii="Times New Roman" w:hAnsi="Times New Roman" w:cs="Times New Roman"/>
          <w:sz w:val="24"/>
          <w:szCs w:val="24"/>
        </w:rPr>
        <w:fldChar w:fldCharType="end"/>
      </w:r>
      <w:r>
        <w:rPr>
          <w:rFonts w:ascii="Times New Roman" w:hAnsi="Times New Roman" w:cs="Times New Roman"/>
          <w:sz w:val="24"/>
          <w:szCs w:val="24"/>
        </w:rPr>
        <w:t>.</w:t>
      </w:r>
    </w:p>
    <w:p w14:paraId="1421C40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Pregnant Patients</w:t>
      </w:r>
    </w:p>
    <w:p w14:paraId="6E6B293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Physiological Changes during Pregnancy</w:t>
      </w:r>
    </w:p>
    <w:p w14:paraId="201A3FC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Pregnancy induces various physiological changes, including increased blood volume, altered liver metabolism, and changes in renal function. These alterations can impact drug absorption, distribution, and elimination.</w:t>
      </w:r>
    </w:p>
    <w:p w14:paraId="2A0CE8A5" w14:textId="396E9DAA" w:rsidR="00460EB1" w:rsidRDefault="00460EB1" w:rsidP="00460EB1">
      <w:pPr>
        <w:spacing w:line="480" w:lineRule="auto"/>
        <w:ind w:firstLine="720"/>
        <w:jc w:val="center"/>
        <w:rPr>
          <w:rFonts w:ascii="Times New Roman" w:hAnsi="Times New Roman" w:cs="Times New Roman"/>
          <w:sz w:val="24"/>
          <w:szCs w:val="24"/>
        </w:rPr>
      </w:pPr>
      <w:r>
        <w:rPr>
          <w:noProof/>
        </w:rPr>
        <w:lastRenderedPageBreak/>
        <w:drawing>
          <wp:inline distT="0" distB="0" distL="0" distR="0" wp14:anchorId="21AAFE7D" wp14:editId="57A6EA12">
            <wp:extent cx="5457825" cy="3305175"/>
            <wp:effectExtent l="0" t="0" r="9525" b="9525"/>
            <wp:docPr id="2" name="Picture 2" descr="Physiological changes during pregnancy and their impact on drug...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ysiological changes during pregnancy and their impact on drug... |  Download Scientific Diagram"/>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7825" cy="3305175"/>
                    </a:xfrm>
                    <a:prstGeom prst="rect">
                      <a:avLst/>
                    </a:prstGeom>
                    <a:noFill/>
                    <a:ln>
                      <a:noFill/>
                    </a:ln>
                  </pic:spPr>
                </pic:pic>
              </a:graphicData>
            </a:graphic>
          </wp:inline>
        </w:drawing>
      </w:r>
    </w:p>
    <w:p w14:paraId="4C45BC6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Placental Drug Transfer</w:t>
      </w:r>
    </w:p>
    <w:p w14:paraId="2A58EF8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Drugs can cross the placenta and affect the developing fetus. The placental barrier is not impermeable, and drug properties such as lipid solubility, molecular size, and ionization influence the extent of placental transfer.</w:t>
      </w:r>
    </w:p>
    <w:p w14:paraId="30E974B8"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Alterations in Enzyme Activity</w:t>
      </w:r>
    </w:p>
    <w:p w14:paraId="072F818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Pregnancy can modulate the activity of drug-metabolizing enzymes. Some enzymes, such as CYP3A4, may be induced during pregnancy, affecting the metabolism of certain drugs. Understanding these changes is crucial for adjusting drug doses to maintain therapeutic efficacy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{"citationItems":[{"id":"ITEM-1","itemData":{"DOI":"10.1002/psp4.12350","ISSN":"21638306","abstract":"The objective of this study was to develop pediatric physiologically based pharmacokinetic (PBPK) models for pantoprazole and esomeprazole. Pediatric PBPK models were developed by Simcyp version 15 by incorporating cytochrome P450 (CYP)2C19 maturation and auto-inhibition. The predicted-to-observed pantoprazole clearance (CL) ratio ranged from 0.96–1.35 in children 1–17 years of age and 0.43–0.70 in term infants. The predicted-to-observed esomeprazole CL ratio ranged from 1.08–1.50 for children 6–17 years of age, and 0.15–0.33 for infants. The prediction was markedly improved by assuming no auto-inhibition of esomeprazole in infants in the PBPK model. Our results suggested that the CYP2C19 auto-inhibition model was appropriate for esomeprazole in adults and older children but could not be directly extended to infants. A better understanding of the complex interplay of enzyme maturation, inhibition, and compensatory mechanisms for CYP2C19 is necessary for PBPK modeling in infants.","author":[{"dropping-particle":"","family":"Duan","given":"Peng","non-dropping-particle":"","parse-names":false,"suffix":""},{"dropping-particle":"","family":"Wu","given":"Fang","non-dropping-particle":"","parse-names":false,"suffix":""},{"dropping-particle":"","family":"Moore","given":"Jason N.","non-dropping-particle":"","parse-names":false,"suffix":""},{"dropping-particle":"","family":"Fisher","given":"Jeffrey","non-dropping-particle":"","parse-names":false,"suffix":""},{"dropping-particle":"","family":"Crentsil","given":"Victor","non-dropping-particle":"","parse-names":false,"suffix":""},{"dropping-particle":"","family":"Gonzalez","given":"Daniel","non-dropping-particle":"","parse-names":false,"suffix":""},{"dropping-particle":"","family":"Zhang","given":"Lei","non-dropping-particle":"","parse-names":false,"suffix":""},{"dropping-particle":"","family":"Burckart","given":"Gilbert J.","non-dropping-particle":"","parse-names":false,"suffix":""},{"dropping-particle":"","family":"Wang","given":"Jian","non-dropping-particle":"","parse-names":false,"suffix":""}],"container-title":"CPT: Pharmacometrics and Systems Pharmacology","id":"ITEM-1","issue":"3","issued":{"date-parts":[["2019"]]},"title":"Assessing CYP2C19 Ontogeny in Neonates and Infants Using Physiologically Based Pharmacokinetic Models: Impact of Enzyme Maturation Versus Inhibition","type":"article-journal","volume":"8"},"uris":["http://www.mendeley.com/documents/?uuid=1207bcc1-47a2-35c9-afcc-f083a17b6c08"]}],"mendeley":{"formattedCitation":"(Duan et al., 2019)","plainTextFormattedCitation":"(Duan et al., 2019)","previouslyFormattedCitation":"(Duan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(Duan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4489B55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Risk-Benefit Considerations</w:t>
      </w:r>
    </w:p>
    <w:p w14:paraId="71FFCB5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Balancing the risks and benefits of drug therapy during pregnancy is a critical consideration. Some drugs may pose risks to fetal development, requiring careful evaluation of potential harm versus therapeutic benefits.</w:t>
      </w:r>
    </w:p>
    <w:p w14:paraId="7D297E0E"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drug metabolism in special populations, including pediatric, geriatric, and pregnant patients, is a complex interplay of physiological changes, enzyme activity, and individual variability. Tailoring drug therapy to the unique characteristics of these populations is essential for optimizing therapeutic outcomes while minimizing the risk of adverse effects. Considerations for dosing, drug selection, and monitoring must be adapted to the specific needs and challenges posed by each special population.</w:t>
      </w:r>
    </w:p>
    <w:p w14:paraId="3BD5E62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challenges and opportunities in predicting and modeling drug metabolism and absorption.</w:t>
      </w:r>
    </w:p>
    <w:p w14:paraId="17EC5FBC"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Predicting and modeling drug metabolism and absorption is a complex task that involves understanding the intricate processes that govern the fate of drugs within the body. While advancements in computational techniques and experimental methodologies have provided opportunities to enhance our understanding, several challenges persist.</w:t>
      </w:r>
    </w:p>
    <w:p w14:paraId="62216DC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Challenges</w:t>
      </w:r>
    </w:p>
    <w:p w14:paraId="377DA497"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Inter-Individual Variability</w:t>
      </w:r>
    </w:p>
    <w:p w14:paraId="6A20164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Human populations exhibit considerable variability in drug metabolism and absorption due to genetic polymorphisms, individual differences in enzyme activity, and other factors. Predicting how a drug will be metabolized or absorbed in a specific individual remains a substantial challenge.</w:t>
      </w:r>
    </w:p>
    <w:p w14:paraId="6C02E746"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Complexity of Metabolic Pathways</w:t>
      </w:r>
    </w:p>
    <w:p w14:paraId="466F479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The metabolic pathways involved in drug metabolism are often intricate, with multiple enzymes contributing to the transformation of a drug into its metabolites. Predicting the specific pathways, the extent of metabolism, and the identity of metabolites is challenging, especially for drugs with diverse metabolic routes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{"citationItems":[{"id":"ITEM-1","itemData":{"DOI":"10.1186/s12909-023-04587-5","ISSN":"14726920","abstract":"Background: In medical education, the conventional didactic lectures make the learning process tedious and cause disinterest among students. To overcome this, an effective experiential learning integrated with game-based approach that intends to make the learning process fun filled, interesting and enhance the active participation of students to understand complex topics in a simple and optimum manner should be adopted. Objectives: The purpose of this study is to assess the efficiency of a puzzle-based innovation, METAPAD (METAbolic PAthways Decoded) in understanding the complexity of biochemical pathways by enhancing the self-directed learning of students through active engagement in small groups Methods: In this mixed-method study, 103 first professional year medical students in small groups were enrolled for the METAPAD gaming puzzle-based learning activity. The puzzles were integrated with a relevant clinical case study. Decoding the puzzle after identification of the metabolic pathway involved in the case was conducted in level 1,2 and 3 with increasing complexity of puzzles at every level. Following the puzzle activity, A 21-item questionnaire was administered to evaluate the usefulness of the innovation and students’ perceptions towards different learning styles. Also, students’ feedback was obtained through personal interviews for qualitative analysis and thematic analysis was performed. Results: One hundred and three first year undergraduate medical students participated in the study. Most of the students perceived the METAPAD gaming puzzle to be an effective and innovative style of learning. There was not any significant association between age, gender and acceptance towards the METAPAD gaming puzzle. The predominant type of learning style among the students was multimodal (49.5%). Also, there was no great influence of the learning styles on the overall perception towards the METAPAD gaming puzzle. However, learners emphasized the need to focus more while solving the puzzles. Conclusion: Students perceive the METAPAD gaming puzzle as an actively engaging teaching-learning method that enhances their creativity, critical thinking and problem-solving abilities. It promotes self-directed learning of complex pathways in biochemistry which helps in remembering and recalling information and improves their learning skills.","author":[{"dropping-particle":"","family":"Surapaneni","given":"Krishna Mohan","non-dropping-particle":"","parse-names":false,"suffix":""}],"container-title":"BMC Medical Education","id":"ITEM-1","issue":"1","issued":{"date-parts":[["2023"]]},"title":"“METAPAD” (METAbolic PAthways Decoded) – a gaming innovation to ease the complexity of metabolic pathways by promoting self-directed, active, participatory learning in small groups","type":"article-journal","volume":"23"},"uris":["http://www.mendeley.com/documents/?uuid=9bb74798-da26-31cb-a37f-33935eed2ca8"]}],"mendeley":{"formattedCitation":"(Surapaneni, 2023)","plainTextFormattedCitation":"(Surapaneni, 2023)","previouslyFormattedCitation":"(Surapaneni,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(Surapaneni, 2023)</w:t>
      </w:r>
      <w:r>
        <w:rPr>
          <w:rFonts w:ascii="Times New Roman" w:hAnsi="Times New Roman" w:cs="Times New Roman"/>
          <w:sz w:val="24"/>
          <w:szCs w:val="24"/>
        </w:rPr>
        <w:fldChar w:fldCharType="end"/>
      </w:r>
      <w:r>
        <w:rPr>
          <w:rFonts w:ascii="Times New Roman" w:hAnsi="Times New Roman" w:cs="Times New Roman"/>
          <w:sz w:val="24"/>
          <w:szCs w:val="24"/>
        </w:rPr>
        <w:t>.</w:t>
      </w:r>
    </w:p>
    <w:p w14:paraId="361A39B5"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Limited Availability of Human-Specific Data</w:t>
      </w:r>
    </w:p>
    <w:p w14:paraId="2724A40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Many drug metabolism studies rely on preclinical models, such as animal models or in vitro systems. The translation of findings from these models to humans is not always straightforward due to species differences in metabolic pathways and enzyme activities. Limited availability of human-specific data poses a challenge in accurately predicting human drug metabolism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{"citationItems":[{"id":"ITEM-1","itemData":{"DOI":"10.3855/jidc.13966","ISSN":"19722680","abstract":"Introduction: Coronavirus infectious disease 2019 (COVID-19) is currently one of the most important public health crises affecting the global human population. It continues to spread widely, as the world still lacks specific treatments and a vaccine for the virus. The scenario of COVID-19 in Yemen seems obscure due to the lack of adequate data, therefore, we developed an electronic questionnaire and distributed it online among Yemeni people. The aim of this study was to understand the COVID-19 epidemiological situation in Yemen better since there is currently limited published data and limited availability of COVID-19 testing. Methodology: A 34-question web-based survey was distributed on social media outlets targeting people in Yemen. Data aggregation, analysis, and visualization were performed using Tableau and Microsoft Excel. Results: 2,341 individuals reported symptoms concerning for COVID-19 infection, with 25.4% reporting a chronic medical condition. Diabetes, hypertension, asthma, and immune deficiency were associated with increased severity of the disease, while obesity, cardiovascular disease, kidney disease, and liver disease were not. Only 37 individuals (1.6%) had a confirmatory COVID-19 PCR test. The presence of high fever, dyspnea, chest pain, and dysphagia were symptoms that tended to be correlated to worse clinical outcomes. Conclusions: This study provides some important information about the early overspread of COVID-19 within the Yemeni community in May, June, and July of 2020. It shows that online questionnaires may help in collecting data about pandemics in resource-limited countries where testing availability is limited.","author":[{"dropping-particle":"","family":"Dhabaan","given":"Ghulam","non-dropping-particle":"","parse-names":false,"suffix":""},{"dropping-particle":"","family":"Chahin","given":"Abdullah","non-dropping-particle":"","parse-names":false,"suffix":""},{"dropping-particle":"","family":"Buhaish","given":"Abdulrahman","non-dropping-particle":"","parse-names":false,"suffix":""},{"dropping-particle":"","family":"Shorman","given":"Mahmoud","non-dropping-particle":"","parse-names":false,"suffix":""}],"container-title":"Journal of Infection in Developing Countries","id":"ITEM-1","issue":"12","issued":{"date-parts":[["2021"]]},"title":"COVID-19 pandemic in Yemen: A questionnaire based survey, what do we know?","type":"article-journal","volume":"14"},"uris":["http://www.mendeley.com/documents/?uuid=d2183869-3b25-3335-9b13-b26161db1076"]}],"mendeley":{"formattedCitation":"(Dhabaan et al., 2021)","plainTextFormattedCitation":"(Dhabaan et al., 2021)","previouslyFormattedCitation":"(Dhabaan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(Dhabaan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43B5812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Dynamic Nature of Enzyme Induction and Inhibition</w:t>
      </w:r>
    </w:p>
    <w:p w14:paraId="252787A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Enzyme induction and inhibition can significantly impact drug metabolism. Predicting the dynamic changes in enzyme activity due to interactions with other drugs or environmental factors is challenging. The time-dependent nature of these interactions adds complexity to modeling efforts.</w:t>
      </w:r>
    </w:p>
    <w:p w14:paraId="788B37F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Influence of Disease States</w:t>
      </w:r>
    </w:p>
    <w:p w14:paraId="0FEF61C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Disease states can alter enzyme activity and physiological conditions, affecting drug metabolism and absorption. Predicting how diseases influence these processes is challenging, and the variability among patients with different medical conditions adds an extra layer of complexity.</w:t>
      </w:r>
    </w:p>
    <w:p w14:paraId="6D865E10"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Prediction of Absorption in Different Routes</w:t>
      </w:r>
    </w:p>
    <w:p w14:paraId="56D37F0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Predicting drug absorption across various administration routes (oral, intravenous, transdermal, etc.) requires considering factors such as bioavailability, drug formulation, and physicochemical properties. Modeling absorption accurately across diverse routes poses a significant challenge.</w:t>
      </w:r>
    </w:p>
    <w:p w14:paraId="0ABDFDA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Opportunities</w:t>
      </w:r>
    </w:p>
    <w:p w14:paraId="35B8A0AC"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Advancements in Computational Modeling</w:t>
      </w:r>
    </w:p>
    <w:p w14:paraId="06F8B86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Computational approaches, such as quantitative structure-activity relationship (QSAR) models and physiologically based pharmacokinetic (PBPK) models, have advanced significantly. These models integrate various parameters to predict drug metabolism and absorption more accurately.</w:t>
      </w:r>
    </w:p>
    <w:p w14:paraId="0EC64F89"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 Silico Tools and Databases</w:t>
      </w:r>
    </w:p>
    <w:p w14:paraId="68E5FCA1"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availability of in silico tools and databases, encompassing information on metabolic enzymes, substrates, and inhibitors, has improved. These resources contribute to more informed predictions by incorporating a wealth of experimental data.</w:t>
      </w:r>
    </w:p>
    <w:p w14:paraId="5A199FBA"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High-Throughput Screening Technologies</w:t>
      </w:r>
    </w:p>
    <w:p w14:paraId="24118A5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High-throughput screening technologies allow for the rapid testing of multiple compounds, facilitating the identification of potential substrates, inhibitors, and inducers of drug-metabolizing enzymes. This accelerates the process of gathering data for modeling efforts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{"citationItems":[{"id":"ITEM-1","itemData":{"DOI":"10.3389/fphar.2021.671298","ISSN":"16639812","abstract":"Biomarkers that can guide cancer therapy based on patients’ individual cancer molecular signature can enable a more effective treatment with fewer adverse events. Data on actionable somatic mutations and germline genetic variants, studied by personalized medicine and pharmacogenomics, can be obtained from tumor tissue or blood samples. As tissue biopsy cannot reflect the heterogeneity of the tumor or its temporal changes, liquid biopsy is a promising alternative approach. In recent years, extracellular vesicles (EVs) have emerged as a potential source of biomarkers in liquid biopsy. EVs are a heterogeneous population of membrane bound particles, which are released from all cells and accumulate into body fluids. They contain various proteins, lipids, nucleic acids (miRNA, mRNA, and DNA) and metabolites. In cancer, EV biomolecular composition and concentration are changed. Tumor EVs can promote the remodeling of the tumor microenvironment and pre-metastatic niche formation, and contribute to transfer of oncogenic potential or drug resistance during chemotherapy. This makes them a promising source of minimally invasive biomarkers. A limited number of clinical studies investigated EVs to monitor cancer progression, tumor evolution or drug resistance and several putative EV-bound protein and RNA biomarkers were identified. This review is focused on EVs as novel biomarker source for personalized medicine and pharmacogenomics in oncology. As several pharmacogenes and genes associated with targeted therapy, chemotherapy or hormonal therapy were already detected in EVs, they might be used for fine-tuning personalized cancer treatment.","author":[{"dropping-particle":"","family":"Goričar","given":"Katja","non-dropping-particle":"","parse-names":false,"suffix":""},{"dropping-particle":"","family":"Dolžan","given":"Vita","non-dropping-particle":"","parse-names":false,"suffix":""},{"dropping-particle":"","family":"Lenassi","given":"Metka","non-dropping-particle":"","parse-names":false,"suffix":""}],"container-title":"Frontiers in Pharmacology","id":"ITEM-1","issued":{"date-parts":[["2021"]]},"title":"Extracellular Vesicles: A Novel Tool Facilitating Personalized Medicine and Pharmacogenomics in Oncology","type":"article","volume":"12"},"uris":["http://www.mendeley.com/documents/?uuid=39e2a638-953a-3089-96ef-5fab6d0d11bd"]}],"mendeley":{"formattedCitation":"(Goričar et al., 2021)","plainTextFormattedCitation":"(Goričar et al., 2021)","previouslyFormattedCitation":"(Goričar et al., 2021)"},"properties":{"noteIndex":0},"schema":"https://github.com/citation-style-language/schema/raw/master/csl-citation.json"}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(Goričar et al., 2021)</w:t>
      </w:r>
      <w:r>
        <w:rPr>
          <w:rFonts w:ascii="Times New Roman" w:hAnsi="Times New Roman" w:cs="Times New Roman"/>
          <w:sz w:val="24"/>
          <w:szCs w:val="24"/>
        </w:rPr>
        <w:fldChar w:fldCharType="end"/>
      </w:r>
      <w:r>
        <w:rPr>
          <w:rFonts w:ascii="Times New Roman" w:hAnsi="Times New Roman" w:cs="Times New Roman"/>
          <w:sz w:val="24"/>
          <w:szCs w:val="24"/>
        </w:rPr>
        <w:t>.</w:t>
      </w:r>
    </w:p>
    <w:p w14:paraId="4FF541C3"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Integration of Systems Biology Approaches</w:t>
      </w:r>
    </w:p>
    <w:p w14:paraId="0EE8AFF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Systems biology approaches aim to understand the complex interactions within biological systems comprehensively. Integrating systems biology data into drug metabolism models provides a more holistic view, considering the interconnectedness of various cellular processes.</w:t>
      </w:r>
    </w:p>
    <w:p w14:paraId="0FB3F75E"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Personalized Medicine and Pharmacogenomics</w:t>
      </w:r>
    </w:p>
    <w:p w14:paraId="06259A0F"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Advances in pharmacogenomics allow for personalized medicine approaches, considering individual genetic variations in drug metabolism. Tailoring drug therapy based on genetic information enhances the precision of predictions and reduces the risk of adverse reactions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{"citationItems":[{"id":"ITEM-1","itemData":{"DOI":"10.1124/pharmrev.122.000810","ISSN":"15210081","abstract":"Personalized medicine tailors therapies, disease prevention, and health maintenance to the individual, with pharmacogenomics serving as a key tool to improve outcomes and prevent adverse effects. Advances in genomics have transformed pharmacogenetics, traditionally focused on single gene-drug pairs, into pharmacogenomics, encompassing all \"-omics\" fields (e.g., proteomics, transcriptomics, metabolomics, and metagenomics). This review summarizes basic genomics principles relevant to translation into therapies, assessing pharmacogenomics' central role in converging diverse elements of personalized medicine. We discuss genetic variations in pharmacogenes (drug-metabolizing enzymes, drug transporters, and receptors), their clinical relevance as biomarkers, and the legacy of decades of research in pharmacogenetics. All types of therapies, including proteins, nucleic acids, viruses, cells, genes, and irradiation, can benefit from genomics, expanding the role of pharmacogenomics across medicine. Food and Drug Administration approvals of personalized therapeutics involving biomarkers increase rapidly, demonstrating the growing impact of pharmacogenomics. A beacon for all therapeutic approaches, molecularly targeted cancer therapies highlight trends in drug discovery and clinical applications. To account for human complexity, multicomponent biomarker panels encompassing genetic, personal, and environmental factors can guide diagnosis and therapies, increasingly involving artificial intelligence to cope with extreme data complexities. However, clinical application encounters substantial hurdles, such as unknown validity across ethnic groups, underlying bias in health care, and real-world validation. This review address the underlying science and technologies germane to pharmacogenomics and personalized medicine, integrated with economic, ethical, and regulatory issues, providing insights into the current status and future direction of health care. SIGNIFICANCE STATEMENT: Personalized medicine aims to optimize health care for the individual patients with use of predictive biomarkers to improve outcomes and prevent adverse effects. Pharmacogenomics drives biomarker discovery and guides the development of targeted therapeutics. This review addresses basic principles and current trends in pharmacogenomics, with large-scale data repositories accelerating medical advances. The impact of pharmacogenomics is discussed, along with hurdles impeding broad clinical implement…","author":[{"dropping-particle":"","family":"Sadee","given":"Wolfgang","non-dropping-particle":"","parse-names":false,"suffix":""},{"dropping-particle":"","family":"Wang","given":"Danxin","non-dropping-particle":"","parse-names":false,"suffix":""},{"dropping-particle":"","family":"Hartmann","given":"Katherine","non-dropping-particle":"","parse-names":false,"suffix":""},{"dropping-particle":"","family":"Toland","given":"Amanda Ewart","non-dropping-particle":"","parse-names":false,"suffix":""}],"container-title":"Pharmacological Reviews","id":"ITEM-1","issue":"4","issued":{"date-parts":[["2023"]]},"title":"Pharmacogenomics: Driving Personalized Medicine","type":"article","volume":"75"},"uris":["http://www.mendeley.com/documents/?uuid=e10cb7be-18b0-3d75-b4c9-fef0e434e5d8"]}],"mendeley":{"formattedCitation":"(Sadee et al., 2023)","plainTextFormattedCitation":"(Sadee et al., 2023)","previouslyFormattedCitation":"(Sadee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(Sadee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6B93DACF"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Improved in Vitro Models</w:t>
      </w:r>
    </w:p>
    <w:p w14:paraId="223E1B3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development of more sophisticated in vitro models, such as organ-on-a-chip systems and 3D cell cultures, better replicates the complexity of human physiology. These models offer opportunities to study drug metabolism and absorption in a more physiologically relevant environment.</w:t>
      </w:r>
    </w:p>
    <w:p w14:paraId="43A76CC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Predicting and modeling drug metabolism and absorption present both challenges and opportunities. As technologies advance, and our understanding of biological systems deepens, there is a growing potential to improve the accuracy of predictions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{"citationItems":[{"id":"ITEM-1","itemData":{"DOI":"10.3390/genes11060679","ISSN":"20734425","abstract":"Pharmacogenomics is one of the emerging approaches to precision medicine, tailoring drug selection and dosing to the patient’s genetic features. In recent years, several pharmacogenetic guidelines have been published by international scientific consortia, but the uptake in clinical practice is still poor. Many coordinated international efforts are ongoing in order to overcome the existing barriers to pharmacogenomic implementation. On the other hand, existing validated pharmacogenomic markers can explain only a minor part of the observed clinical variability in the therapeutic outcome. New investigational approaches are warranted, including the study of the pharmacogenomic role of the immune system genetics and of previously neglected rare genetic variants, reported to account for a large part of the inter-individual variability in drug metabolism. In this Special Issue, we collected a series of articles covering many aspects of pharmacogenomics. These include clinical implementation of pharmacogenomics in clinical practice, development of tools or infrastractures to support this process, research of new pharmacogenomics markers to increase drug efficacy and safety, and the impact of rare genetic variants in pharmacogenomics.","author":[{"dropping-particle":"","family":"Cecchin","given":"Erika","non-dropping-particle":"","parse-names":false,"suffix":""},{"dropping-particle":"","family":"Stocco","given":"Gabriele","non-dropping-particle":"","parse-names":false,"suffix":""}],"container-title":"Genes","id":"ITEM-1","issue":"6","issued":{"date-parts":[["2020"]]},"title":"Pharmacogenomics and personalized medicine","type":"article-journal","volume":"11"},"uris":["http://www.mendeley.com/documents/?uuid=8c4efb52-18df-3ba7-b4f6-d6b443886579"]}],"mendeley":{"formattedCitation":"(Cecchin &amp; Stocco, 2020)","plainTextFormattedCitation":"(Cecchin &amp; Stocco, 2020)","previouslyFormattedCitation":"(Cecchin &amp; Stocco,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(Cecchin &amp; Stocco, 2020)</w:t>
      </w:r>
      <w:r>
        <w:rPr>
          <w:rFonts w:ascii="Times New Roman" w:hAnsi="Times New Roman" w:cs="Times New Roman"/>
          <w:sz w:val="24"/>
          <w:szCs w:val="24"/>
        </w:rPr>
        <w:fldChar w:fldCharType="end"/>
      </w:r>
      <w:r>
        <w:rPr>
          <w:rFonts w:ascii="Times New Roman" w:hAnsi="Times New Roman" w:cs="Times New Roman"/>
          <w:sz w:val="24"/>
          <w:szCs w:val="24"/>
        </w:rPr>
        <w:t>. The integration of computational modeling, experimental data, and personalized medicine approaches holds promise for advancing drug development and optimizing therapeutic outcomes. However, addressing the inherent complexities and variability in human metabolism remains an ongoing and evolving task in pharmaceutical research.</w:t>
      </w:r>
    </w:p>
    <w:p w14:paraId="090570B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lastRenderedPageBreak/>
        <w:t>Analyze the role of in vitro and in silico methods in studying drug metabolism and absorption.</w:t>
      </w:r>
    </w:p>
    <w:p w14:paraId="30C2664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Understanding drug metabolism and absorption is crucial in drug development to optimize therapeutic efficacy and minimize adverse effects. In vitro and in silico methods play complementary roles in providing insights into these processes, offering valuable tools for researchers and pharmaceutical scientists.</w:t>
      </w:r>
    </w:p>
    <w:p w14:paraId="2CD9F84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 Vitro Methods</w:t>
      </w:r>
    </w:p>
    <w:p w14:paraId="411575E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Cell Culture Systems</w:t>
      </w:r>
    </w:p>
    <w:p w14:paraId="6F592A22"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4AB246EC" w14:textId="77777777" w:rsidR="00460EB1" w:rsidRDefault="00460EB1" w:rsidP="00460EB1">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Cell culture systems, such as hepatocyte cultures and microsomes, allow researchers to study drug metabolism in a controlled environment.</w:t>
      </w:r>
    </w:p>
    <w:p w14:paraId="3457AD38" w14:textId="77777777" w:rsidR="00460EB1" w:rsidRDefault="00460EB1" w:rsidP="00460EB1">
      <w:pPr>
        <w:pStyle w:val="ListParagraph"/>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These systems provide insights into enzymatic reactions, metabolic pathways, and the identification of metabolites.</w:t>
      </w:r>
    </w:p>
    <w:p w14:paraId="229CFCE3"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Limitations</w:t>
      </w:r>
    </w:p>
    <w:p w14:paraId="7B9E4523" w14:textId="77777777" w:rsidR="00460EB1" w:rsidRDefault="00460EB1" w:rsidP="00460EB1">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Simplified in vitro systems may not fully capture the complexity of in vivo metabolism due to the absence of intercellular interactions and the dynamic physiological environment.</w:t>
      </w:r>
    </w:p>
    <w:p w14:paraId="01CF4428" w14:textId="77777777" w:rsidR="00460EB1" w:rsidRDefault="00460EB1" w:rsidP="00460EB1">
      <w:pPr>
        <w:spacing w:line="480" w:lineRule="auto"/>
        <w:jc w:val="both"/>
        <w:rPr>
          <w:rFonts w:ascii="Times New Roman" w:hAnsi="Times New Roman" w:cs="Times New Roman"/>
          <w:b/>
          <w:i/>
          <w:sz w:val="24"/>
          <w:szCs w:val="24"/>
        </w:rPr>
      </w:pPr>
      <w:r>
        <w:rPr>
          <w:rFonts w:ascii="Times New Roman" w:hAnsi="Times New Roman" w:cs="Times New Roman"/>
          <w:b/>
          <w:i/>
          <w:sz w:val="24"/>
          <w:szCs w:val="24"/>
        </w:rPr>
        <w:t>Organ-on-a-Chip Technology</w:t>
      </w:r>
    </w:p>
    <w:p w14:paraId="07767080"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65C69A4B" w14:textId="77777777" w:rsidR="00460EB1" w:rsidRDefault="00460EB1" w:rsidP="00460EB1">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Organ-on-a-chip platforms mimic the structure and function of organs more closely, allowing for a more physiologically relevant study of drug metabolism and absorption.</w:t>
      </w:r>
    </w:p>
    <w:p w14:paraId="0F1A1E22" w14:textId="77777777" w:rsidR="00460EB1" w:rsidRDefault="00460EB1" w:rsidP="00460EB1">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These systems can incorporate multiple cell types to simulate organ complexity.</w:t>
      </w:r>
    </w:p>
    <w:p w14:paraId="7802C24F"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Limitations</w:t>
      </w:r>
    </w:p>
    <w:p w14:paraId="1CE5473D" w14:textId="77777777" w:rsidR="00460EB1" w:rsidRDefault="00460EB1" w:rsidP="00460EB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Complexity comes at the cost of increased technical demands, and current models may still lack full representation of in vivo conditions.</w:t>
      </w:r>
    </w:p>
    <w:p w14:paraId="22EAB06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Caco-2 Permeability Assay</w:t>
      </w:r>
    </w:p>
    <w:p w14:paraId="207F0118"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4359B1BD" w14:textId="77777777" w:rsidR="00460EB1" w:rsidRDefault="00460EB1" w:rsidP="00460EB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Caco-2 cell monolayers are commonly used to assess drug permeability, providing insights into intestinal absorption.</w:t>
      </w:r>
    </w:p>
    <w:p w14:paraId="63046617" w14:textId="77777777" w:rsidR="00460EB1" w:rsidRDefault="00460EB1" w:rsidP="00460EB1">
      <w:pPr>
        <w:pStyle w:val="ListParagraph"/>
        <w:numPr>
          <w:ilvl w:val="0"/>
          <w:numId w:val="10"/>
        </w:numPr>
        <w:spacing w:line="480" w:lineRule="auto"/>
        <w:jc w:val="both"/>
        <w:rPr>
          <w:rFonts w:ascii="Times New Roman" w:hAnsi="Times New Roman" w:cs="Times New Roman"/>
          <w:sz w:val="24"/>
          <w:szCs w:val="24"/>
        </w:rPr>
      </w:pPr>
      <w:r>
        <w:rPr>
          <w:rFonts w:ascii="Times New Roman" w:hAnsi="Times New Roman" w:cs="Times New Roman"/>
          <w:sz w:val="24"/>
          <w:szCs w:val="24"/>
        </w:rPr>
        <w:t>This in vitro assay can predict oral bioavailability and highlight potential issues related to drug absorption.</w:t>
      </w:r>
    </w:p>
    <w:p w14:paraId="3ACD76AB"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Limitations</w:t>
      </w:r>
    </w:p>
    <w:p w14:paraId="774E50B0" w14:textId="77777777" w:rsidR="00460EB1" w:rsidRDefault="00460EB1" w:rsidP="00460EB1">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Simplification of the intestinal environment may not fully replicate in vivo conditions, and factors like the intestinal microbiome are not considered.</w:t>
      </w:r>
    </w:p>
    <w:p w14:paraId="127A769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 Silico Methods</w:t>
      </w:r>
    </w:p>
    <w:p w14:paraId="7F241BB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Quantitative Structure-Activity Relationship (QSAR) Models</w:t>
      </w:r>
    </w:p>
    <w:p w14:paraId="27479F9C"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01C2E7A3" w14:textId="77777777" w:rsidR="00460EB1" w:rsidRDefault="00460EB1" w:rsidP="00460EB1">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QSAR models predict drug properties, such as absorption and metabolism, based on the chemical structure of compounds.</w:t>
      </w:r>
    </w:p>
    <w:p w14:paraId="2D3D0207" w14:textId="77777777" w:rsidR="00460EB1" w:rsidRDefault="00460EB1" w:rsidP="00460EB1">
      <w:pPr>
        <w:pStyle w:val="ListParagraph"/>
        <w:numPr>
          <w:ilvl w:val="0"/>
          <w:numId w:val="12"/>
        </w:numPr>
        <w:spacing w:line="480" w:lineRule="auto"/>
        <w:jc w:val="both"/>
        <w:rPr>
          <w:rFonts w:ascii="Times New Roman" w:hAnsi="Times New Roman" w:cs="Times New Roman"/>
          <w:sz w:val="24"/>
          <w:szCs w:val="24"/>
        </w:rPr>
      </w:pPr>
      <w:r>
        <w:rPr>
          <w:rFonts w:ascii="Times New Roman" w:hAnsi="Times New Roman" w:cs="Times New Roman"/>
          <w:sz w:val="24"/>
          <w:szCs w:val="24"/>
        </w:rPr>
        <w:t>These models help prioritize compounds for further experimental investigation.</w:t>
      </w:r>
    </w:p>
    <w:p w14:paraId="188387A9"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Limitations</w:t>
      </w:r>
    </w:p>
    <w:p w14:paraId="08F822F5" w14:textId="77777777" w:rsidR="00460EB1" w:rsidRDefault="00460EB1" w:rsidP="00460EB1">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Reliability depends on the quality and quantity of input data, and the models may struggle with complex drug interactions.</w:t>
      </w:r>
    </w:p>
    <w:p w14:paraId="3261CC3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Physiologically Based Pharmacokinetic (PBPK) Modeling</w:t>
      </w:r>
    </w:p>
    <w:p w14:paraId="6CE38708"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6FC03B2F" w14:textId="77777777" w:rsidR="00460EB1" w:rsidRDefault="00460EB1" w:rsidP="00460EB1">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PBPK models integrate physiological and biochemical parameters to predict drug behavior in the body.</w:t>
      </w:r>
    </w:p>
    <w:p w14:paraId="3CAB6EE3" w14:textId="77777777" w:rsidR="00460EB1" w:rsidRDefault="00460EB1" w:rsidP="00460EB1">
      <w:pPr>
        <w:pStyle w:val="ListParagraph"/>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These models can simulate drug concentrations in different organs and tissues over time.</w:t>
      </w:r>
    </w:p>
    <w:p w14:paraId="17C9DB33"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Limitations</w:t>
      </w:r>
    </w:p>
    <w:p w14:paraId="35EAFA1C" w14:textId="77777777" w:rsidR="00460EB1" w:rsidRDefault="00460EB1" w:rsidP="00460EB1">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The accuracy of PBPK models depends on the availability of accurate input data, and predicting inter-individual variability remains challenging.</w:t>
      </w:r>
    </w:p>
    <w:p w14:paraId="1289E20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 Silico Enzyme Docking Studies</w:t>
      </w:r>
    </w:p>
    <w:p w14:paraId="4EB223C7"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Advantages</w:t>
      </w:r>
    </w:p>
    <w:p w14:paraId="23136A54" w14:textId="77777777" w:rsidR="00460EB1" w:rsidRDefault="00460EB1" w:rsidP="00460EB1">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Molecular docking studies predict the binding affinity of drugs to specific enzymes, providing insights into potential metabolic pathways.</w:t>
      </w:r>
    </w:p>
    <w:p w14:paraId="3AE2D49C" w14:textId="77777777" w:rsidR="00460EB1" w:rsidRDefault="00460EB1" w:rsidP="00460EB1">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These studies assist in understanding enzyme-substrate interactions.</w:t>
      </w:r>
    </w:p>
    <w:p w14:paraId="2B033213"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Limitations</w:t>
      </w:r>
    </w:p>
    <w:p w14:paraId="34A4CEBB"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Predictions are dependent on the accuracy of the structural information and may not fully capture the dynamics of enzymatic reactions.</w:t>
      </w:r>
    </w:p>
    <w:p w14:paraId="319BAEE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Synergies Between in Vitro and in Silico Methods</w:t>
      </w:r>
    </w:p>
    <w:p w14:paraId="3C90CA80" w14:textId="77777777" w:rsidR="00460EB1" w:rsidRDefault="00460EB1" w:rsidP="00460EB1">
      <w:pPr>
        <w:spacing w:line="480" w:lineRule="auto"/>
        <w:jc w:val="both"/>
        <w:rPr>
          <w:rFonts w:ascii="Times New Roman" w:hAnsi="Times New Roman" w:cs="Times New Roman"/>
          <w:i/>
          <w:sz w:val="24"/>
          <w:szCs w:val="24"/>
        </w:rPr>
      </w:pPr>
      <w:r>
        <w:rPr>
          <w:rFonts w:ascii="Times New Roman" w:hAnsi="Times New Roman" w:cs="Times New Roman"/>
          <w:i/>
          <w:sz w:val="24"/>
          <w:szCs w:val="24"/>
        </w:rPr>
        <w:t>Early Screening and Prioritization</w:t>
      </w:r>
    </w:p>
    <w:p w14:paraId="19B56565"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silico methods, such as QSAR models, can be used for early screening and prioritization of drug candidates, identifying compounds with favorable absorption and metabolic profiles. These prioritized candidates can then undergo further in vitro experimentation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{"citationItems":[{"id":"ITEM-1","itemData":{"DOI":"10.1177/026119290403200415","ISSN":"02611929","abstract":"The absorption, distribution, metabolism, excretion and toxicity (ADMET) properties of a candidate drug influence its final clinical success. These properties have traditionally been evaluated by using various in vivo animal approaches, but recently, a number of in vitro and in silico methods have been introduced to determine key ADMET features. Basic events, such as absorption through the gut wall, binding to plasma proteins, active and passive transfer through the blood-brain barrier, and various metabolic parameters, can now be screened with rapid in vitro and computer modelling methods. The focus in this short review is on the basic in vitro and in silico methods that are used for studying the metabolism properties of new drug molecules.","author":[{"dropping-particle":"","family":"Raunio","given":"Hannu","non-dropping-particle":"","parse-names":false,"suffix":""},{"dropping-particle":"","family":"Taavitsainen","given":"Päivi","non-dropping-particle":"","parse-names":false,"suffix":""},{"dropping-particle":"","family":"Honkakoski","given":"Paavo","non-dropping-particle":"","parse-names":false,"suffix":""},{"dropping-particle":"","family":"Juvonen","given":"Risto","non-dropping-particle":"","parse-names":false,"suffix":""},{"dropping-particle":"","family":"Pelkonen","given":"Olavi","non-dropping-particle":"","parse-names":false,"suffix":""}],"container-title":"Alternatives to Laboratory Animals","id":"ITEM-1","issue":"4","issued":{"date-parts":[["2004"]]},"title":"In vitro methods in the prediction of kinetics of drugs: Focus on drug metabolism","type":"paper-conference","volume":"32"},"uris":["http://www.mendeley.com/documents/?uuid=490ed688-6249-3974-a72e-414548d98d8a"]}],"mendeley":{"formattedCitation":"(Raunio et al., 2004)","plainTextFormattedCitation":"(Raunio et al., 2004)","previouslyFormattedCitation":"(Raunio et al., 2004)"},"properties":{"noteIndex":0},"schema":"https://github.com/citation-style-language/schema/raw/master/csl-citation.json"}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(Raunio et al., 2004)</w:t>
      </w:r>
      <w:r>
        <w:rPr>
          <w:rFonts w:ascii="Times New Roman" w:hAnsi="Times New Roman" w:cs="Times New Roman"/>
          <w:sz w:val="24"/>
          <w:szCs w:val="24"/>
        </w:rPr>
        <w:fldChar w:fldCharType="end"/>
      </w:r>
      <w:r>
        <w:rPr>
          <w:rFonts w:ascii="Times New Roman" w:hAnsi="Times New Roman" w:cs="Times New Roman"/>
          <w:sz w:val="24"/>
          <w:szCs w:val="24"/>
        </w:rPr>
        <w:t>.</w:t>
      </w:r>
    </w:p>
    <w:p w14:paraId="5EFFA5D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Optimizing Experimental Design</w:t>
      </w:r>
    </w:p>
    <w:p w14:paraId="1088F96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silico models can guide the design of in vitro experiments by predicting potential metabolic pathways, helping researchers focus on relevant enzymes and substrates.</w:t>
      </w:r>
    </w:p>
    <w:p w14:paraId="71D499E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Improving Understanding of Mechanisms</w:t>
      </w:r>
    </w:p>
    <w:p w14:paraId="04219A6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vitro studies provide detailed mechanistic insights into enzyme kinetics and metabolic pathways, which can be complemented by in silico models to predict behavior in more complex physiological systems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{"citationItems":[{"id":"ITEM-1","itemData":{"abstract":"Recent advances in drug discovery have led the way towards more efficient techniques to synthesize and screen new chemical entities (NCEs) and have increased subsequently the number of leads identified. Compounds with good biological activity may fail to become drugs due to insufficient oral absorption. Selection of drug development candidates with adequate absorption characteristics should increase the probability of success in the developmental phase. To assess the absorption potential of new chemical entities numerous in vitro and in vivo models systems have been tried. Many laboratories rely on cell culture models for intestinal permeability such as, Caco-2, HT-29 and MDCK etc. and also to attempt an increase in the rapid screening of permeability measurements, several physicochemical methods such as, immobilized artificial membrane (IAM) columns and parallel artificial membrane permeation assay (PAMPA) etc. have been used. More recently, much attention has been given to the development of in silico (computational methods) to predict drug absorption. However, it is clear that no single method will prove sufficient for studying drug absorption, but most likely a combination of systems will be needed. Higher throughput, less reliable methods could be used to discover loser compounds, whereas lower throughput, more accurate methods could be used to optimize the absorption properties of lead compounds. Finally, accurate methods are needed to understand absorption mechanisms (efflux-limited absorption, carrier-mediated, intestinal metabolism) that may limit intestinal drug absorption. This information could be extremely valuable for medicinal chemists in the selection of favorable chemical entities. The present review looks into the process and mechanisms of absorption, one of the most important requirements in drug discovery, its evaluation techniques and the recent cell culture systems developed as in vitro models to hasten drug discovery.","author":[{"dropping-particle":"","family":"Suresh","given":"S","non-dropping-particle":"","parse-names":false,"suffix":""}],"container-title":"Pharmaceutical information and articles http://pharmainfo.net/","id":"ITEM-1","issue":"Ref {#}2717 of 2800 in sirius july 20 2007.ref","issued":{"date-parts":[["2004"]]},"title":"In vitro cell culture models and its implications in drug discovery","type":"article-journal"},"uris":["http://www.mendeley.com/documents/?uuid=c7880ffa-f243-3879-b4e8-8d2186d15c03"]}],"mendeley":{"formattedCitation":"(Suresh, 2004)","plainTextFormattedCitation":"(Suresh, 2004)","previouslyFormattedCitation":"(Suresh, 2004)"},"properties":{"noteIndex":0},"schema":"https://github.com/citation-style-language/schema/raw/master/csl-citation.json"}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(Suresh, 2004)</w:t>
      </w:r>
      <w:r>
        <w:rPr>
          <w:rFonts w:ascii="Times New Roman" w:hAnsi="Times New Roman" w:cs="Times New Roman"/>
          <w:sz w:val="24"/>
          <w:szCs w:val="24"/>
        </w:rPr>
        <w:fldChar w:fldCharType="end"/>
      </w:r>
      <w:r>
        <w:rPr>
          <w:rFonts w:ascii="Times New Roman" w:hAnsi="Times New Roman" w:cs="Times New Roman"/>
          <w:sz w:val="24"/>
          <w:szCs w:val="24"/>
        </w:rPr>
        <w:t>.</w:t>
      </w:r>
    </w:p>
    <w:p w14:paraId="182C0BC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Modeling Complex Interactions</w:t>
      </w:r>
    </w:p>
    <w:p w14:paraId="6CCD706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Combining in silico PBPK models with in vitro data allows for a more accurate prediction of drug behavior in vivo, considering factors like absorption, distribution, metabolism, and excretion.</w:t>
      </w:r>
    </w:p>
    <w:p w14:paraId="205E948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Challenges and Future Directions</w:t>
      </w:r>
    </w:p>
    <w:p w14:paraId="67741EC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Data Quality and Integration</w:t>
      </w:r>
    </w:p>
    <w:p w14:paraId="6CCCE90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Both in vitro and in silico methods heavily rely on the quality of input data. Integrating diverse datasets and improving data accuracy remain ongoing challenges.</w:t>
      </w:r>
    </w:p>
    <w:p w14:paraId="0C1437E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Complexity of Biological Systems</w:t>
      </w:r>
    </w:p>
    <w:p w14:paraId="7EB1D06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Despite advancements, replicating the complexity of biological systems in vitro and in silico remains challenging. Improving the fidelity of models to real physiological conditions is an area of active research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{"citationItems":[{"id":"ITEM-1","itemData":{"ISSN":"13892002","abstract":"For the fast growing in societal and ethical concerns worldwide, current research demands and advocates the implementation of scientific and technological progress for acquiring in-depth understanding of drug adsorption and metabolism. Since in vivo absorption studies in animals are complex, time-consuming, ethically challenging and expensive, it has been recognized worldwide the need to develop alternative methodologies in order to overcome some of the limitations of the animal studies. This can be achieved by using alternative methodologies for animal tests, yet a representative and comprehensive array of the in vivo systems. Because these methodologies are based on human biological systems, these models are considered to be more relevant than the traditional animal based tests. Therefore, it has become clear that specific non-animal based methods are paramount. In this respect, alternatives to animal tests are becoming more popular for predicting drug metabolism and bioavailability. These models are more prone to automation and high throughput screening, but are also efficient and reliable in preliminary tests in drug development. Non-animal models are less complex systems, take less time to complete, cost only a fraction of what the animal experiments that they replace cost, are not plagued with species differences that make extrapolation of the results difficult or impossible, and are easier to interpret and correlate with in vivo observations. Over the past few decades tremendous innovations in the field of drug delivery technology have occurred, yet oral intake remains the preferred route of drug administration due to patient convenience and therapy compliance. It is well-known that in vivo drug absorption processes are a complex series of events, with the intestine and liver as important organs for first-pass elimination that depend on a multitude of parameters related to drug properties and to the physiological aspects of the gastrointestinal (GI) tract, such as membrane permeability parameters, many active transporters and metabolism components. The first physical and biochemical barrier to limit drug absorption is the epithelium of the intestinal mucosa, and thus, preclinical tools are needed to predict the absorption and metabolism of drug candidates from the intestine as accurately and as early in the course of drug development process as possible. Such methodologies are also of utmost importance to understand the drugs' pharmacological act…","author":[{"dropping-particle":"","family":"Santos","given":"H.A.","non-dropping-particle":"","parse-names":false,"suffix":""}],"container-title":"Current Drug Metabolism","id":"ITEM-1","issue":"1","issued":{"date-parts":[["2013"]]},"title":"Non-animal methods used in drug discovery: Drug absorption and metabolism","type":"article-journal","volume":"14"},"uris":["http://www.mendeley.com/documents/?uuid=430735fe-8adc-3ed8-b08b-f4d192b750a7"]}],"mendeley":{"formattedCitation":"(Santos, 2013)","plainTextFormattedCitation":"(Santos, 2013)","previouslyFormattedCitation":"(Santos, 2013)"},"properties":{"noteIndex":0},"schema":"https://github.com/citation-style-language/schema/raw/master/csl-citation.json"}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(Santos, 2013)</w:t>
      </w:r>
      <w:r>
        <w:rPr>
          <w:rFonts w:ascii="Times New Roman" w:hAnsi="Times New Roman" w:cs="Times New Roman"/>
          <w:sz w:val="24"/>
          <w:szCs w:val="24"/>
        </w:rPr>
        <w:fldChar w:fldCharType="end"/>
      </w:r>
      <w:r>
        <w:rPr>
          <w:rFonts w:ascii="Times New Roman" w:hAnsi="Times New Roman" w:cs="Times New Roman"/>
          <w:sz w:val="24"/>
          <w:szCs w:val="24"/>
        </w:rPr>
        <w:t>.</w:t>
      </w:r>
    </w:p>
    <w:p w14:paraId="06956C7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Inter-Individual Variability</w:t>
      </w:r>
    </w:p>
    <w:p w14:paraId="2D6FEC86" w14:textId="77777777" w:rsidR="00460EB1" w:rsidRDefault="00460EB1" w:rsidP="00460EB1">
      <w:pPr>
        <w:spacing w:line="48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Accounting for inter-individual variability in in vitro and in silico models is crucial for personalized medicine. This requires a better understanding of genetic factors influencing drug metabolism.</w:t>
      </w:r>
    </w:p>
    <w:p w14:paraId="39D1A6D9"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 conclusion, the combination of in vitro and in silico methods offers a comprehensive approach to studying drug metabolism and absorption. While in vitro methods provide detailed mechanistic insights, in silico models contribute to predictive capabilities and the optimization of experimental design. Continued advancements in both areas, along with improved integration of data, will enhance our ability to predict and understand drug behavior in vivo, ultimately contributing to more efficient drug development processes.</w:t>
      </w:r>
    </w:p>
    <w:p w14:paraId="3AFAA85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the strategies for optimizing drug formulations to enhance absorption and metabolism.</w:t>
      </w:r>
    </w:p>
    <w:p w14:paraId="3D185BA8"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Optimizing drug formulations is a critical aspect of drug development to improve therapeutic efficacy and patient outcomes. Enhancing drug absorption and metabolism involves strategic formulation approaches to overcome challenges such as poor solubility, limited </w:t>
      </w:r>
      <w:r>
        <w:rPr>
          <w:rFonts w:ascii="Times New Roman" w:hAnsi="Times New Roman" w:cs="Times New Roman"/>
          <w:sz w:val="24"/>
          <w:szCs w:val="24"/>
        </w:rPr>
        <w:lastRenderedPageBreak/>
        <w:t>bioavailability, and variability in patient responses. Several strategies are employed to optimize drug formulations for improved absorption and metabolism.</w:t>
      </w:r>
    </w:p>
    <w:p w14:paraId="6A811E4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Prodrug Design</w:t>
      </w:r>
    </w:p>
    <w:p w14:paraId="7672CF32"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Prodrugs are inactive derivatives of drugs that undergo enzymatic or chemical transformation in the body to release the active compound.</w:t>
      </w:r>
    </w:p>
    <w:p w14:paraId="2D83AFB8"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Prodrug design can enhance drug absorption by improving lipophilicity, stability, and solubility. It also facilitates targeted metabolism at specific sites, potentially increasing bioavailability.</w:t>
      </w:r>
    </w:p>
    <w:p w14:paraId="2FF8F7BE"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Nanoparticle Delivery Systems </w:t>
      </w:r>
    </w:p>
    <w:p w14:paraId="7D44FBF4" w14:textId="77777777" w:rsidR="00460EB1" w:rsidRDefault="00460EB1" w:rsidP="00460EB1">
      <w:pPr>
        <w:pStyle w:val="ListParagraph"/>
        <w:numPr>
          <w:ilvl w:val="0"/>
          <w:numId w:val="18"/>
        </w:numPr>
        <w:spacing w:line="480" w:lineRule="auto"/>
        <w:jc w:val="both"/>
        <w:rPr>
          <w:rFonts w:ascii="Times New Roman" w:hAnsi="Times New Roman" w:cs="Times New Roman"/>
          <w:b/>
          <w:sz w:val="24"/>
          <w:szCs w:val="24"/>
        </w:rPr>
      </w:pPr>
      <w:r>
        <w:rPr>
          <w:rFonts w:ascii="Times New Roman" w:hAnsi="Times New Roman" w:cs="Times New Roman"/>
          <w:sz w:val="24"/>
          <w:szCs w:val="24"/>
        </w:rPr>
        <w:t>Concept: Nanoparticles, such as liposomes, micelles, and polymeric nanoparticles, can encapsulate drugs, enhancing their solubility and bioavailability.</w:t>
      </w:r>
    </w:p>
    <w:p w14:paraId="5A82A7DD"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Rationale: Nanoparticles protect drugs from degradation, improve drug solubility, and provide sustained release, optimizing drug absorption. They also allow for targeted delivery to specific tissues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{"citationItems":[{"id":"ITEM-1","itemData":{"DOI":"10.1038/s41386-022-01311-7","ISSN":"1740634X","abstract":"Innovative breakthroughs in nanotechnology are having a substantial impact in healthcare, especially for brain diseases where effective therapeutic delivery systems are desperately needed. Nanoparticle delivery systems offer an unmatched ability of not only conveying a diverse array of diagnostic and therapeutic agents across complex biological barriers, but also possess the ability to transport payloads to targeted cell types over a sustained period. In substance use disorder (SUD), many therapeutic targets have been identified in preclinical studies, yet few of these findings have been translated to effective clinical treatments. The lack of success is, in part, due to the significant challenge of delivering novel therapies to the brain and specific brain cells. In this review, we evaluate the potential approaches and limitations of nanotherapeutic brain delivery systems. We also highlight the examples of promising strategies and future directions of nanocarrier-based treatments for SUD.","author":[{"dropping-particle":"","family":"Kasina","given":"Vishal","non-dropping-particle":"","parse-names":false,"suffix":""},{"dropping-particle":"","family":"Mownn","given":"Robert J.","non-dropping-particle":"","parse-names":false,"suffix":""},{"dropping-particle":"","family":"Bahal","given":"Raman","non-dropping-particle":"","parse-names":false,"suffix":""},{"dropping-particle":"","family":"Sartor","given":"Gregory C.","non-dropping-particle":"","parse-names":false,"suffix":""}],"container-title":"Neuropsychopharmacology","id":"ITEM-1","issue":"8","issued":{"date-parts":[["2022"]]},"title":"Nanoparticle delivery systems for substance use disorder","type":"article","volume":"47"},"uris":["http://www.mendeley.com/documents/?uuid=e7ed4b8c-1ba4-3210-98de-bc7a443a4de9"]}],"mendeley":{"formattedCitation":"(Kasina et al., 2022)","plainTextFormattedCitation":"(Kasina et al., 2022)","previouslyFormattedCitation":"(Kasina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(Kasina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616EBC9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Amorphous Solid Dispersions</w:t>
      </w:r>
    </w:p>
    <w:p w14:paraId="70462853"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Amorphous solid dispersions involve incorporating drugs into a polymer matrix to enhance solubility.</w:t>
      </w:r>
    </w:p>
    <w:p w14:paraId="4E85E3D3"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This strategy improves drug dissolution rates, leading to increased bioavailability. The amorphous form of the drug enhances its solubility compared to crystalline forms.</w:t>
      </w:r>
    </w:p>
    <w:p w14:paraId="0181F03F"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Cyclodextrin Complexation</w:t>
      </w:r>
    </w:p>
    <w:p w14:paraId="70EA4526"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Concept: Cyclodextrins are cyclic oligosaccharides that can form inclusion complexes with drugs, improving their solubility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{"citationItems":[{"id":"ITEM-1","itemData":{"DOI":"10.1016/j.ajps.2018.05.001","ISSN":"2221285X","abstract":"The aim of this study was to develop a palatable donepezil (DP) orodispersible film (ODF) to facilitate the swallowing process and investigate the effect of cyclodextrin on taste-masking based on dynamic process and in vivo drug absorption. Complexation of DP with hydroxypropyl-β-cyclodextrin (HP-β-CD) was applied to mask the bitter taste then the prepared complexes were incorporated into ODF using solvent casting method. The taste-masking efficiency was evaluated by e-tongue; meanwhile the pharmacokinetic behavior of DP/HP-β-CD ODF was investigated by in vivo study. Results showed the optimized film was more palatable than donepezil hydrochloride (DH) film and was bioequivalent with DH. The molecular mechanism was revealed by phase solubility study, Fourier-transform infrared spectrometer (FT-IR), Differential scanning calorimeter (DSC), X-ray diffraction (XRD) and molecular modeling. Taste-masking was attributed to the formation of DP/HP-β-CD which was due to moderate interaction between DP and HP-β-CD. The stability of DP/HP-β-CD was decreased because of the acid environment in stomach, which facilitated the absorption of DP. These results extended our understanding about the application of cyclodextrin complexation and provided guidance for the design of ODF especially for drugs with disgusting taste.","author":[{"dropping-particle":"","family":"Liu","given":"Tingting","non-dropping-particle":"","parse-names":false,"suffix":""},{"dropping-particle":"","family":"Wan","given":"Xiaocao","non-dropping-particle":"","parse-names":false,"suffix":""},{"dropping-particle":"","family":"Luo","given":"Zheng","non-dropping-particle":"","parse-names":false,"suffix":""},{"dropping-particle":"","family":"Liu","given":"Chao","non-dropping-particle":"","parse-names":false,"suffix":""},{"dropping-particle":"","family":"Quan","given":"Peng","non-dropping-particle":"","parse-names":false,"suffix":""},{"dropping-particle":"","family":"Cun","given":"Dongmei","non-dropping-particle":"","parse-names":false,"suffix":""},{"dropping-particle":"","family":"Fang","given":"Liang","non-dropping-particle":"","parse-names":false,"suffix":""}],"container-title":"Asian Journal of Pharmaceutical Sciences","id":"ITEM-1","issue":"2","issued":{"date-parts":[["2019"]]},"title":"A donepezil/cyclodextrin complexation orodispersible film: Effect of cyclodextrin on taste-masking based on dynamic process and in vivo drug absorption","type":"article-journal","volume":"14"},"uris":["http://www.mendeley.com/documents/?uuid=0d2018ac-f4b8-39f9-8f1c-286f5bf8e1ab"]}],"mendeley":{"formattedCitation":"(Liu et al., 2019)","plainTextFormattedCitation":"(Liu et al., 2019)","previouslyFormattedCitation":"(Liu et al., 2019)"},"properties":{"noteIndex":0},"schema":"https://github.com/citation-style-language/schema/raw/master/csl-citation.json"}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(Liu et al., 2019)</w:t>
      </w:r>
      <w:r>
        <w:rPr>
          <w:rFonts w:ascii="Times New Roman" w:hAnsi="Times New Roman" w:cs="Times New Roman"/>
          <w:sz w:val="24"/>
          <w:szCs w:val="24"/>
        </w:rPr>
        <w:fldChar w:fldCharType="end"/>
      </w:r>
      <w:r>
        <w:rPr>
          <w:rFonts w:ascii="Times New Roman" w:hAnsi="Times New Roman" w:cs="Times New Roman"/>
          <w:sz w:val="24"/>
          <w:szCs w:val="24"/>
        </w:rPr>
        <w:t>.</w:t>
      </w:r>
    </w:p>
    <w:p w14:paraId="666BBFB6"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Cyclodextrin complexation increases the water solubility of poorly soluble drugs, aiding in their absorption. This strategy is particularly useful for enhancing the oral bioavailability of drugs.</w:t>
      </w:r>
    </w:p>
    <w:p w14:paraId="4EA686B4"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Lipid-Based Formulations</w:t>
      </w:r>
    </w:p>
    <w:p w14:paraId="658A7C35"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Concept: Lipid-based formulations, including lipid emulsions, self-emulsifying drug delivery systems (SEDDS), and solid lipid nanoparticles, enhance drug solubility and absorption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{"citationItems":[{"id":"ITEM-1","itemData":{"DOI":"10.1021/acs.molpharmaceut.0c00343","ISSN":"15438392","abstract":"The aim of this study was to investigate the fate and the impact of cosolvents in self-emulsifying drug delivery systems (SEDDS). Three different SEDDS comprising the cosolvents DMSO (FD), ethanol (FE), and benzyl alcohol (FBA) as well as the corresponding formulations without these cosolvents (FD0, FE0, and FBA0) were developed. Mean droplet size, polydispersity index (PDI), ζ potential, stability, and emulsification time were determined. Cosolvent release studies were performed via the dialysis membrane method and Taylor dispersion analysis (TDA). Furthermore, the impact of cosolvent utilization on payloads in SEDDS was examined using quinine as a model drug. SEDDS with and without a cosolvent showed no significant differences in droplet size, PDI, and ζ potential. The emulsification time was 3-fold (FD0), 80-fold (FE0), and 7-fold (FBA0) longer due to the absence of the cosolvents. Release studies in demineralized water provided evidence for an immediate and complete release of DMSO, ethanol, and benzyl alcohol. TDA confirmed this result. Moreover, a 1.4-fold (FD), 2.91-fold (FE), and 2.17-fold (FBA) improved payload of the model drug quinine in the selected SEDDS preconcentrates was observed that dropped after emulsification within 1-5 h due to drug precipitation. In parallel, the quinine concentrations decreased until reaching the same levels of the corresponding SEDDS without cosolvents. Due to the addition of hydrophilic cosolvents, the emulsifying properties of SEDDS are strongly improved. As hydrophilic cosolvents are immediately released from SEDDS during the emulsification process, however, their drug solubilizing properties in the resulting oily droplets are very limited.","author":[{"dropping-particle":"","family":"Jörgensen","given":"Arne Matteo","non-dropping-particle":"","parse-names":false,"suffix":""},{"dropping-particle":"","family":"Friedl","given":"Julian David","non-dropping-particle":"","parse-names":false,"suffix":""},{"dropping-particle":"","family":"Wibel","given":"Richard","non-dropping-particle":"","parse-names":false,"suffix":""},{"dropping-particle":"","family":"Chamieh","given":"Joseph","non-dropping-particle":"","parse-names":false,"suffix":""},{"dropping-particle":"","family":"Cottet","given":"Hervé","non-dropping-particle":"","parse-names":false,"suffix":""},{"dropping-particle":"","family":"Bernkop-Schnürch","given":"Andreas","non-dropping-particle":"","parse-names":false,"suffix":""}],"container-title":"Molecular Pharmaceutics","id":"ITEM-1","issue":"9","issued":{"date-parts":[["2020"]]},"title":"Cosolvents in Self-Emulsifying Drug Delivery Systems (SEDDS): Do They Really Solve Our Solubility Problems?","type":"article-journal","volume":"17"},"uris":["http://www.mendeley.com/documents/?uuid=352565ff-0b00-335c-9264-f65c4fb0b9f9"]}],"mendeley":{"formattedCitation":"(Jörgensen et al., 2020)","plainTextFormattedCitation":"(Jörgensen et al., 2020)","previouslyFormattedCitation":"(Jörgensen et al., 2020)"},"properties":{"noteIndex":0},"schema":"https://github.com/citation-style-language/schema/raw/master/csl-citation.json"}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(Jörgensen et al., 2020)</w:t>
      </w:r>
      <w:r>
        <w:rPr>
          <w:rFonts w:ascii="Times New Roman" w:hAnsi="Times New Roman" w:cs="Times New Roman"/>
          <w:sz w:val="24"/>
          <w:szCs w:val="24"/>
        </w:rPr>
        <w:fldChar w:fldCharType="end"/>
      </w:r>
      <w:r>
        <w:rPr>
          <w:rFonts w:ascii="Times New Roman" w:hAnsi="Times New Roman" w:cs="Times New Roman"/>
          <w:sz w:val="24"/>
          <w:szCs w:val="24"/>
        </w:rPr>
        <w:t>.</w:t>
      </w:r>
    </w:p>
    <w:p w14:paraId="0CCBEEC6"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Rationale: Lipid-based formulations improve the dissolution of lipophilic drugs, enhance absorption through the lymphatic system, and facilitate transport across cell membranes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{"citationItems":[{"id":"ITEM-1","itemData":{"DOI":"10.3390/ph15091064","ISSN":"14248247","abstract":"This research was designed to identify thermodynamically and kinetically stable lipidic self-emulsifying formulations through simple energy dynamics in addition to highlighting and clarifying common ambiguities in the literature in this regard. Proposing a model study, this research shows how most of the professed energetically stable systems are actually energetically unstable, subjected to indiscriminate and false characterization, leading to significant effects for their pharmaceutical applications. A self-emulsifying drug delivery system (SEDDS) was developed and then solidified (S-SEDDS) using a model drug finasteride. Physical nature of SEDDS was identified by measuring simple dynamics which showed that the developed dispersion was thermodynamically unstable. An in vivo study of albino rats showed a three-fold enhanced bioavailability of model drug with SEDDS as compared to the commercial tablets. The study concluded that measuring simple energy dynamics through inherent properties can distinguish between thermodynamically stable and unstable lipidic systems. It might lead to correct identification of a specific lipidic formulation and the application of appropriate characterization techniques accordingly. Future research strategies include improving their pharmaceutical applications and understanding the basic differences in their natures.","author":[{"dropping-particle":"","family":"Rehman","given":"Fiza Ur","non-dropping-particle":"","parse-names":false,"suffix":""},{"dropping-particle":"","family":"Farid","given":"Arshad","non-dropping-particle":"","parse-names":false,"suffix":""},{"dropping-particle":"","family":"Shah","given":"Shefaat Ullah","non-dropping-particle":"","parse-names":false,"suffix":""},{"dropping-particle":"","family":"Dar","given":"Muhammad Junaid","non-dropping-particle":"","parse-names":false,"suffix":""},{"dropping-particle":"","family":"Rehman","given":"Asim Ur","non-dropping-particle":"","parse-names":false,"suffix":""},{"dropping-particle":"","family":"Ahmed","given":"Naveed","non-dropping-particle":"","parse-names":false,"suffix":""},{"dropping-particle":"","family":"Rashid","given":"Sheikh Abdur","non-dropping-particle":"","parse-names":false,"suffix":""},{"dropping-particle":"","family":"Shaukat","given":"Irfan","non-dropping-particle":"","parse-names":false,"suffix":""},{"dropping-particle":"","family":"Shah","given":"Muddaser","non-dropping-particle":"","parse-names":false,"suffix":""},{"dropping-particle":"","family":"Albadrani","given":"Ghadeer M.","non-dropping-particle":"","parse-names":false,"suffix":""},{"dropping-particle":"","family":"Kamel","given":"Mohamed","non-dropping-particle":"","parse-names":false,"suffix":""},{"dropping-particle":"","family":"Altyar","given":"Ahmed E.","non-dropping-particle":"","parse-names":false,"suffix":""},{"dropping-particle":"","family":"Abdel-Daim","given":"Mohamed M.","non-dropping-particle":"","parse-names":false,"suffix":""},{"dropping-particle":"","family":"Shah","given":"Kifayat Ullah","non-dropping-particle":"","parse-names":false,"suffix":""}],"container-title":"Pharmaceuticals","id":"ITEM-1","issue":"9","issued":{"date-parts":[["2022"]]},"title":"Self-Emulsifying Drug Delivery Systems (SEDDS): Measuring Energy Dynamics to Determine Thermodynamic and Kinetic Stability","type":"article-journal","volume":"15"},"uris":["http://www.mendeley.com/documents/?uuid=8fc8414b-efcf-3087-b7e4-640a15e13774"]}],"mendeley":{"formattedCitation":"(Rehman et al., 2022)","plainTextFormattedCitation":"(Rehman et al., 2022)","previouslyFormattedCitation":"(Rehman et al., 2022)"},"properties":{"noteIndex":0},"schema":"https://github.com/citation-style-language/schema/raw/master/csl-citation.json"}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(Rehman et al., 2022)</w:t>
      </w:r>
      <w:r>
        <w:rPr>
          <w:rFonts w:ascii="Times New Roman" w:hAnsi="Times New Roman" w:cs="Times New Roman"/>
          <w:sz w:val="24"/>
          <w:szCs w:val="24"/>
        </w:rPr>
        <w:fldChar w:fldCharType="end"/>
      </w:r>
      <w:r>
        <w:rPr>
          <w:rFonts w:ascii="Times New Roman" w:hAnsi="Times New Roman" w:cs="Times New Roman"/>
          <w:sz w:val="24"/>
          <w:szCs w:val="24"/>
        </w:rPr>
        <w:t>.</w:t>
      </w:r>
    </w:p>
    <w:p w14:paraId="0693DC8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pH-Dependent Release Formulations</w:t>
      </w:r>
    </w:p>
    <w:p w14:paraId="717FDC2A"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Formulations designed to release drugs at specific pH levels in the gastrointestinal tract.</w:t>
      </w:r>
    </w:p>
    <w:p w14:paraId="512E2F24"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Controlling drug release in specific regions of the gastrointestinal tract improves drug absorption. Enteric-coated formulations, for example, protect drugs from stomach acidity, releasing them in the intestine.</w:t>
      </w:r>
    </w:p>
    <w:p w14:paraId="73D369E4"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Drug-Polymer Conjugates</w:t>
      </w:r>
    </w:p>
    <w:p w14:paraId="10924CA9"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Conjugating drugs with polymers, such as polyethylene glycol (PEG) or dendrimers, to modify their pharmacokinetic properties.</w:t>
      </w:r>
    </w:p>
    <w:p w14:paraId="5793BA8C"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Rationale: Drug-polymer conjugates can enhance drug solubility, stability, and circulation time in the bloodstream, influencing drug absorption and metabolism.</w:t>
      </w:r>
    </w:p>
    <w:p w14:paraId="59686DD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Salt Formation</w:t>
      </w:r>
    </w:p>
    <w:p w14:paraId="1649C66B"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Converting a drug into its salt form to improve its physicochemical properties.</w:t>
      </w:r>
    </w:p>
    <w:p w14:paraId="274DA208"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Salt formation can enhance drug solubility, stability, and dissolution rates, leading to improved absorption. Commonly used salts include hydrochloride or sulfate salts.</w:t>
      </w:r>
    </w:p>
    <w:p w14:paraId="684DD85B"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Size Reduction Techniques</w:t>
      </w:r>
    </w:p>
    <w:p w14:paraId="0D7217E4"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Reducing the particle size of drug crystals to enhance dissolution rates.</w:t>
      </w:r>
    </w:p>
    <w:p w14:paraId="6D0B50D4"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Rationale: Techniques such as </w:t>
      </w:r>
      <w:proofErr w:type="spellStart"/>
      <w:r>
        <w:rPr>
          <w:rFonts w:ascii="Times New Roman" w:hAnsi="Times New Roman" w:cs="Times New Roman"/>
          <w:sz w:val="24"/>
          <w:szCs w:val="24"/>
        </w:rPr>
        <w:t>micronization</w:t>
      </w:r>
      <w:proofErr w:type="spellEnd"/>
      <w:r>
        <w:rPr>
          <w:rFonts w:ascii="Times New Roman" w:hAnsi="Times New Roman" w:cs="Times New Roman"/>
          <w:sz w:val="24"/>
          <w:szCs w:val="24"/>
        </w:rPr>
        <w:t xml:space="preserve"> and nanosizing increase the surface area of drug particles, improving their dissolution and absorption.</w:t>
      </w:r>
    </w:p>
    <w:p w14:paraId="6628CE6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Enzyme Inhibitors/Inducers</w:t>
      </w:r>
    </w:p>
    <w:p w14:paraId="468302C9"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Co-administration of drugs that inhibit or induce specific metabolic enzymes.</w:t>
      </w:r>
    </w:p>
    <w:p w14:paraId="2B0EA9CB"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Enzyme inhibitors can slow down drug metabolism, increasing systemic exposure, while inducers can enhance metabolism, reducing drug exposure. This strategy requires careful consideration of potential drug interactions.</w:t>
      </w:r>
    </w:p>
    <w:p w14:paraId="6C94A33D"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Incorporation of Absorption Enhancers</w:t>
      </w:r>
    </w:p>
    <w:p w14:paraId="1D475AD7"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Adding absorption enhancers to formulations to increase drug permeability.</w:t>
      </w:r>
    </w:p>
    <w:p w14:paraId="5574B15C"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Rationale: Absorption enhancers improve drug transport across epithelial membranes, enhancing absorption. However, careful selection is essential to avoid potential toxicity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{"citationItems":[{"id":"ITEM-1","itemData":{"DOI":"10.1007/s11095-022-03435-3","ISSN":"1573904X","abstract":"Proteins and peptides-based therapeutics are making substantial access to the market due to their obvious advantages of strong potency, high specificity and desirable safety profile. However, most clinical products are mainly delivered via parenteral route with inferior convenience. Lung is an attractive non-invasive alternative passage for systemic administration of biologics with numerous outstanding features, as examples of large absorptive surface area, extensive vascularization and mild local microenvironment. Even so, mucociliary clearance, alveolar macrophage phagocytosis, enzymatic metabolism, pulmonary surfactant adsorption and limited epithelium permeability constitute major obstacles affecting the systemic absorption of inhaled proteins and peptides. This article begins by giving a brief overview of challenges for the systemic absorption of inhaled proteins and peptides, and then goes on to a comprehensive review of possible strategies for enhanced pulmonary absorption, including chemical modification, addition of protease inhibitors, incorporation of absorption enhancers, modification with fusion proteins and development of particulate-based drug delivery systems. These strategies can provide enhanced transmembrane absorption capacity while avoiding pulmonary clearance, offering a valuable reference for designing pulmonary delivery systems of protein and peptide drugs.","author":[{"dropping-particle":"","family":"Qin","given":"Lu","non-dropping-particle":"","parse-names":false,"suffix":""},{"dropping-particle":"","family":"Cui","given":"Zhixiang","non-dropping-particle":"","parse-names":false,"suffix":""},{"dropping-particle":"","family":"Wu","given":"Yu","non-dropping-particle":"","parse-names":false,"suffix":""},{"dropping-particle":"","family":"Wang","given":"Hezhi","non-dropping-particle":"","parse-names":false,"suffix":""},{"dropping-particle":"","family":"Zhang","given":"Xin","non-dropping-particle":"","parse-names":false,"suffix":""},{"dropping-particle":"","family":"Guan","given":"Jian","non-dropping-particle":"","parse-names":false,"suffix":""},{"dropping-particle":"","family":"Mao","given":"Shirui","non-dropping-particle":"","parse-names":false,"suffix":""}],"container-title":"Pharmaceutical Research","id":"ITEM-1","issue":"5","issued":{"date-parts":[["2023"]]},"title":"Challenges and Strategies to Enhance the Systemic Absorption of Inhaled Peptides and Proteins","type":"article","volume":"40"},"uris":["http://www.mendeley.com/documents/?uuid=c6714c8e-63cf-36b5-8815-c641cec0f9ea"]}],"mendeley":{"formattedCitation":"(Qin et al., 2023)","plainTextFormattedCitation":"(Qin et al., 2023)","previouslyFormattedCitation":"(Qin et al., 2023)"},"properties":{"noteIndex":0},"schema":"https://github.com/citation-style-language/schema/raw/master/csl-citation.json"}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(Qin et al., 2023)</w:t>
      </w:r>
      <w:r>
        <w:rPr>
          <w:rFonts w:ascii="Times New Roman" w:hAnsi="Times New Roman" w:cs="Times New Roman"/>
          <w:sz w:val="24"/>
          <w:szCs w:val="24"/>
        </w:rPr>
        <w:fldChar w:fldCharType="end"/>
      </w:r>
      <w:r>
        <w:rPr>
          <w:rFonts w:ascii="Times New Roman" w:hAnsi="Times New Roman" w:cs="Times New Roman"/>
          <w:sz w:val="24"/>
          <w:szCs w:val="24"/>
        </w:rPr>
        <w:t>.</w:t>
      </w:r>
    </w:p>
    <w:p w14:paraId="78C50CA8"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Personalized Medicine Approaches</w:t>
      </w:r>
    </w:p>
    <w:p w14:paraId="3A837AFF"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Tailoring drug formulations based on individual patient characteristics, including genetic factors.</w:t>
      </w:r>
    </w:p>
    <w:p w14:paraId="61126D1D"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Understanding patient-specific variations in drug metabolism and absorption allows for personalized dosing and formulation adjustments, optimizing therapeutic outcomes.</w:t>
      </w:r>
    </w:p>
    <w:p w14:paraId="1AF0E1A1"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Conclusion</w:t>
      </w:r>
    </w:p>
    <w:p w14:paraId="260CAD2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Optimizing drug formulations to enhance absorption and metabolism is a multifaceted process that involves innovative strategies aimed at overcoming various challenges. These approaches not only improve the bioavailability of drugs but also contribute to the development of more effective and patient-friendly pharmaceuticals. The selection of the most appropriate formulation strategy depends on the specific characteristics of the drug, the intended route of administration, and the desired therapeutic outcomes.</w:t>
      </w:r>
    </w:p>
    <w:p w14:paraId="4F5AF4C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Explore the impact of disease states on drug metabolism and absorption.</w:t>
      </w:r>
    </w:p>
    <w:p w14:paraId="6F6D40B2"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Optimizing drug formulations is a critical aspect of drug development to improve therapeutic efficacy and patient outcomes. Enhancing drug absorption and metabolism involves strategic formulation approaches to overcome challenges such as poor solubility, limited </w:t>
      </w:r>
      <w:r>
        <w:rPr>
          <w:rFonts w:ascii="Times New Roman" w:hAnsi="Times New Roman" w:cs="Times New Roman"/>
          <w:sz w:val="24"/>
          <w:szCs w:val="24"/>
        </w:rPr>
        <w:lastRenderedPageBreak/>
        <w:t>bioavailability, and variability in patient responses. Several strategies are employed to optimize drug formulations for improved absorption and metabolism.</w:t>
      </w:r>
    </w:p>
    <w:p w14:paraId="4D57D4A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Prodrug Design:</w:t>
      </w:r>
    </w:p>
    <w:p w14:paraId="3D865C18"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Prodrugs are inactive derivatives of drugs that undergo enzymatic or chemical transformation in the body to release the active compound.</w:t>
      </w:r>
    </w:p>
    <w:p w14:paraId="6687D27E" w14:textId="77777777" w:rsidR="00460EB1" w:rsidRDefault="00460EB1" w:rsidP="00460EB1">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Prodrug design can enhance drug absorption by improving lipophilicity, stability, and solubility. It also facilitates targeted metabolism at specific sites, potentially increasing bioavailability.</w:t>
      </w:r>
    </w:p>
    <w:p w14:paraId="03A31A72"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Nanoparticle Delivery Systems</w:t>
      </w:r>
    </w:p>
    <w:p w14:paraId="233A45C2" w14:textId="77777777" w:rsidR="00460EB1" w:rsidRDefault="00460EB1" w:rsidP="00460EB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Nanoparticles, such as liposomes, micelles, and polymeric nanoparticles, can encapsulate drugs, enhancing their solubility and bioavailability.</w:t>
      </w:r>
    </w:p>
    <w:p w14:paraId="0D92DBC0" w14:textId="77777777" w:rsidR="00460EB1" w:rsidRDefault="00460EB1" w:rsidP="00460EB1">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Nanoparticles protect drugs from degradation, improve drug solubility, and provide sustained release, optimizing drug absorption. They also allow for targeted delivery to specific tissues.</w:t>
      </w:r>
    </w:p>
    <w:p w14:paraId="56051809"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Amorphous Solid Dispersions</w:t>
      </w:r>
    </w:p>
    <w:p w14:paraId="1C77EF75" w14:textId="77777777" w:rsidR="00460EB1" w:rsidRDefault="00460EB1" w:rsidP="00460EB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Amorphous solid dispersions involve incorporating drugs into a polymer matrix to enhance solubility.</w:t>
      </w:r>
    </w:p>
    <w:p w14:paraId="402A1B58" w14:textId="77777777" w:rsidR="00460EB1" w:rsidRDefault="00460EB1" w:rsidP="00460EB1">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This strategy improves drug dissolution rates, leading to increased bioavailability. The amorphous form of the drug enhances its solubility compared to crystalline forms.</w:t>
      </w:r>
    </w:p>
    <w:p w14:paraId="2A67CF85"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t>Cyclodextrin Complexation</w:t>
      </w:r>
    </w:p>
    <w:p w14:paraId="6B90DEE8" w14:textId="77777777" w:rsidR="00460EB1" w:rsidRDefault="00460EB1" w:rsidP="00460EB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Concept: Cyclodextrins are cyclic oligosaccharides that can form inclusion complexes with drugs, improving their solubility.</w:t>
      </w:r>
    </w:p>
    <w:p w14:paraId="2FC44FF6" w14:textId="77777777" w:rsidR="00460EB1" w:rsidRDefault="00460EB1" w:rsidP="00460EB1">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Cyclodextrin complexation increases the water solubility of poorly soluble drugs, aiding in their absorption. This strategy is particularly useful for enhancing the oral bioavailability of drugs.</w:t>
      </w:r>
    </w:p>
    <w:p w14:paraId="193C5694"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Lipid-Based Formulations</w:t>
      </w:r>
    </w:p>
    <w:p w14:paraId="3AD226CF" w14:textId="77777777" w:rsidR="00460EB1" w:rsidRDefault="00460EB1" w:rsidP="00460EB1">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Lipid-based formulations, including lipid emulsions, self-emulsifying drug delivery systems (SEDDS), and solid lipid nanoparticles, enhance drug solubility and absorption.</w:t>
      </w:r>
    </w:p>
    <w:p w14:paraId="2B27B223" w14:textId="77777777" w:rsidR="00460EB1" w:rsidRDefault="00460EB1" w:rsidP="00460EB1">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Lipid-based formulations improve the dissolution of lipophilic drugs, enhance absorption through the lymphatic system, and facilitate transport across cell membranes.</w:t>
      </w:r>
    </w:p>
    <w:p w14:paraId="2CE9A18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pH-Dependent Release Formulations</w:t>
      </w:r>
    </w:p>
    <w:p w14:paraId="19E5EC4B" w14:textId="77777777" w:rsidR="00460EB1" w:rsidRDefault="00460EB1" w:rsidP="00460EB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Formulations designed to release drugs at specific pH levels in the gastrointestinal tract.</w:t>
      </w:r>
    </w:p>
    <w:p w14:paraId="24A6BA96" w14:textId="77777777" w:rsidR="00460EB1" w:rsidRDefault="00460EB1" w:rsidP="00460EB1">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Controlling drug release in specific regions of the gastrointestinal tract improves drug absorption. Enteric-coated formulations, for example, protect drugs from stomach acidity, releasing them in the intestine.</w:t>
      </w:r>
    </w:p>
    <w:p w14:paraId="2B50CEF5"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Drug-Polymer Conjugates</w:t>
      </w:r>
    </w:p>
    <w:p w14:paraId="562044E6" w14:textId="77777777" w:rsidR="00460EB1" w:rsidRDefault="00460EB1" w:rsidP="00460EB1">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Conjugating drugs with polymers, such as polyethylene glycol (PEG) or dendrimers, to modify their pharmacokinetic properties.</w:t>
      </w:r>
    </w:p>
    <w:p w14:paraId="2F0018BA" w14:textId="77777777" w:rsidR="00460EB1" w:rsidRDefault="00460EB1" w:rsidP="00460EB1">
      <w:pPr>
        <w:pStyle w:val="ListParagraph"/>
        <w:numPr>
          <w:ilvl w:val="0"/>
          <w:numId w:val="30"/>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Rationale: Drug-polymer conjugates can enhance drug solubility, stability, and circulation time in the bloodstream, influencing drug absorption and metabolism.</w:t>
      </w:r>
    </w:p>
    <w:p w14:paraId="31C16400"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Salt Formation</w:t>
      </w:r>
    </w:p>
    <w:p w14:paraId="632611F7" w14:textId="77777777" w:rsidR="00460EB1" w:rsidRDefault="00460EB1" w:rsidP="00460EB1">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Converting a drug into its salt form to improve its physicochemical properties.</w:t>
      </w:r>
    </w:p>
    <w:p w14:paraId="468C12E3" w14:textId="77777777" w:rsidR="00460EB1" w:rsidRDefault="00460EB1" w:rsidP="00460EB1">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Salt formation can enhance drug solubility, stability, and dissolution rates, leading to improved absorption. Commonly used salts include hydrochloride or sulfate salts.</w:t>
      </w:r>
    </w:p>
    <w:p w14:paraId="06BD665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Size Reduction Techniques</w:t>
      </w:r>
    </w:p>
    <w:p w14:paraId="2B0C8D5F" w14:textId="77777777" w:rsidR="00460EB1" w:rsidRDefault="00460EB1" w:rsidP="00460EB1">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Reducing the particle size of drug crystals to enhance dissolution rates.</w:t>
      </w:r>
    </w:p>
    <w:p w14:paraId="1B9846F6" w14:textId="77777777" w:rsidR="00460EB1" w:rsidRDefault="00460EB1" w:rsidP="00460EB1">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Rationale: Techniques such as </w:t>
      </w:r>
      <w:proofErr w:type="spellStart"/>
      <w:r>
        <w:rPr>
          <w:rFonts w:ascii="Times New Roman" w:hAnsi="Times New Roman" w:cs="Times New Roman"/>
          <w:sz w:val="24"/>
          <w:szCs w:val="24"/>
        </w:rPr>
        <w:t>micronization</w:t>
      </w:r>
      <w:proofErr w:type="spellEnd"/>
      <w:r>
        <w:rPr>
          <w:rFonts w:ascii="Times New Roman" w:hAnsi="Times New Roman" w:cs="Times New Roman"/>
          <w:sz w:val="24"/>
          <w:szCs w:val="24"/>
        </w:rPr>
        <w:t xml:space="preserve"> and nanosizing increase the surface area of drug particles, improving their dissolution and absorption.</w:t>
      </w:r>
    </w:p>
    <w:p w14:paraId="3BE70FD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Enzyme Inhibitors/Inducers</w:t>
      </w:r>
    </w:p>
    <w:p w14:paraId="2A57F8C9" w14:textId="77777777" w:rsidR="00460EB1" w:rsidRDefault="00460EB1" w:rsidP="00460EB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Co-administration of drugs that inhibit or induce specific metabolic enzymes.</w:t>
      </w:r>
    </w:p>
    <w:p w14:paraId="0BF001A7" w14:textId="77777777" w:rsidR="00460EB1" w:rsidRDefault="00460EB1" w:rsidP="00460EB1">
      <w:pPr>
        <w:pStyle w:val="ListParagraph"/>
        <w:numPr>
          <w:ilvl w:val="0"/>
          <w:numId w:val="36"/>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Enzyme inhibitors can slow down drug metabolism, increasing systemic exposure, while inducers can enhance metabolism, reducing drug exposure. This strategy requires careful consideration of potential drug interactions.</w:t>
      </w:r>
    </w:p>
    <w:p w14:paraId="117C13DA"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Incorporation of Absorption Enhancers</w:t>
      </w:r>
    </w:p>
    <w:p w14:paraId="60123DCD" w14:textId="77777777" w:rsidR="00460EB1" w:rsidRDefault="00460EB1" w:rsidP="00460EB1">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Adding absorption enhancers to formulations to increase drug permeability.</w:t>
      </w:r>
    </w:p>
    <w:p w14:paraId="36D9D6BC" w14:textId="77777777" w:rsidR="00460EB1" w:rsidRDefault="00460EB1" w:rsidP="00460EB1">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Absorption enhancers improve drug transport across epithelial membranes, enhancing absorption. However, careful selection is essential to avoid potential toxicity.</w:t>
      </w:r>
    </w:p>
    <w:p w14:paraId="5E0FCE66"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Personalized Medicine Approaches</w:t>
      </w:r>
    </w:p>
    <w:p w14:paraId="1F6E12AC" w14:textId="77777777" w:rsidR="00460EB1" w:rsidRDefault="00460EB1" w:rsidP="00460EB1">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Concept: Tailoring drug formulations based on individual patient characteristics, including genetic factors.</w:t>
      </w:r>
    </w:p>
    <w:p w14:paraId="5CCF0E60" w14:textId="77777777" w:rsidR="00460EB1" w:rsidRDefault="00460EB1" w:rsidP="00460EB1">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Rationale: Understanding patient-specific variations in drug metabolism and absorption allows for personalized dosing and formulation adjustments, optimizing therapeutic outcomes.</w:t>
      </w:r>
    </w:p>
    <w:p w14:paraId="0E675411" w14:textId="77777777" w:rsidR="00460EB1" w:rsidRDefault="00460EB1" w:rsidP="00460EB1">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Optimizing drug formulations to enhance absorption and metabolism is a multifaceted process that involves innovative strategies aimed at overcoming various challenges. These approaches not only improve the bioavailability of drugs but also contribute to the development of more effective and patient-friendly pharmaceuticals. The selection of the most appropriate formulation strategy depends on the specific characteristics of the drug, the intended route of administration, and the desired therapeutic outcomes.</w:t>
      </w:r>
    </w:p>
    <w:p w14:paraId="2D10C5D3"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highlight w:val="yellow"/>
        </w:rPr>
        <w:t>Discuss emerging trends and future directions in the study of advanced drug metabolism and absorption.</w:t>
      </w:r>
    </w:p>
    <w:p w14:paraId="77820B9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field of enhanced drug metabolism and absorption is currently experiencing a period of significant change, characterized by nonlinear progress and fascinating potential. The emergence of organ-on-a-chip technology exemplifies the transition towards more accurate in vitro models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{"citationItems":[{"id":"ITEM-1","itemData":{"DOI":"10.2967/jnumed.117.197178","ISSN":"2159662X","abstract":"Noninvasive imaging technologies are increasingly used in preclinical drug research for the pharmacokinetic analysis of therapeutic compounds in living animals over time. The different preclinical imaging modalities available differ intrinsically in their detection principle and thus might exhibit limitations for a specific application. Here, we systematically investigated the performance of advanced fluorescence-mediated tomography (FMT)/CT in comparison to PET/MRI for quantitative analysis of the biodistribution of different antibody formats and dependence on the required imaging label in squamous cell carcinoma xenografts. Methods: Different formats of an antibody (monoclonal antibody and the antigen binding fragments F(ab9) 2 and Fab) targeting epidermal growth factor receptor were labeled with Alexa750 or 64 Cu-NODAGA and injected intravenously into separate cohorts of nude mice bearing subcutaneous A-431 tumors. Two and 24 h after injection, the mice were measured by FMT/CT and PET/MRI. Probe accumulation was quantitatively assessed in organs and tumors. In vivo data were compared between modalities and correlated with ex vivo fluorescence, g-counting, and electrochemiluminescence immunoassay. Results: Both imaging methods faithfully monitored the biodistribution and elimination routes of the compounds, and organ accumulation measured by FMT/CT and PET/MRI correlated significantly with ex vivo measurements. In addition, the accumulation in kidney, muscle, and tumor tissue correlated between FMT/CT and PET/MRI. However, the pharmacokinetics of the Alexa750-labeled antibody formats showed shorter blood halftimes and higher liver uptake than the radiolabeled counterparts. Conclusion: FMT/CT imaging allows quantifying the biodistribution of antibodies in nude mice and provides an alternative to PET analysis in preclinical drug research. However, even for large molecules, such as monoclonal antibodies, Alexa750 labeling can change pharmacokinetics and trigger liver uptake.","author":[{"dropping-particle":"","family":"Hage","given":"Carina","non-dropping-particle":"","parse-names":false,"suffix":""},{"dropping-particle":"","family":"Gremse","given":"Felix","non-dropping-particle":"","parse-names":false,"suffix":""},{"dropping-particle":"","family":"Griessinger","given":"Christoph M.","non-dropping-particle":"","parse-names":false,"suffix":""},{"dropping-particle":"","family":"Maurer","given":"Andreas","non-dropping-particle":"","parse-names":false,"suffix":""},{"dropping-particle":"","family":"Hoffmann","given":"Sabrina H.L.","non-dropping-particle":"","parse-names":false,"suffix":""},{"dropping-particle":"","family":"Osl","given":"Franz","non-dropping-particle":"","parse-names":false,"suffix":""},{"dropping-particle":"","family":"Pichler","given":"Bernd J.","non-dropping-particle":"","parse-names":false,"suffix":""},{"dropping-particle":"","family":"Kiessling","given":"Fabian","non-dropping-particle":"","parse-names":false,"suffix":""},{"dropping-particle":"","family":"Scheuer","given":"Werner","non-dropping-particle":"","parse-names":false,"suffix":""},{"dropping-particle":"","family":"Pöschinger","given":"Thomas","non-dropping-particle":"","parse-names":false,"suffix":""}],"container-title":"Journal of Nuclear Medicine","id":"ITEM-1","issue":"1","issued":{"date-parts":[["2018"]]},"title":"Comparison of the accuracy of FMT/CT and PET/MRI for the assessment of antibody biodistribution in squamous cell carcinoma xenografts","type":"article-journal","volume":"59"},"uris":["http://www.mendeley.com/documents/?uuid=a08d34ab-68dc-344f-8994-352137a6206d"]}],"mendeley":{"formattedCitation":"(Hage et al., 2018)","plainTextFormattedCitation":"(Hage et al., 2018)","previouslyFormattedCitation":"(Hage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(Hage et al., 2018)</w:t>
      </w:r>
      <w:r>
        <w:rPr>
          <w:rFonts w:ascii="Times New Roman" w:hAnsi="Times New Roman" w:cs="Times New Roman"/>
          <w:sz w:val="24"/>
          <w:szCs w:val="24"/>
        </w:rPr>
        <w:fldChar w:fldCharType="end"/>
      </w:r>
      <w:r>
        <w:rPr>
          <w:rFonts w:ascii="Times New Roman" w:hAnsi="Times New Roman" w:cs="Times New Roman"/>
          <w:sz w:val="24"/>
          <w:szCs w:val="24"/>
        </w:rPr>
        <w:t>. These microfluidic systems, which imitate human organs, provide a detailed comprehension of drug activity, expanding the limits of traditional research approaches.</w:t>
      </w:r>
    </w:p>
    <w:p w14:paraId="530374D3"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advancements in artificial intelligence (AI) and machine learning are driving the field towards a new era of data analysis and predictive modeling. These technologies, due to their ability </w:t>
      </w:r>
      <w:r>
        <w:rPr>
          <w:rFonts w:ascii="Times New Roman" w:hAnsi="Times New Roman" w:cs="Times New Roman"/>
          <w:sz w:val="24"/>
          <w:szCs w:val="24"/>
        </w:rPr>
        <w:lastRenderedPageBreak/>
        <w:t>to analyze intricate patterns in large datasets, have the potential to enhance our capability to predict medication reactions and refine therapeutic approaches.</w:t>
      </w:r>
    </w:p>
    <w:p w14:paraId="46A59BE4"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Pharmacogenomics is gaining prominence as a significant contributor in the field of personalized medicine. Customizing medication therapy according to individual genetic differences is revolutionizing therapeutic approaches, leading to more accurate and efficient interventions. In the future, there is the possibility of a healthcare environment where pharmaceuticals are specifically customized to match the genetic composition of individual patients.</w:t>
      </w:r>
    </w:p>
    <w:p w14:paraId="5A5A607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3D printing has expanded beyond its traditional uses and has found a specific role in the field of pharmaceuticals. This technology is introducing a new period of personalized medicine formulations, enabling the creation of unique dosages that are tailored to the exact requirements of individual patients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{"citationItems":[{"id":"ITEM-1","itemData":{"DOI":"10.1166/jbt.2017.1591","ISSN":"21579091","abstract":"Cancer is the second ranked cause of death worldwide, which calls for the development of novel and effective therapies. However our current therapeutic options are mainly limited to chemo- and radio-therapy, surgery and other anti-cancer drugs, all of which suffer from either resistance or relapse of tumors. Cervical cancer is one of the most malignant cancers that preferably affect women. Recently, advanced techniques, such as Magnetic resonance imaging (MRI)-guided intracavitary/ interstitial brachytherapies, have become increasingly important and promising in the diagnosis and treatment of cervical cancer. Hereby in our current report, we present two case studies of stage IVA cervical cancer, that utilized superior dose distribution by three dimension (3D) printing technology. We created digital 3D models for both patients, personalized to each of their individual anatomy with improved catheter tracks embedded in the template.We showed that the personalized 3D printed vaginal template has great potential in clinical treatment of cervical cancer.","author":[{"dropping-particle":"","family":"Li","given":"Jianping","non-dropping-particle":"","parse-names":false,"suffix":""},{"dropping-particle":"","family":"Meng","given":"Xin","non-dropping-particle":"","parse-names":false,"suffix":""},{"dropping-particle":"","family":"Dang","given":"Yunzhi","non-dropping-particle":"","parse-names":false,"suffix":""},{"dropping-particle":"","family":"Sun","given":"Xiaohuan","non-dropping-particle":"","parse-names":false,"suffix":""},{"dropping-particle":"","family":"Zhang","given":"Ying","non-dropping-particle":"","parse-names":false,"suffix":""},{"dropping-particle":"","family":"Wei","given":"Lichun","non-dropping-particle":"","parse-names":false,"suffix":""},{"dropping-particle":"","family":"Shi","given":"Mei","non-dropping-particle":"","parse-names":false,"suffix":""}],"container-title":"Journal of Biomaterials and Tissue Engineering","id":"ITEM-1","issue":"6","issued":{"date-parts":[["2017"]]},"title":"Pure interstitial brachytherapy using 3D-printed vaginal template for improved catheter tracks in treating cervical cancer","type":"article-journal","volume":"7"},"uris":["http://www.mendeley.com/documents/?uuid=c08faffe-2217-3863-8eca-93549818793b"]}],"mendeley":{"formattedCitation":"(J. Li et al., 2017)","plainTextFormattedCitation":"(J. Li et al., 2017)","previouslyFormattedCitation":"(J. Li et al., 2017)"},"properties":{"noteIndex":0},"schema":"https://github.com/citation-style-language/schema/raw/master/csl-citation.json"}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(J. Li et al., 2017)</w:t>
      </w:r>
      <w:r>
        <w:rPr>
          <w:rFonts w:ascii="Times New Roman" w:hAnsi="Times New Roman" w:cs="Times New Roman"/>
          <w:sz w:val="24"/>
          <w:szCs w:val="24"/>
        </w:rPr>
        <w:fldChar w:fldCharType="end"/>
      </w:r>
      <w:r>
        <w:rPr>
          <w:rFonts w:ascii="Times New Roman" w:hAnsi="Times New Roman" w:cs="Times New Roman"/>
          <w:sz w:val="24"/>
          <w:szCs w:val="24"/>
        </w:rPr>
        <w:t>. The consequences for drug administration, assimilation, and breakdown are significant, bringing in a fresh degree of adaptability in treatment plans.</w:t>
      </w:r>
    </w:p>
    <w:p w14:paraId="583422A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impact of the microbiota on drug metabolism is a rapidly growing field of investigation. Recognizing the complex connection between gut flora and drug reactions paves the way for microbiome-focused treatments, indicating a move towards more comprehensive and personalized approaches in drug development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{"citationItems":[{"id":"ITEM-1","itemData":{"ISSN":"1873-1449","abstract":"Purpose: This is a feasibility study to demonstrate the use of 3D printing technology to create patient specific models for precise pre-planning of applicator using pre-brachytherapy MRI, without the need of applicator in-situ for image guided cervix cancer brachytherapy. Materials and Methods: Our existing 3D printers in the hospital are Stratasys Fortus 450mc, FDM printer capable of manufacturing FDA approved polymer materials. Our pilot study includes 5 locally advanced cervix cancer patients who were treated with 2017 at Queen Mary Hospital. All patients received whole pelvic radiotherapy 40-46Gy in 20-25 fractions over 5 weeks with concurrent weekly cisplatin 40mg/m2, followed by additional parametrial boosting in selected patients. Four fractions of high dose rate brachytherapy was performed at week 6 and 7 using CT guidance, with 2 fractions given a week, three days apart. Prebrachytherapy MRI pelvis was performed at our collaborative institution at University of Hong Kong facility with dedicated imaging protocol, at week 5, approximately one week before the first brachytherapy insertion. All week 5 MRI images of the 5 patients were imported into the planning software. Oncologist delineated the CTVHR contour and was highlighted to facilitate subsequent planning. As a pre-requisite, the CT images of the first brachytherapy insertion with applicator in-situ were imported, to obtain a library of 3D reconstructed applicators with various sizes of tandem/ovoids and intrauterine tube lengths. With reference to the orientation of the applicators, the software enables remodelling of the angulation of uterus especially for extreme anteverted or retroverted uteruses. Using the reconstruction techniques, 3D model is exported and sent for printing. Results: Atotal of 5 patient cases was used as a pilot of the study. The stages of the patients ranged from FIGO IIB to IIIB. All cases underwent 3D remodelling with matching size of applicators. The exported 3D product was assembled as a phantom and scanned by the CT simulator of the Oncology department. The resulting images were uploaded to Oncentra treatment planning system and virtual pre-planning was done, with dose optimisation procedures similar to the actual brachytherapy insertion procedure. Planning aim was to deliver at least 7Gy to the D90 CTVHR. For patients with suboptimal dose coverage, virtual needles were designed. The D90 dose of CTVHR was then compared with the actual CTVHR at the first insertio…","author":[{"dropping-particle":"","family":"A.","given":"Chang","non-dropping-particle":"","parse-names":false,"suffix":""}],"container-title":"Brachytherapy","id":"ITEM-1","issue":"4","issued":{"date-parts":[["2018"]]},"title":"3D printing technology is a feasible and efficient tool for pre-planning for image guided brachytherapy of cervix cancers","type":"article-journal","volume":"17"},"uris":["http://www.mendeley.com/documents/?uuid=c7a38d6b-55bf-3580-a33a-66ad62271e3d"]}],"mendeley":{"formattedCitation":"(A., 2018)","plainTextFormattedCitation":"(A., 2018)","previouslyFormattedCitation":"(A.,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 2018)</w:t>
      </w:r>
      <w:r>
        <w:rPr>
          <w:rFonts w:ascii="Times New Roman" w:hAnsi="Times New Roman" w:cs="Times New Roman"/>
          <w:sz w:val="24"/>
          <w:szCs w:val="24"/>
        </w:rPr>
        <w:fldChar w:fldCharType="end"/>
      </w:r>
      <w:r>
        <w:rPr>
          <w:rFonts w:ascii="Times New Roman" w:hAnsi="Times New Roman" w:cs="Times New Roman"/>
          <w:sz w:val="24"/>
          <w:szCs w:val="24"/>
        </w:rPr>
        <w:t>.</w:t>
      </w:r>
    </w:p>
    <w:p w14:paraId="6323387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Within the field of imaging, cutting-edge technologies such as PET and MRI are providing immediate and accurate information about the dispersion of drugs within the body. The recent development of the capability to visualize pharmacokinetics in living organisms has significant potential for improving medication formulations and enhancing their effectiveness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{"citationItems":[{"id":"ITEM-1","itemData":{"DOI":"10.1248/yakushi.129.297","ISSN":"00316903","abstract":"Molecular imaging technology such as positron emission tomography (PET) and magnetic resonance imaging (MRI) are known as powerful tools for clinical diagnosis in neurology, oncology and so on. As applications to new drug research and development, there are three methodologies which are PK (Pharmacokinetics study), PD (Pharmacodynamic study), and efficacy study. When we use these methodologies for the drug research, we must consider construction of technological environment (tracer, animal model, imaging analysis software, and clinical database) and regulatory environment for GMP (Good Manufacturing Practice) and GCP (Good Clinical Practice) level. Additionally, concept of microdosing and exploratory clinical study was proposed in western countries and the guidance on microdosing study was also announced by Health, Labor and Welfare Ministry on Jun. 3rd 2008. However they may be still in learning phase, we must meet with complexity, high cost, and indigestion. To promote molecular imaging technology into the drug research, integration of the scientists between academia and industry is important because it needs much type of the advanced technologies and skills. © 2009 The Pharmaceutical Society of Japan.","author":[{"dropping-particle":"","family":"Yajima","given":"Kazuyoshi","non-dropping-particle":"","parse-names":false,"suffix":""},{"dropping-particle":"","family":"Nishimura","given":"Shintaro","non-dropping-particle":"","parse-names":false,"suffix":""}],"container-title":"Yakugaku Zasshi","id":"ITEM-1","issue":"3","issued":{"date-parts":[["2009"]]},"title":"Consideration on molecular imaging technology as a tool for drug research and development","type":"article","volume":"129"},"uris":["http://www.mendeley.com/documents/?uuid=404a086d-9614-374e-9c26-6ec7eff176d3"]}],"mendeley":{"formattedCitation":"(Yajima &amp; Nishimura, 2009)","plainTextFormattedCitation":"(Yajima &amp; Nishimura, 2009)","previouslyFormattedCitation":"(Yajima &amp; Nishimura,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(Yajima &amp; Nishimura, 2009)</w:t>
      </w:r>
      <w:r>
        <w:rPr>
          <w:rFonts w:ascii="Times New Roman" w:hAnsi="Times New Roman" w:cs="Times New Roman"/>
          <w:sz w:val="24"/>
          <w:szCs w:val="24"/>
        </w:rPr>
        <w:fldChar w:fldCharType="end"/>
      </w:r>
      <w:r>
        <w:rPr>
          <w:rFonts w:ascii="Times New Roman" w:hAnsi="Times New Roman" w:cs="Times New Roman"/>
          <w:sz w:val="24"/>
          <w:szCs w:val="24"/>
        </w:rPr>
        <w:t>.</w:t>
      </w:r>
    </w:p>
    <w:p w14:paraId="5939089D"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Biomimetic medication delivery technologies are erasing the boundaries between synthetic and natural processes. These systems are designed to improve the targeting and absorption of drugs by drawing inspiration from biological activities. They utilize the complexity of nature to optimize drug delivery methods.</w:t>
      </w:r>
    </w:p>
    <w:p w14:paraId="7C0C4666"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incorporation of omics data into drug development embodies a comprehensive strategy. Genomics, proteomics, and metabolomics together offer a complete perspective on how drugs affect the body, helping researchers make better-informed choices when developing new treatments.</w:t>
      </w:r>
    </w:p>
    <w:p w14:paraId="7DF5AF5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use of block chain technology, which is commonly connected with cryptocurrencies, is becoming increasingly important in the field of clinical trials. By guaranteeing the protection and openness of data, blockchain technology has the capacity to enhance the reliability of pharmacokinetic investigations, thereby promoting a stronger and more dependable research setting.</w:t>
      </w:r>
    </w:p>
    <w:p w14:paraId="55537E6E"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Finally, sophisticated analytical methods are transforming the process of identifying drug metabolites. Mass spectrometry, along with other techniques, provides exceptional resolution, enabling the accurate mapping of metabolic pathways and assisting in the development of specific therapeutic interventions.</w:t>
      </w:r>
    </w:p>
    <w:p w14:paraId="7F26313A"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Amidst the current period of swift technological progress, these developing patterns hold the potential to provide a future where there is an unparalleled understanding of medication metabolism and absorption. These advances are not just small improvements, but rather revolutionary, fundamentally changing the field of pharmaceutical research and providing new opportunities for tailored, efficient, and safe pharmacological treatments.</w:t>
      </w:r>
    </w:p>
    <w:p w14:paraId="773B7427"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Summary of all the responses</w:t>
      </w:r>
    </w:p>
    <w:p w14:paraId="3EE40690"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discussions emphasized the crucial roles that drug metabolism and absorption play in pharmacokinetics during the examination of these processes. These fundamental systems regulate the destiny of pharmaceuticals in the human body, impacting their bioavailability, distribution, metabolism, and removal. The complex interaction between the absorption and metabolism of drugs determines the effectiveness and safety of medicinal treatments. An exhaustive examination of the elements that affect these processes, encompassing both physicochemical features and physiological situations, revealed the intricate nature of drug interactions within the body. This comprehension forms the basis for customizing medication treatments to suit the specific requirements of each patient, taking into account aspects such as genetic diversity, age, and underlying medical disorders.</w:t>
      </w:r>
    </w:p>
    <w:p w14:paraId="4CDC88AB"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findings explored the many processes of drug absorption, including passive diffusion, active transport, and assisted diffusion. The investigation encompassed many pathways of drug delivery, examining and contrasting the mechanisms of absorption via oral, intravenous, and transdermal methods. The importance of bioavailability was clarified, highlighting its relevance to the absorption of drugs and their pharmacokinetics. An analysis was conducted on the several complex aspects that affect the absorption of drugs, encompassing chemical features as well as the physiological environment. Collectively, these observations yielded a thorough comprehension of the intricacies associated with medication absorption, thereby facilitating advancements in drug development and delivery techniques.</w:t>
      </w:r>
    </w:p>
    <w:p w14:paraId="4373F777" w14:textId="77777777" w:rsidR="00460EB1" w:rsidRDefault="00460EB1" w:rsidP="00460EB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 in-depth exploration of drug metabolism elucidates the liver's pivotal function in detoxification and the conversion of xenobiotics. The examination of key drug-metabolizing </w:t>
      </w:r>
      <w:r>
        <w:rPr>
          <w:rFonts w:ascii="Times New Roman" w:hAnsi="Times New Roman" w:cs="Times New Roman"/>
          <w:sz w:val="24"/>
          <w:szCs w:val="24"/>
        </w:rPr>
        <w:lastRenderedPageBreak/>
        <w:t>enzymes, specifically cytochrome P450, revealed their importance in the process of oxidative metabolism. The discussions also encompassed the genetic variants of these enzymes, highlighting their potential influence on individual differences in drug metabolism. The investigation of phase I and phase II reactions yielded understanding of the varied enzymatic mechanisms implicated in converting medicines into metabolites that are more soluble in water. These conversations highlighted the complex process of drug metabolism, which is crucial for comprehending drug clearance, excretion, and possible interactions in clinical environments.</w:t>
      </w:r>
    </w:p>
    <w:p w14:paraId="52E966EC" w14:textId="77777777" w:rsidR="00460EB1" w:rsidRDefault="00460EB1" w:rsidP="00460EB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References </w:t>
      </w:r>
    </w:p>
    <w:p w14:paraId="5F1E4BA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 C. (2018). 3D printing technology is a feasible and efficient tool for pre-planning for image guided brachytherapy of cervix cancers. </w:t>
      </w:r>
      <w:r>
        <w:rPr>
          <w:rFonts w:ascii="Times New Roman" w:hAnsi="Times New Roman" w:cs="Times New Roman"/>
          <w:i/>
          <w:iCs/>
          <w:noProof/>
          <w:sz w:val="24"/>
          <w:szCs w:val="24"/>
        </w:rPr>
        <w:t>Brachytherapy</w:t>
      </w:r>
      <w:r>
        <w:rPr>
          <w:rFonts w:ascii="Times New Roman" w:hAnsi="Times New Roman" w:cs="Times New Roman"/>
          <w:noProof/>
          <w:sz w:val="24"/>
          <w:szCs w:val="24"/>
        </w:rPr>
        <w:t xml:space="preserve">, </w:t>
      </w:r>
      <w:r>
        <w:rPr>
          <w:rFonts w:ascii="Times New Roman" w:hAnsi="Times New Roman" w:cs="Times New Roman"/>
          <w:i/>
          <w:iCs/>
          <w:noProof/>
          <w:sz w:val="24"/>
          <w:szCs w:val="24"/>
        </w:rPr>
        <w:t>17</w:t>
      </w:r>
      <w:r>
        <w:rPr>
          <w:rFonts w:ascii="Times New Roman" w:hAnsi="Times New Roman" w:cs="Times New Roman"/>
          <w:noProof/>
          <w:sz w:val="24"/>
          <w:szCs w:val="24"/>
        </w:rPr>
        <w:t>(4).</w:t>
      </w:r>
    </w:p>
    <w:p w14:paraId="2848BF9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Adem, L., &amp; Tegegne, G. T. (2022). Medication Appropriateness, Polypharmacy, and Drug-Drug Interactions in Ambulatory Elderly Patients with Cardiovascular Diseases at Tikur Anbessa Specialized Hospital, Ethiopia. </w:t>
      </w:r>
      <w:r>
        <w:rPr>
          <w:rFonts w:ascii="Times New Roman" w:hAnsi="Times New Roman" w:cs="Times New Roman"/>
          <w:i/>
          <w:iCs/>
          <w:noProof/>
          <w:sz w:val="24"/>
          <w:szCs w:val="24"/>
        </w:rPr>
        <w:t>Clinical Interventions in Aging</w:t>
      </w:r>
      <w:r>
        <w:rPr>
          <w:rFonts w:ascii="Times New Roman" w:hAnsi="Times New Roman" w:cs="Times New Roman"/>
          <w:noProof/>
          <w:sz w:val="24"/>
          <w:szCs w:val="24"/>
        </w:rPr>
        <w:t xml:space="preserve">, </w:t>
      </w:r>
      <w:r>
        <w:rPr>
          <w:rFonts w:ascii="Times New Roman" w:hAnsi="Times New Roman" w:cs="Times New Roman"/>
          <w:i/>
          <w:iCs/>
          <w:noProof/>
          <w:sz w:val="24"/>
          <w:szCs w:val="24"/>
        </w:rPr>
        <w:t>17</w:t>
      </w:r>
      <w:r>
        <w:rPr>
          <w:rFonts w:ascii="Times New Roman" w:hAnsi="Times New Roman" w:cs="Times New Roman"/>
          <w:noProof/>
          <w:sz w:val="24"/>
          <w:szCs w:val="24"/>
        </w:rPr>
        <w:t>. https://doi.org/10.2147/CIA.S358633</w:t>
      </w:r>
    </w:p>
    <w:p w14:paraId="09EB357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Agiba, A. M. (2020). Liquisolid Technology: A State-of-the-Art Review on the Current State, Challenges, New and Emerging Technologies for Next Generation. </w:t>
      </w:r>
      <w:r>
        <w:rPr>
          <w:rFonts w:ascii="Times New Roman" w:hAnsi="Times New Roman" w:cs="Times New Roman"/>
          <w:i/>
          <w:iCs/>
          <w:noProof/>
          <w:sz w:val="24"/>
          <w:szCs w:val="24"/>
        </w:rPr>
        <w:t>Current Drug Delivery</w:t>
      </w:r>
      <w:r>
        <w:rPr>
          <w:rFonts w:ascii="Times New Roman" w:hAnsi="Times New Roman" w:cs="Times New Roman"/>
          <w:noProof/>
          <w:sz w:val="24"/>
          <w:szCs w:val="24"/>
        </w:rPr>
        <w:t xml:space="preserve">, </w:t>
      </w:r>
      <w:r>
        <w:rPr>
          <w:rFonts w:ascii="Times New Roman" w:hAnsi="Times New Roman" w:cs="Times New Roman"/>
          <w:i/>
          <w:iCs/>
          <w:noProof/>
          <w:sz w:val="24"/>
          <w:szCs w:val="24"/>
        </w:rPr>
        <w:t>17</w:t>
      </w:r>
      <w:r>
        <w:rPr>
          <w:rFonts w:ascii="Times New Roman" w:hAnsi="Times New Roman" w:cs="Times New Roman"/>
          <w:noProof/>
          <w:sz w:val="24"/>
          <w:szCs w:val="24"/>
        </w:rPr>
        <w:t>(9). https://doi.org/10.2174/1567201817999200729121914</w:t>
      </w:r>
    </w:p>
    <w:p w14:paraId="1F6DCFE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Ancrenaz, V., Daali, Y., Fontana, P., Besson, M., Samer, C., Dayer, P., &amp; Desmeules, J. (2011). Impact of Genetic Polymorphisms and Drug – Drug Interactions on Clopidogrel and Prasugrel Response Variability. </w:t>
      </w:r>
      <w:r>
        <w:rPr>
          <w:rFonts w:ascii="Times New Roman" w:hAnsi="Times New Roman" w:cs="Times New Roman"/>
          <w:i/>
          <w:iCs/>
          <w:noProof/>
          <w:sz w:val="24"/>
          <w:szCs w:val="24"/>
        </w:rPr>
        <w:t>Current Drug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11</w:t>
      </w:r>
      <w:r>
        <w:rPr>
          <w:rFonts w:ascii="Times New Roman" w:hAnsi="Times New Roman" w:cs="Times New Roman"/>
          <w:noProof/>
          <w:sz w:val="24"/>
          <w:szCs w:val="24"/>
        </w:rPr>
        <w:t>(8). https://doi.org/10.2174/138920010794233521</w:t>
      </w:r>
    </w:p>
    <w:p w14:paraId="52CD659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Badary, O. A. (2021). Pharmacogenomics and COVID-19: clinical implications of human </w:t>
      </w:r>
      <w:r>
        <w:rPr>
          <w:rFonts w:ascii="Times New Roman" w:hAnsi="Times New Roman" w:cs="Times New Roman"/>
          <w:noProof/>
          <w:sz w:val="24"/>
          <w:szCs w:val="24"/>
        </w:rPr>
        <w:lastRenderedPageBreak/>
        <w:t xml:space="preserve">genome interactions with repurposed drugs. In </w:t>
      </w:r>
      <w:r>
        <w:rPr>
          <w:rFonts w:ascii="Times New Roman" w:hAnsi="Times New Roman" w:cs="Times New Roman"/>
          <w:i/>
          <w:iCs/>
          <w:noProof/>
          <w:sz w:val="24"/>
          <w:szCs w:val="24"/>
        </w:rPr>
        <w:t>Pharmacogenomics Journal</w:t>
      </w:r>
      <w:r>
        <w:rPr>
          <w:rFonts w:ascii="Times New Roman" w:hAnsi="Times New Roman" w:cs="Times New Roman"/>
          <w:noProof/>
          <w:sz w:val="24"/>
          <w:szCs w:val="24"/>
        </w:rPr>
        <w:t xml:space="preserve"> (Vol. 21, Issue 3). https://doi.org/10.1038/s41397-021-00209-9</w:t>
      </w:r>
    </w:p>
    <w:p w14:paraId="2CBF7D8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Bagdasaryan, A. A., Chubarev, V. N., Smolyarchuk, E. A., Drozdov, V. N., Krasnyuk, I. I., Liu, J., Fan, R., Tse, E., Shikh, E. V., &amp; Sukocheva, O. A. (2022). Pharmacogenetics of Drug Metabolism: The Role of Gene Polymorphism in the Regulation of Doxorubicin Safety and Efficacy. In </w:t>
      </w:r>
      <w:r>
        <w:rPr>
          <w:rFonts w:ascii="Times New Roman" w:hAnsi="Times New Roman" w:cs="Times New Roman"/>
          <w:i/>
          <w:iCs/>
          <w:noProof/>
          <w:sz w:val="24"/>
          <w:szCs w:val="24"/>
        </w:rPr>
        <w:t>Cancers</w:t>
      </w:r>
      <w:r>
        <w:rPr>
          <w:rFonts w:ascii="Times New Roman" w:hAnsi="Times New Roman" w:cs="Times New Roman"/>
          <w:noProof/>
          <w:sz w:val="24"/>
          <w:szCs w:val="24"/>
        </w:rPr>
        <w:t xml:space="preserve"> (Vol. 14, Issue 21). https://doi.org/10.3390/cancers14215436</w:t>
      </w:r>
    </w:p>
    <w:p w14:paraId="493F101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Bailleul, G., Yang, G., Nicoll, C. R., Mattevi, A., Fraaije, M. W., &amp; Mascotti, M. L. (2023). Evolution of enzyme functionality in the flavin-containing monooxygenases. </w:t>
      </w:r>
      <w:r>
        <w:rPr>
          <w:rFonts w:ascii="Times New Roman" w:hAnsi="Times New Roman" w:cs="Times New Roman"/>
          <w:i/>
          <w:iCs/>
          <w:noProof/>
          <w:sz w:val="24"/>
          <w:szCs w:val="24"/>
        </w:rPr>
        <w:t>Nature Communications</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(1). https://doi.org/10.1038/s41467-023-36756-x</w:t>
      </w:r>
    </w:p>
    <w:p w14:paraId="1359F63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Beedham, C. (1997). The role of non-P450 enzymes in drug oxidation. In </w:t>
      </w:r>
      <w:r>
        <w:rPr>
          <w:rFonts w:ascii="Times New Roman" w:hAnsi="Times New Roman" w:cs="Times New Roman"/>
          <w:i/>
          <w:iCs/>
          <w:noProof/>
          <w:sz w:val="24"/>
          <w:szCs w:val="24"/>
        </w:rPr>
        <w:t>Pharmacy World and Science</w:t>
      </w:r>
      <w:r>
        <w:rPr>
          <w:rFonts w:ascii="Times New Roman" w:hAnsi="Times New Roman" w:cs="Times New Roman"/>
          <w:noProof/>
          <w:sz w:val="24"/>
          <w:szCs w:val="24"/>
        </w:rPr>
        <w:t xml:space="preserve"> (Vol. 19, Issue 6). https://doi.org/10.1023/A:1008668913093</w:t>
      </w:r>
    </w:p>
    <w:p w14:paraId="7D48437F"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Bertram-Ralph, E., &amp; Amare, M. (2023). Factors affecting drug absorption and distribution. In </w:t>
      </w:r>
      <w:r>
        <w:rPr>
          <w:rFonts w:ascii="Times New Roman" w:hAnsi="Times New Roman" w:cs="Times New Roman"/>
          <w:i/>
          <w:iCs/>
          <w:noProof/>
          <w:sz w:val="24"/>
          <w:szCs w:val="24"/>
        </w:rPr>
        <w:t>Anaesthesia and Intensive Care Medicine</w:t>
      </w:r>
      <w:r>
        <w:rPr>
          <w:rFonts w:ascii="Times New Roman" w:hAnsi="Times New Roman" w:cs="Times New Roman"/>
          <w:noProof/>
          <w:sz w:val="24"/>
          <w:szCs w:val="24"/>
        </w:rPr>
        <w:t xml:space="preserve"> (Vol. 24, Issue 4). https://doi.org/10.1016/j.mpaic.2022.12.023</w:t>
      </w:r>
    </w:p>
    <w:p w14:paraId="585247F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BrudaȘcă, I. (2015). Factori care influențează terapia cu antagoniști ai vitaminei K. In </w:t>
      </w:r>
      <w:r>
        <w:rPr>
          <w:rFonts w:ascii="Times New Roman" w:hAnsi="Times New Roman" w:cs="Times New Roman"/>
          <w:i/>
          <w:iCs/>
          <w:noProof/>
          <w:sz w:val="24"/>
          <w:szCs w:val="24"/>
        </w:rPr>
        <w:t>Revista Romana de Medicina de Laborator</w:t>
      </w:r>
      <w:r>
        <w:rPr>
          <w:rFonts w:ascii="Times New Roman" w:hAnsi="Times New Roman" w:cs="Times New Roman"/>
          <w:noProof/>
          <w:sz w:val="24"/>
          <w:szCs w:val="24"/>
        </w:rPr>
        <w:t xml:space="preserve"> (Vol. 23, Issue 2). https://doi.org/10.1515/rrlm-2015-0015</w:t>
      </w:r>
    </w:p>
    <w:p w14:paraId="679F86B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Cacabelos, R., Carril, J. C., Sanmartín, A., &amp; Cacabelos, P. (2019). Pharmacoepigenetic Processors: Epigenetic Drugs, Drug Resistance, Toxicoepigenetics, and Nutriepigenetics. In </w:t>
      </w:r>
      <w:r>
        <w:rPr>
          <w:rFonts w:ascii="Times New Roman" w:hAnsi="Times New Roman" w:cs="Times New Roman"/>
          <w:i/>
          <w:iCs/>
          <w:noProof/>
          <w:sz w:val="24"/>
          <w:szCs w:val="24"/>
        </w:rPr>
        <w:t>Pharmacoepigenetics</w:t>
      </w:r>
      <w:r>
        <w:rPr>
          <w:rFonts w:ascii="Times New Roman" w:hAnsi="Times New Roman" w:cs="Times New Roman"/>
          <w:noProof/>
          <w:sz w:val="24"/>
          <w:szCs w:val="24"/>
        </w:rPr>
        <w:t>. https://doi.org/10.1016/B978-0-12-813939-4.00006-1</w:t>
      </w:r>
    </w:p>
    <w:p w14:paraId="6DFF752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Camp, D., Garavelas, A., &amp; Campitelli, M. (2015). Analysis of Physicochemical Properties for Drugs of Natural Origin. </w:t>
      </w:r>
      <w:r>
        <w:rPr>
          <w:rFonts w:ascii="Times New Roman" w:hAnsi="Times New Roman" w:cs="Times New Roman"/>
          <w:i/>
          <w:iCs/>
          <w:noProof/>
          <w:sz w:val="24"/>
          <w:szCs w:val="24"/>
        </w:rPr>
        <w:t>Journal of Natural Products</w:t>
      </w:r>
      <w:r>
        <w:rPr>
          <w:rFonts w:ascii="Times New Roman" w:hAnsi="Times New Roman" w:cs="Times New Roman"/>
          <w:noProof/>
          <w:sz w:val="24"/>
          <w:szCs w:val="24"/>
        </w:rPr>
        <w:t xml:space="preserve">, </w:t>
      </w:r>
      <w:r>
        <w:rPr>
          <w:rFonts w:ascii="Times New Roman" w:hAnsi="Times New Roman" w:cs="Times New Roman"/>
          <w:i/>
          <w:iCs/>
          <w:noProof/>
          <w:sz w:val="24"/>
          <w:szCs w:val="24"/>
        </w:rPr>
        <w:t>78</w:t>
      </w:r>
      <w:r>
        <w:rPr>
          <w:rFonts w:ascii="Times New Roman" w:hAnsi="Times New Roman" w:cs="Times New Roman"/>
          <w:noProof/>
          <w:sz w:val="24"/>
          <w:szCs w:val="24"/>
        </w:rPr>
        <w:t xml:space="preserve">(6). </w:t>
      </w:r>
      <w:r>
        <w:rPr>
          <w:rFonts w:ascii="Times New Roman" w:hAnsi="Times New Roman" w:cs="Times New Roman"/>
          <w:noProof/>
          <w:sz w:val="24"/>
          <w:szCs w:val="24"/>
        </w:rPr>
        <w:lastRenderedPageBreak/>
        <w:t>https://doi.org/10.1021/acs.jnatprod.5b00255</w:t>
      </w:r>
    </w:p>
    <w:p w14:paraId="7C3EBAE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Cecchin, E., &amp; Stocco, G. (2020). Pharmacogenomics and personalized medicine. </w:t>
      </w:r>
      <w:r>
        <w:rPr>
          <w:rFonts w:ascii="Times New Roman" w:hAnsi="Times New Roman" w:cs="Times New Roman"/>
          <w:i/>
          <w:iCs/>
          <w:noProof/>
          <w:sz w:val="24"/>
          <w:szCs w:val="24"/>
        </w:rPr>
        <w:t>Genes</w:t>
      </w:r>
      <w:r>
        <w:rPr>
          <w:rFonts w:ascii="Times New Roman" w:hAnsi="Times New Roman" w:cs="Times New Roman"/>
          <w:noProof/>
          <w:sz w:val="24"/>
          <w:szCs w:val="24"/>
        </w:rPr>
        <w:t xml:space="preserve">, </w:t>
      </w:r>
      <w:r>
        <w:rPr>
          <w:rFonts w:ascii="Times New Roman" w:hAnsi="Times New Roman" w:cs="Times New Roman"/>
          <w:i/>
          <w:iCs/>
          <w:noProof/>
          <w:sz w:val="24"/>
          <w:szCs w:val="24"/>
        </w:rPr>
        <w:t>11</w:t>
      </w:r>
      <w:r>
        <w:rPr>
          <w:rFonts w:ascii="Times New Roman" w:hAnsi="Times New Roman" w:cs="Times New Roman"/>
          <w:noProof/>
          <w:sz w:val="24"/>
          <w:szCs w:val="24"/>
        </w:rPr>
        <w:t>(6). https://doi.org/10.3390/genes11060679</w:t>
      </w:r>
    </w:p>
    <w:p w14:paraId="0D95FAE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Cheng, Y., Xu, Z., Ma, M., &amp; Xu, T. (2008). Dendrimers as drug carriers: Applications in different routes of drug administration. </w:t>
      </w:r>
      <w:r>
        <w:rPr>
          <w:rFonts w:ascii="Times New Roman" w:hAnsi="Times New Roman" w:cs="Times New Roman"/>
          <w:i/>
          <w:iCs/>
          <w:noProof/>
          <w:sz w:val="24"/>
          <w:szCs w:val="24"/>
        </w:rPr>
        <w:t>Journal of Pharmaceutical Sciences</w:t>
      </w:r>
      <w:r>
        <w:rPr>
          <w:rFonts w:ascii="Times New Roman" w:hAnsi="Times New Roman" w:cs="Times New Roman"/>
          <w:noProof/>
          <w:sz w:val="24"/>
          <w:szCs w:val="24"/>
        </w:rPr>
        <w:t xml:space="preserve">, </w:t>
      </w:r>
      <w:r>
        <w:rPr>
          <w:rFonts w:ascii="Times New Roman" w:hAnsi="Times New Roman" w:cs="Times New Roman"/>
          <w:i/>
          <w:iCs/>
          <w:noProof/>
          <w:sz w:val="24"/>
          <w:szCs w:val="24"/>
        </w:rPr>
        <w:t>97</w:t>
      </w:r>
      <w:r>
        <w:rPr>
          <w:rFonts w:ascii="Times New Roman" w:hAnsi="Times New Roman" w:cs="Times New Roman"/>
          <w:noProof/>
          <w:sz w:val="24"/>
          <w:szCs w:val="24"/>
        </w:rPr>
        <w:t>(1). https://doi.org/10.1002/jps.21079</w:t>
      </w:r>
    </w:p>
    <w:p w14:paraId="4DC6490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Choi, J. Y., Nowell, S. A., Blanco, J. G., &amp; Ambrosone, C. B. (2006). The role of genetic variability in drug metabolism pathways in breast cancer prognosis. In </w:t>
      </w:r>
      <w:r>
        <w:rPr>
          <w:rFonts w:ascii="Times New Roman" w:hAnsi="Times New Roman" w:cs="Times New Roman"/>
          <w:i/>
          <w:iCs/>
          <w:noProof/>
          <w:sz w:val="24"/>
          <w:szCs w:val="24"/>
        </w:rPr>
        <w:t>Pharmacogenomics</w:t>
      </w:r>
      <w:r>
        <w:rPr>
          <w:rFonts w:ascii="Times New Roman" w:hAnsi="Times New Roman" w:cs="Times New Roman"/>
          <w:noProof/>
          <w:sz w:val="24"/>
          <w:szCs w:val="24"/>
        </w:rPr>
        <w:t xml:space="preserve"> (Vol. 7, Issue 4). https://doi.org/10.2217/14622416.7.4.613</w:t>
      </w:r>
    </w:p>
    <w:p w14:paraId="4AED6438"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Clarke, G., Sandhu, K. V., Griffin, B. T., Dinan, T. G., Cryan, J. F., &amp; Hyland, N. P. (2019). Gut reactions: Breaking down xenobiotic–microbiome interactions. </w:t>
      </w:r>
      <w:r>
        <w:rPr>
          <w:rFonts w:ascii="Times New Roman" w:hAnsi="Times New Roman" w:cs="Times New Roman"/>
          <w:i/>
          <w:iCs/>
          <w:noProof/>
          <w:sz w:val="24"/>
          <w:szCs w:val="24"/>
        </w:rPr>
        <w:t>Pharmacological Reviews</w:t>
      </w:r>
      <w:r>
        <w:rPr>
          <w:rFonts w:ascii="Times New Roman" w:hAnsi="Times New Roman" w:cs="Times New Roman"/>
          <w:noProof/>
          <w:sz w:val="24"/>
          <w:szCs w:val="24"/>
        </w:rPr>
        <w:t xml:space="preserve">, </w:t>
      </w:r>
      <w:r>
        <w:rPr>
          <w:rFonts w:ascii="Times New Roman" w:hAnsi="Times New Roman" w:cs="Times New Roman"/>
          <w:i/>
          <w:iCs/>
          <w:noProof/>
          <w:sz w:val="24"/>
          <w:szCs w:val="24"/>
        </w:rPr>
        <w:t>71</w:t>
      </w:r>
      <w:r>
        <w:rPr>
          <w:rFonts w:ascii="Times New Roman" w:hAnsi="Times New Roman" w:cs="Times New Roman"/>
          <w:noProof/>
          <w:sz w:val="24"/>
          <w:szCs w:val="24"/>
        </w:rPr>
        <w:t>(2). https://doi.org/10.1124/pr.118.015768</w:t>
      </w:r>
    </w:p>
    <w:p w14:paraId="102A92C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Costa, G. N. O., Magno, L. A. V., Santana, C. V. N., Konstantinovas, C., Saito, S. T., Machado, M., Di Pietro, G., Bastos-Rodrigues, L., Miranda, D. M., De Marco, L. A., Romano-Silva, M. A., &amp; Rios-Santos, F. (2012). Genetic interaction between NAT2, GSTM1, GSTT1, CYP2E1, and environmental factors is associated with adverse reactions to anti-tuberculosis drugs. </w:t>
      </w:r>
      <w:r>
        <w:rPr>
          <w:rFonts w:ascii="Times New Roman" w:hAnsi="Times New Roman" w:cs="Times New Roman"/>
          <w:i/>
          <w:iCs/>
          <w:noProof/>
          <w:sz w:val="24"/>
          <w:szCs w:val="24"/>
        </w:rPr>
        <w:t>Molecular Diagnosis and Therapy</w:t>
      </w:r>
      <w:r>
        <w:rPr>
          <w:rFonts w:ascii="Times New Roman" w:hAnsi="Times New Roman" w:cs="Times New Roman"/>
          <w:noProof/>
          <w:sz w:val="24"/>
          <w:szCs w:val="24"/>
        </w:rPr>
        <w:t xml:space="preserve">, </w:t>
      </w:r>
      <w:r>
        <w:rPr>
          <w:rFonts w:ascii="Times New Roman" w:hAnsi="Times New Roman" w:cs="Times New Roman"/>
          <w:i/>
          <w:iCs/>
          <w:noProof/>
          <w:sz w:val="24"/>
          <w:szCs w:val="24"/>
        </w:rPr>
        <w:t>16</w:t>
      </w:r>
      <w:r>
        <w:rPr>
          <w:rFonts w:ascii="Times New Roman" w:hAnsi="Times New Roman" w:cs="Times New Roman"/>
          <w:noProof/>
          <w:sz w:val="24"/>
          <w:szCs w:val="24"/>
        </w:rPr>
        <w:t>(4). https://doi.org/10.2165/11634480-000000000-00000</w:t>
      </w:r>
    </w:p>
    <w:p w14:paraId="4C4DE5B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Cupp, M. J., &amp; Tract, T. S. (1998). Cytochrome P450: New nomenclature and clinical implications. In </w:t>
      </w:r>
      <w:r>
        <w:rPr>
          <w:rFonts w:ascii="Times New Roman" w:hAnsi="Times New Roman" w:cs="Times New Roman"/>
          <w:i/>
          <w:iCs/>
          <w:noProof/>
          <w:sz w:val="24"/>
          <w:szCs w:val="24"/>
        </w:rPr>
        <w:t>American Family Physician</w:t>
      </w:r>
      <w:r>
        <w:rPr>
          <w:rFonts w:ascii="Times New Roman" w:hAnsi="Times New Roman" w:cs="Times New Roman"/>
          <w:noProof/>
          <w:sz w:val="24"/>
          <w:szCs w:val="24"/>
        </w:rPr>
        <w:t xml:space="preserve"> (Vol. 57, Issue 1).</w:t>
      </w:r>
    </w:p>
    <w:p w14:paraId="637255E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Daina, A., Michielin, O., &amp; Zoete, V. (2017). SwissADME: A free web tool to evaluate pharmacokinetics, drug-likeness and medicinal chemistry friendliness of small molecules. </w:t>
      </w:r>
      <w:r>
        <w:rPr>
          <w:rFonts w:ascii="Times New Roman" w:hAnsi="Times New Roman" w:cs="Times New Roman"/>
          <w:i/>
          <w:iCs/>
          <w:noProof/>
          <w:sz w:val="24"/>
          <w:szCs w:val="24"/>
        </w:rPr>
        <w:t>Scientific Reports</w:t>
      </w:r>
      <w:r>
        <w:rPr>
          <w:rFonts w:ascii="Times New Roman" w:hAnsi="Times New Roman" w:cs="Times New Roman"/>
          <w:noProof/>
          <w:sz w:val="24"/>
          <w:szCs w:val="24"/>
        </w:rPr>
        <w:t xml:space="preserve">, </w:t>
      </w:r>
      <w:r>
        <w:rPr>
          <w:rFonts w:ascii="Times New Roman" w:hAnsi="Times New Roman" w:cs="Times New Roman"/>
          <w:i/>
          <w:iCs/>
          <w:noProof/>
          <w:sz w:val="24"/>
          <w:szCs w:val="24"/>
        </w:rPr>
        <w:t>7</w:t>
      </w:r>
      <w:r>
        <w:rPr>
          <w:rFonts w:ascii="Times New Roman" w:hAnsi="Times New Roman" w:cs="Times New Roman"/>
          <w:noProof/>
          <w:sz w:val="24"/>
          <w:szCs w:val="24"/>
        </w:rPr>
        <w:t>. https://doi.org/10.1038/srep42717</w:t>
      </w:r>
    </w:p>
    <w:p w14:paraId="3456502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Dasari, S., Ganjayi, M. S., Yellanurkonda, P., Basha, S., &amp; Meriga, B. (2018). Role of glutathione S-transferases in detoxification of a polycyclic aromatic hydrocarbon, methylcholanthrene. In </w:t>
      </w:r>
      <w:r>
        <w:rPr>
          <w:rFonts w:ascii="Times New Roman" w:hAnsi="Times New Roman" w:cs="Times New Roman"/>
          <w:i/>
          <w:iCs/>
          <w:noProof/>
          <w:sz w:val="24"/>
          <w:szCs w:val="24"/>
        </w:rPr>
        <w:t>Chemico-Biological Interactions</w:t>
      </w:r>
      <w:r>
        <w:rPr>
          <w:rFonts w:ascii="Times New Roman" w:hAnsi="Times New Roman" w:cs="Times New Roman"/>
          <w:noProof/>
          <w:sz w:val="24"/>
          <w:szCs w:val="24"/>
        </w:rPr>
        <w:t xml:space="preserve"> (Vol. 294). https://doi.org/10.1016/j.cbi.2018.08.023</w:t>
      </w:r>
    </w:p>
    <w:p w14:paraId="6E4D4B0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De Sousa Mendes, M., Orton, A. L., Humphries, H. E., Jones, B., Gardner, I., Neuhoff, S., &amp; Reddy, V. P. (2020). A laboratory-specific scaling factor to predict the in vivo human clearance of aldehyde oxidase substrates. </w:t>
      </w:r>
      <w:r>
        <w:rPr>
          <w:rFonts w:ascii="Times New Roman" w:hAnsi="Times New Roman" w:cs="Times New Roman"/>
          <w:i/>
          <w:iCs/>
          <w:noProof/>
          <w:sz w:val="24"/>
          <w:szCs w:val="24"/>
        </w:rPr>
        <w:t>Drug Metabolism and Disposition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48</w:t>
      </w:r>
      <w:r>
        <w:rPr>
          <w:rFonts w:ascii="Times New Roman" w:hAnsi="Times New Roman" w:cs="Times New Roman"/>
          <w:noProof/>
          <w:sz w:val="24"/>
          <w:szCs w:val="24"/>
        </w:rPr>
        <w:t>(11). https://doi.org/10.1124/DMD.120.000082</w:t>
      </w:r>
    </w:p>
    <w:p w14:paraId="2643E5C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Dhabaan, G., Chahin, A., Buhaish, A., &amp; Shorman, M. (2021). COVID-19 pandemic in Yemen: A questionnaire based survey, what do we know? </w:t>
      </w:r>
      <w:r>
        <w:rPr>
          <w:rFonts w:ascii="Times New Roman" w:hAnsi="Times New Roman" w:cs="Times New Roman"/>
          <w:i/>
          <w:iCs/>
          <w:noProof/>
          <w:sz w:val="24"/>
          <w:szCs w:val="24"/>
        </w:rPr>
        <w:t>Journal of Infection in Developing Countries</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(12). https://doi.org/10.3855/jidc.13966</w:t>
      </w:r>
    </w:p>
    <w:p w14:paraId="15D2803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Dhiman, S., Kaur, P., &amp; Arora, S. (2012). Solid dispersions: Opportunity in drug delivery system. In </w:t>
      </w:r>
      <w:r>
        <w:rPr>
          <w:rFonts w:ascii="Times New Roman" w:hAnsi="Times New Roman" w:cs="Times New Roman"/>
          <w:i/>
          <w:iCs/>
          <w:noProof/>
          <w:sz w:val="24"/>
          <w:szCs w:val="24"/>
        </w:rPr>
        <w:t>Drug Invention Today</w:t>
      </w:r>
      <w:r>
        <w:rPr>
          <w:rFonts w:ascii="Times New Roman" w:hAnsi="Times New Roman" w:cs="Times New Roman"/>
          <w:noProof/>
          <w:sz w:val="24"/>
          <w:szCs w:val="24"/>
        </w:rPr>
        <w:t xml:space="preserve"> (Vol. 4, Issue 10).</w:t>
      </w:r>
    </w:p>
    <w:p w14:paraId="478DD36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Di, L. (2018). The Impact of Carboxylesterases in Drug Metabolism and PharmacokineticsDi, L. (2018). The Impact of Carboxylesterases in Drug Metabolism and Pharmacokinetics. Current Drug Metabolism, 20(2). https://doi.org/10.2174/1389200219666180821094502. </w:t>
      </w:r>
      <w:r>
        <w:rPr>
          <w:rFonts w:ascii="Times New Roman" w:hAnsi="Times New Roman" w:cs="Times New Roman"/>
          <w:i/>
          <w:iCs/>
          <w:noProof/>
          <w:sz w:val="24"/>
          <w:szCs w:val="24"/>
        </w:rPr>
        <w:t>Current Drug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20</w:t>
      </w:r>
      <w:r>
        <w:rPr>
          <w:rFonts w:ascii="Times New Roman" w:hAnsi="Times New Roman" w:cs="Times New Roman"/>
          <w:noProof/>
          <w:sz w:val="24"/>
          <w:szCs w:val="24"/>
        </w:rPr>
        <w:t>(2). https://doi.org/10.2174/1389200219666180821094502</w:t>
      </w:r>
    </w:p>
    <w:p w14:paraId="26F35E2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Djarami, J. (2021). Jurnal Pengabdian Ilmu Kesehatan Penyuluhan Tentang Mekanisme Kerja Obat Didalam Tubuh Di Desa Hila. </w:t>
      </w:r>
      <w:r>
        <w:rPr>
          <w:rFonts w:ascii="Times New Roman" w:hAnsi="Times New Roman" w:cs="Times New Roman"/>
          <w:i/>
          <w:iCs/>
          <w:noProof/>
          <w:sz w:val="24"/>
          <w:szCs w:val="24"/>
        </w:rPr>
        <w:t>Jurnal Pengabdian Ilmu Kesehatan</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(3).</w:t>
      </w:r>
    </w:p>
    <w:p w14:paraId="616FA1D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Donthi, M. R., Munnangi, S. R., Krishna, K. V., Saha, R. N., Singhvi, G., &amp; Dubey, S. K. (2023). Nanoemulgel: A Novel Nano Carrier as a Tool for Topical Drug Delivery. In </w:t>
      </w:r>
      <w:r>
        <w:rPr>
          <w:rFonts w:ascii="Times New Roman" w:hAnsi="Times New Roman" w:cs="Times New Roman"/>
          <w:i/>
          <w:iCs/>
          <w:noProof/>
          <w:sz w:val="24"/>
          <w:szCs w:val="24"/>
        </w:rPr>
        <w:t>Pharmaceutics</w:t>
      </w:r>
      <w:r>
        <w:rPr>
          <w:rFonts w:ascii="Times New Roman" w:hAnsi="Times New Roman" w:cs="Times New Roman"/>
          <w:noProof/>
          <w:sz w:val="24"/>
          <w:szCs w:val="24"/>
        </w:rPr>
        <w:t xml:space="preserve"> (Vol. 15, Issue 1). https://doi.org/10.3390/pharmaceutics15010164</w:t>
      </w:r>
    </w:p>
    <w:p w14:paraId="12A053E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Dressman, J. B., &amp; Thelen, K. (2009). Cytochrome P450-mediated metabolism in the human gut wall. </w:t>
      </w:r>
      <w:r>
        <w:rPr>
          <w:rFonts w:ascii="Times New Roman" w:hAnsi="Times New Roman" w:cs="Times New Roman"/>
          <w:i/>
          <w:iCs/>
          <w:noProof/>
          <w:sz w:val="24"/>
          <w:szCs w:val="24"/>
        </w:rPr>
        <w:t>Journal of Pharmacy and Pharmacology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61</w:t>
      </w:r>
      <w:r>
        <w:rPr>
          <w:rFonts w:ascii="Times New Roman" w:hAnsi="Times New Roman" w:cs="Times New Roman"/>
          <w:noProof/>
          <w:sz w:val="24"/>
          <w:szCs w:val="24"/>
        </w:rPr>
        <w:t>(5). https://doi.org/10.1211/jpp/61.05.0002</w:t>
      </w:r>
    </w:p>
    <w:p w14:paraId="2BBF917F"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Duan, P., Wu, F., Moore, J. N., Fisher, J., Crentsil, V., Gonzalez, D., Zhang, L., Burckart, G. J., &amp; Wang, J. (2019). Assessing CYP2C19 Ontogeny in Neonates and Infants Using Physiologically Based Pharmacokinetic Models: Impact of Enzyme Maturation Versus Inhibition. </w:t>
      </w:r>
      <w:r>
        <w:rPr>
          <w:rFonts w:ascii="Times New Roman" w:hAnsi="Times New Roman" w:cs="Times New Roman"/>
          <w:i/>
          <w:iCs/>
          <w:noProof/>
          <w:sz w:val="24"/>
          <w:szCs w:val="24"/>
        </w:rPr>
        <w:t>CPT: Pharmacometrics and Systems Pharmacology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8</w:t>
      </w:r>
      <w:r>
        <w:rPr>
          <w:rFonts w:ascii="Times New Roman" w:hAnsi="Times New Roman" w:cs="Times New Roman"/>
          <w:noProof/>
          <w:sz w:val="24"/>
          <w:szCs w:val="24"/>
        </w:rPr>
        <w:t>(3). https://doi.org/10.1002/psp4.12350</w:t>
      </w:r>
    </w:p>
    <w:p w14:paraId="6F3D810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Eusuf, D. V., &amp; Thomas, E. (2022). Pharmacokinetic variation. In </w:t>
      </w:r>
      <w:r>
        <w:rPr>
          <w:rFonts w:ascii="Times New Roman" w:hAnsi="Times New Roman" w:cs="Times New Roman"/>
          <w:i/>
          <w:iCs/>
          <w:noProof/>
          <w:sz w:val="24"/>
          <w:szCs w:val="24"/>
        </w:rPr>
        <w:t>Anaesthesia and Intensive Care Medicine</w:t>
      </w:r>
      <w:r>
        <w:rPr>
          <w:rFonts w:ascii="Times New Roman" w:hAnsi="Times New Roman" w:cs="Times New Roman"/>
          <w:noProof/>
          <w:sz w:val="24"/>
          <w:szCs w:val="24"/>
        </w:rPr>
        <w:t xml:space="preserve"> (Vol. 23, Issue 1). https://doi.org/10.1016/j.mpaic.2021.10.014</w:t>
      </w:r>
    </w:p>
    <w:p w14:paraId="258C368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Ewoldt, T. M. J., Abdulla, A., Hunfeld, N., Li, L., Smeets, T. J. L., Gommers, D., Koch, B. C. P., &amp; Endeman, H. (2022). The impact of sepsis on hepatic drug metabolism in critically ill patients: a narrative review. In </w:t>
      </w:r>
      <w:r>
        <w:rPr>
          <w:rFonts w:ascii="Times New Roman" w:hAnsi="Times New Roman" w:cs="Times New Roman"/>
          <w:i/>
          <w:iCs/>
          <w:noProof/>
          <w:sz w:val="24"/>
          <w:szCs w:val="24"/>
        </w:rPr>
        <w:t>Expert Opinion on Drug Metabolism and Toxicology</w:t>
      </w:r>
      <w:r>
        <w:rPr>
          <w:rFonts w:ascii="Times New Roman" w:hAnsi="Times New Roman" w:cs="Times New Roman"/>
          <w:noProof/>
          <w:sz w:val="24"/>
          <w:szCs w:val="24"/>
        </w:rPr>
        <w:t xml:space="preserve"> (Vol. 18, Issue 6). https://doi.org/10.1080/17425255.2022.2106215</w:t>
      </w:r>
    </w:p>
    <w:p w14:paraId="0F15718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 D. S. (2011). Use of genetic markers and gene-diet interactions for interrogating population-level causal influences of diet on health. </w:t>
      </w:r>
      <w:r>
        <w:rPr>
          <w:rFonts w:ascii="Times New Roman" w:hAnsi="Times New Roman" w:cs="Times New Roman"/>
          <w:i/>
          <w:iCs/>
          <w:noProof/>
          <w:sz w:val="24"/>
          <w:szCs w:val="24"/>
        </w:rPr>
        <w:t>Genes and Nutrition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(1).</w:t>
      </w:r>
    </w:p>
    <w:p w14:paraId="44B010C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García, M. A., Hensler, G., Al-Gousous, J., Pielenhofer, J., Wagner, M., Lennernäs, H., &amp; Langguth, P. (2023). Novel food drug interaction mechanism involving acyclovir, chitosan and endogenous mucus. </w:t>
      </w:r>
      <w:r>
        <w:rPr>
          <w:rFonts w:ascii="Times New Roman" w:hAnsi="Times New Roman" w:cs="Times New Roman"/>
          <w:i/>
          <w:iCs/>
          <w:noProof/>
          <w:sz w:val="24"/>
          <w:szCs w:val="24"/>
        </w:rPr>
        <w:t>Drug Metabolism and Pharmacokinetics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49</w:t>
      </w:r>
      <w:r>
        <w:rPr>
          <w:rFonts w:ascii="Times New Roman" w:hAnsi="Times New Roman" w:cs="Times New Roman"/>
          <w:noProof/>
          <w:sz w:val="24"/>
          <w:szCs w:val="24"/>
        </w:rPr>
        <w:t>. https://doi.org/10.1016/j.dmpk.2023.100491</w:t>
      </w:r>
    </w:p>
    <w:p w14:paraId="3180242B"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Ghorai, S. M., Deep, A., Magoo, D., Gupta, C., &amp; Gupta, N. (2023). Cell-Penetrating and Targeted Peptides Delivery Systems as Potential Pharmaceutical Carriers for Enhanced Delivery across the Blood–Brain Barrier (BBB). In </w:t>
      </w:r>
      <w:r>
        <w:rPr>
          <w:rFonts w:ascii="Times New Roman" w:hAnsi="Times New Roman" w:cs="Times New Roman"/>
          <w:i/>
          <w:iCs/>
          <w:noProof/>
          <w:sz w:val="24"/>
          <w:szCs w:val="24"/>
        </w:rPr>
        <w:t>Pharmaceutics</w:t>
      </w:r>
      <w:r>
        <w:rPr>
          <w:rFonts w:ascii="Times New Roman" w:hAnsi="Times New Roman" w:cs="Times New Roman"/>
          <w:noProof/>
          <w:sz w:val="24"/>
          <w:szCs w:val="24"/>
        </w:rPr>
        <w:t xml:space="preserve"> (Vol. 15, Issue 7). </w:t>
      </w:r>
      <w:r>
        <w:rPr>
          <w:rFonts w:ascii="Times New Roman" w:hAnsi="Times New Roman" w:cs="Times New Roman"/>
          <w:noProof/>
          <w:sz w:val="24"/>
          <w:szCs w:val="24"/>
        </w:rPr>
        <w:lastRenderedPageBreak/>
        <w:t>https://doi.org/10.3390/pharmaceutics15071999</w:t>
      </w:r>
    </w:p>
    <w:p w14:paraId="1BF84DDB"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Ghosal, D., Ghosh, S., Dutta, T. K., &amp; Ahn, Y. (2016). Current state of knowledge in microbial degradation of polycyclic aromatic hydrocarbons (PAHs): A review. In </w:t>
      </w:r>
      <w:r>
        <w:rPr>
          <w:rFonts w:ascii="Times New Roman" w:hAnsi="Times New Roman" w:cs="Times New Roman"/>
          <w:i/>
          <w:iCs/>
          <w:noProof/>
          <w:sz w:val="24"/>
          <w:szCs w:val="24"/>
        </w:rPr>
        <w:t>Frontiers in Microbiology</w:t>
      </w:r>
      <w:r>
        <w:rPr>
          <w:rFonts w:ascii="Times New Roman" w:hAnsi="Times New Roman" w:cs="Times New Roman"/>
          <w:noProof/>
          <w:sz w:val="24"/>
          <w:szCs w:val="24"/>
        </w:rPr>
        <w:t xml:space="preserve"> (Vol. 7, Issue AUG). https://doi.org/10.3389/fmicb.2016.01369</w:t>
      </w:r>
    </w:p>
    <w:p w14:paraId="1FCF81EF"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Goričar, K., Dolžan, V., &amp; Lenassi, M. (2021). Extracellular Vesicles: A Novel Tool Facilitating Personalized Medicine and Pharmacogenomics in Oncology. In </w:t>
      </w:r>
      <w:r>
        <w:rPr>
          <w:rFonts w:ascii="Times New Roman" w:hAnsi="Times New Roman" w:cs="Times New Roman"/>
          <w:i/>
          <w:iCs/>
          <w:noProof/>
          <w:sz w:val="24"/>
          <w:szCs w:val="24"/>
        </w:rPr>
        <w:t>Frontiers in Pharmacology</w:t>
      </w:r>
      <w:r>
        <w:rPr>
          <w:rFonts w:ascii="Times New Roman" w:hAnsi="Times New Roman" w:cs="Times New Roman"/>
          <w:noProof/>
          <w:sz w:val="24"/>
          <w:szCs w:val="24"/>
        </w:rPr>
        <w:t xml:space="preserve"> (Vol. 12). https://doi.org/10.3389/fphar.2021.671298</w:t>
      </w:r>
    </w:p>
    <w:p w14:paraId="76B86A3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Hage, C., Gremse, F., Griessinger, C. M., Maurer, A., Hoffmann, S. H. L., Osl, F., Pichler, B. J., Kiessling, F., Scheuer, W., &amp; Pöschinger, T. (2018). Comparison of the accuracy of FMT/CT and PET/MRI for the assessment of antibody biodistribution in squamous cell carcinoma xenografts. </w:t>
      </w:r>
      <w:r>
        <w:rPr>
          <w:rFonts w:ascii="Times New Roman" w:hAnsi="Times New Roman" w:cs="Times New Roman"/>
          <w:i/>
          <w:iCs/>
          <w:noProof/>
          <w:sz w:val="24"/>
          <w:szCs w:val="24"/>
        </w:rPr>
        <w:t>Journal of Nuclear Medicine</w:t>
      </w:r>
      <w:r>
        <w:rPr>
          <w:rFonts w:ascii="Times New Roman" w:hAnsi="Times New Roman" w:cs="Times New Roman"/>
          <w:noProof/>
          <w:sz w:val="24"/>
          <w:szCs w:val="24"/>
        </w:rPr>
        <w:t xml:space="preserve">, </w:t>
      </w:r>
      <w:r>
        <w:rPr>
          <w:rFonts w:ascii="Times New Roman" w:hAnsi="Times New Roman" w:cs="Times New Roman"/>
          <w:i/>
          <w:iCs/>
          <w:noProof/>
          <w:sz w:val="24"/>
          <w:szCs w:val="24"/>
        </w:rPr>
        <w:t>59</w:t>
      </w:r>
      <w:r>
        <w:rPr>
          <w:rFonts w:ascii="Times New Roman" w:hAnsi="Times New Roman" w:cs="Times New Roman"/>
          <w:noProof/>
          <w:sz w:val="24"/>
          <w:szCs w:val="24"/>
        </w:rPr>
        <w:t>(1). https://doi.org/10.2967/jnumed.117.197178</w:t>
      </w:r>
    </w:p>
    <w:p w14:paraId="1BCFA94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Hao, D.-C., Ge, G.-B., Wang, P., &amp; Yang, L. (2018). Impact of Drug Metabolism/Pharmacokinetics and their Relevance Upon Taxus-based Drug Development. </w:t>
      </w:r>
      <w:r>
        <w:rPr>
          <w:rFonts w:ascii="Times New Roman" w:hAnsi="Times New Roman" w:cs="Times New Roman"/>
          <w:i/>
          <w:iCs/>
          <w:noProof/>
          <w:sz w:val="24"/>
          <w:szCs w:val="24"/>
        </w:rPr>
        <w:t>Current Drug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19</w:t>
      </w:r>
      <w:r>
        <w:rPr>
          <w:rFonts w:ascii="Times New Roman" w:hAnsi="Times New Roman" w:cs="Times New Roman"/>
          <w:noProof/>
          <w:sz w:val="24"/>
          <w:szCs w:val="24"/>
        </w:rPr>
        <w:t>(11). https://doi.org/10.2174/1389200219666180523094635</w:t>
      </w:r>
    </w:p>
    <w:p w14:paraId="089D046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Hao, D.-C., &amp; Xiao, P. (2019). Impact of Drug Metabolism/Pharmacokinetics and their Relevance Upon Traditional Medicine-based Cardiovascular Drug Research. </w:t>
      </w:r>
      <w:r>
        <w:rPr>
          <w:rFonts w:ascii="Times New Roman" w:hAnsi="Times New Roman" w:cs="Times New Roman"/>
          <w:i/>
          <w:iCs/>
          <w:noProof/>
          <w:sz w:val="24"/>
          <w:szCs w:val="24"/>
        </w:rPr>
        <w:t>Current Drug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20</w:t>
      </w:r>
      <w:r>
        <w:rPr>
          <w:rFonts w:ascii="Times New Roman" w:hAnsi="Times New Roman" w:cs="Times New Roman"/>
          <w:noProof/>
          <w:sz w:val="24"/>
          <w:szCs w:val="24"/>
        </w:rPr>
        <w:t>(7). https://doi.org/10.2174/1389200220666190618101526</w:t>
      </w:r>
    </w:p>
    <w:p w14:paraId="0ABE721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He, Y., Yang, T., Du, Y., Qin, L., Ma, F., Wu, Z., Ling, H., Yang, L., Wang, Z., Zhou, Q., Ge, G., &amp; Lu, Y. (2020). High fat diet significantly changed the global gene expression profile involved in hepatic drug metabolism and pharmacokinetic system in mice. </w:t>
      </w:r>
      <w:r>
        <w:rPr>
          <w:rFonts w:ascii="Times New Roman" w:hAnsi="Times New Roman" w:cs="Times New Roman"/>
          <w:i/>
          <w:iCs/>
          <w:noProof/>
          <w:sz w:val="24"/>
          <w:szCs w:val="24"/>
        </w:rPr>
        <w:t>Nutrition and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17</w:t>
      </w:r>
      <w:r>
        <w:rPr>
          <w:rFonts w:ascii="Times New Roman" w:hAnsi="Times New Roman" w:cs="Times New Roman"/>
          <w:noProof/>
          <w:sz w:val="24"/>
          <w:szCs w:val="24"/>
        </w:rPr>
        <w:t>(1). https://doi.org/10.1186/s12986-020-00456-w</w:t>
      </w:r>
    </w:p>
    <w:p w14:paraId="472C405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Hermann, M., Carstens, N., Kvinge, L., Fjell, A., Wennersberg, M., Folleso, K., Skaug, K., </w:t>
      </w:r>
      <w:r>
        <w:rPr>
          <w:rFonts w:ascii="Times New Roman" w:hAnsi="Times New Roman" w:cs="Times New Roman"/>
          <w:noProof/>
          <w:sz w:val="24"/>
          <w:szCs w:val="24"/>
        </w:rPr>
        <w:lastRenderedPageBreak/>
        <w:t xml:space="preserve">Seiger, A., Cronfalk, B. S., &amp; Bostrom, A. M. (2021). Polypharmacy and potential drug–drug interactions in home-dwelling older people – a cross-sectional study. </w:t>
      </w:r>
      <w:r>
        <w:rPr>
          <w:rFonts w:ascii="Times New Roman" w:hAnsi="Times New Roman" w:cs="Times New Roman"/>
          <w:i/>
          <w:iCs/>
          <w:noProof/>
          <w:sz w:val="24"/>
          <w:szCs w:val="24"/>
        </w:rPr>
        <w:t>Journal of Multidisciplinary Healthcare</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 https://doi.org/10.2147/JMDH.S297423</w:t>
      </w:r>
    </w:p>
    <w:p w14:paraId="07ADFF5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Hoener, B. A., &amp; Benet, L. Z. (2002). Factors influencing drug absorption and drug availability. In </w:t>
      </w:r>
      <w:r>
        <w:rPr>
          <w:rFonts w:ascii="Times New Roman" w:hAnsi="Times New Roman" w:cs="Times New Roman"/>
          <w:i/>
          <w:iCs/>
          <w:noProof/>
          <w:sz w:val="24"/>
          <w:szCs w:val="24"/>
        </w:rPr>
        <w:t>Modern Pharmaceutics, Fourth Edition, Revised and Expanded</w:t>
      </w:r>
      <w:r>
        <w:rPr>
          <w:rFonts w:ascii="Times New Roman" w:hAnsi="Times New Roman" w:cs="Times New Roman"/>
          <w:noProof/>
          <w:sz w:val="24"/>
          <w:szCs w:val="24"/>
        </w:rPr>
        <w:t>. https://doi.org/10.1201/9780824744694-7</w:t>
      </w:r>
    </w:p>
    <w:p w14:paraId="392A428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Jancova, P., Anzenbacher, P., &amp; Anzenbacherova, E. (2010). Phase II drug metabolizing enzymes. </w:t>
      </w:r>
      <w:r>
        <w:rPr>
          <w:rFonts w:ascii="Times New Roman" w:hAnsi="Times New Roman" w:cs="Times New Roman"/>
          <w:i/>
          <w:iCs/>
          <w:noProof/>
          <w:sz w:val="24"/>
          <w:szCs w:val="24"/>
        </w:rPr>
        <w:t>Biomedical Papers</w:t>
      </w:r>
      <w:r>
        <w:rPr>
          <w:rFonts w:ascii="Times New Roman" w:hAnsi="Times New Roman" w:cs="Times New Roman"/>
          <w:noProof/>
          <w:sz w:val="24"/>
          <w:szCs w:val="24"/>
        </w:rPr>
        <w:t xml:space="preserve">, </w:t>
      </w:r>
      <w:r>
        <w:rPr>
          <w:rFonts w:ascii="Times New Roman" w:hAnsi="Times New Roman" w:cs="Times New Roman"/>
          <w:i/>
          <w:iCs/>
          <w:noProof/>
          <w:sz w:val="24"/>
          <w:szCs w:val="24"/>
        </w:rPr>
        <w:t>154</w:t>
      </w:r>
      <w:r>
        <w:rPr>
          <w:rFonts w:ascii="Times New Roman" w:hAnsi="Times New Roman" w:cs="Times New Roman"/>
          <w:noProof/>
          <w:sz w:val="24"/>
          <w:szCs w:val="24"/>
        </w:rPr>
        <w:t>(2). https://doi.org/10.5507/bp.2010.017</w:t>
      </w:r>
    </w:p>
    <w:p w14:paraId="2546907B"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Johansson, I., &amp; Ingelman-Sundberg, M. (2011). Genetic polymorphism and toxicology-with emphasis on cytochrome P450. </w:t>
      </w:r>
      <w:r>
        <w:rPr>
          <w:rFonts w:ascii="Times New Roman" w:hAnsi="Times New Roman" w:cs="Times New Roman"/>
          <w:i/>
          <w:iCs/>
          <w:noProof/>
          <w:sz w:val="24"/>
          <w:szCs w:val="24"/>
        </w:rPr>
        <w:t>Toxicological Sciences</w:t>
      </w:r>
      <w:r>
        <w:rPr>
          <w:rFonts w:ascii="Times New Roman" w:hAnsi="Times New Roman" w:cs="Times New Roman"/>
          <w:noProof/>
          <w:sz w:val="24"/>
          <w:szCs w:val="24"/>
        </w:rPr>
        <w:t xml:space="preserve">, </w:t>
      </w:r>
      <w:r>
        <w:rPr>
          <w:rFonts w:ascii="Times New Roman" w:hAnsi="Times New Roman" w:cs="Times New Roman"/>
          <w:i/>
          <w:iCs/>
          <w:noProof/>
          <w:sz w:val="24"/>
          <w:szCs w:val="24"/>
        </w:rPr>
        <w:t>120</w:t>
      </w:r>
      <w:r>
        <w:rPr>
          <w:rFonts w:ascii="Times New Roman" w:hAnsi="Times New Roman" w:cs="Times New Roman"/>
          <w:noProof/>
          <w:sz w:val="24"/>
          <w:szCs w:val="24"/>
        </w:rPr>
        <w:t>(1). https://doi.org/10.1093/toxsci/kfq374</w:t>
      </w:r>
    </w:p>
    <w:p w14:paraId="1F217FF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Joharatnam-Hogan, N., Shiu, K. K., &amp; Khan, K. (2020). Challenges in the treatment of gastric cancer in the older patient. In </w:t>
      </w:r>
      <w:r>
        <w:rPr>
          <w:rFonts w:ascii="Times New Roman" w:hAnsi="Times New Roman" w:cs="Times New Roman"/>
          <w:i/>
          <w:iCs/>
          <w:noProof/>
          <w:sz w:val="24"/>
          <w:szCs w:val="24"/>
        </w:rPr>
        <w:t>Cancer Treatment Reviews</w:t>
      </w:r>
      <w:r>
        <w:rPr>
          <w:rFonts w:ascii="Times New Roman" w:hAnsi="Times New Roman" w:cs="Times New Roman"/>
          <w:noProof/>
          <w:sz w:val="24"/>
          <w:szCs w:val="24"/>
        </w:rPr>
        <w:t xml:space="preserve"> (Vol. 85). https://doi.org/10.1016/j.ctrv.2020.101980</w:t>
      </w:r>
    </w:p>
    <w:p w14:paraId="633648C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Jörgensen, A. M., Friedl, J. D., Wibel, R., Chamieh, J., Cottet, H., &amp; Bernkop-Schnürch, A. (2020). Cosolvents in Self-Emulsifying Drug Delivery Systems (SEDDS): Do They Really Solve Our Solubility Problems? </w:t>
      </w:r>
      <w:r>
        <w:rPr>
          <w:rFonts w:ascii="Times New Roman" w:hAnsi="Times New Roman" w:cs="Times New Roman"/>
          <w:i/>
          <w:iCs/>
          <w:noProof/>
          <w:sz w:val="24"/>
          <w:szCs w:val="24"/>
        </w:rPr>
        <w:t>Molecular Pharmaceutics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17</w:t>
      </w:r>
      <w:r>
        <w:rPr>
          <w:rFonts w:ascii="Times New Roman" w:hAnsi="Times New Roman" w:cs="Times New Roman"/>
          <w:noProof/>
          <w:sz w:val="24"/>
          <w:szCs w:val="24"/>
        </w:rPr>
        <w:t>(9). https://doi.org/10.1021/acs.molpharmaceut.0c00343</w:t>
      </w:r>
    </w:p>
    <w:p w14:paraId="34928FF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Kadri, T., Rouissi, T., Kaur Brar, S., Cledon, M., Sarma, S., &amp; Verma, M. (2017). Biodegradation of polycyclic aromatic hydrocarbons (PAHs) by fungal enzymes: A review. In </w:t>
      </w:r>
      <w:r>
        <w:rPr>
          <w:rFonts w:ascii="Times New Roman" w:hAnsi="Times New Roman" w:cs="Times New Roman"/>
          <w:i/>
          <w:iCs/>
          <w:noProof/>
          <w:sz w:val="24"/>
          <w:szCs w:val="24"/>
        </w:rPr>
        <w:t>Journal of Environmental Sciences (China)</w:t>
      </w:r>
      <w:r>
        <w:rPr>
          <w:rFonts w:ascii="Times New Roman" w:hAnsi="Times New Roman" w:cs="Times New Roman"/>
          <w:noProof/>
          <w:sz w:val="24"/>
          <w:szCs w:val="24"/>
        </w:rPr>
        <w:t xml:space="preserve"> (Vol. 51). https://doi.org/10.1016/j.jes.2016.08.023</w:t>
      </w:r>
    </w:p>
    <w:p w14:paraId="75A923B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Kalra, D. M. (2022). FACTORS INFLUENCING DRUG ABSORPTION. In </w:t>
      </w:r>
      <w:r>
        <w:rPr>
          <w:rFonts w:ascii="Times New Roman" w:hAnsi="Times New Roman" w:cs="Times New Roman"/>
          <w:i/>
          <w:iCs/>
          <w:noProof/>
          <w:sz w:val="24"/>
          <w:szCs w:val="24"/>
        </w:rPr>
        <w:lastRenderedPageBreak/>
        <w:t>BIOPHARMACEUTICS AND PHARMACOKINETICS</w:t>
      </w:r>
      <w:r>
        <w:rPr>
          <w:rFonts w:ascii="Times New Roman" w:hAnsi="Times New Roman" w:cs="Times New Roman"/>
          <w:noProof/>
          <w:sz w:val="24"/>
          <w:szCs w:val="24"/>
        </w:rPr>
        <w:t>. https://doi.org/10.52458/9789391842451.nsp2022.eb.asu.ch-04</w:t>
      </w:r>
    </w:p>
    <w:p w14:paraId="74CBCD1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Kanuri, S. H., &amp; Kreutz, R. P. (2019). Pharmacogenomics of novel direct oral anticoagulants: Newly identified genes and genetic variants. </w:t>
      </w:r>
      <w:r>
        <w:rPr>
          <w:rFonts w:ascii="Times New Roman" w:hAnsi="Times New Roman" w:cs="Times New Roman"/>
          <w:i/>
          <w:iCs/>
          <w:noProof/>
          <w:sz w:val="24"/>
          <w:szCs w:val="24"/>
        </w:rPr>
        <w:t>Journal of Personalized Medicine</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(1). https://doi.org/10.3390/jpm9010007</w:t>
      </w:r>
    </w:p>
    <w:p w14:paraId="4986D7D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Kasina, V., Mownn, R. J., Bahal, R., &amp; Sartor, G. C. (2022). Nanoparticle delivery systems for substance use disorder. In </w:t>
      </w:r>
      <w:r>
        <w:rPr>
          <w:rFonts w:ascii="Times New Roman" w:hAnsi="Times New Roman" w:cs="Times New Roman"/>
          <w:i/>
          <w:iCs/>
          <w:noProof/>
          <w:sz w:val="24"/>
          <w:szCs w:val="24"/>
        </w:rPr>
        <w:t>Neuropsychopharmacology</w:t>
      </w:r>
      <w:r>
        <w:rPr>
          <w:rFonts w:ascii="Times New Roman" w:hAnsi="Times New Roman" w:cs="Times New Roman"/>
          <w:noProof/>
          <w:sz w:val="24"/>
          <w:szCs w:val="24"/>
        </w:rPr>
        <w:t xml:space="preserve"> (Vol. 47, Issue 8). https://doi.org/10.1038/s41386-022-01311-7</w:t>
      </w:r>
    </w:p>
    <w:p w14:paraId="55127A9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Kedderis, G. L. (2010). Biotransformation of Toxicants. In </w:t>
      </w:r>
      <w:r>
        <w:rPr>
          <w:rFonts w:ascii="Times New Roman" w:hAnsi="Times New Roman" w:cs="Times New Roman"/>
          <w:i/>
          <w:iCs/>
          <w:noProof/>
          <w:sz w:val="24"/>
          <w:szCs w:val="24"/>
        </w:rPr>
        <w:t>Comprehensive Toxicology: Second Edition</w:t>
      </w:r>
      <w:r>
        <w:rPr>
          <w:rFonts w:ascii="Times New Roman" w:hAnsi="Times New Roman" w:cs="Times New Roman"/>
          <w:noProof/>
          <w:sz w:val="24"/>
          <w:szCs w:val="24"/>
        </w:rPr>
        <w:t xml:space="preserve"> (Vols. 1–14). https://doi.org/10.1016/B978-0-08-046884-6.00107-X</w:t>
      </w:r>
    </w:p>
    <w:p w14:paraId="40F6C56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Kedderis, G. L. (2018). Toxicokinetics: Biotransformation of Toxicants. In </w:t>
      </w:r>
      <w:r>
        <w:rPr>
          <w:rFonts w:ascii="Times New Roman" w:hAnsi="Times New Roman" w:cs="Times New Roman"/>
          <w:i/>
          <w:iCs/>
          <w:noProof/>
          <w:sz w:val="24"/>
          <w:szCs w:val="24"/>
        </w:rPr>
        <w:t>Comprehensive Toxicology</w:t>
      </w:r>
      <w:r>
        <w:rPr>
          <w:rFonts w:ascii="Times New Roman" w:hAnsi="Times New Roman" w:cs="Times New Roman"/>
          <w:noProof/>
          <w:sz w:val="24"/>
          <w:szCs w:val="24"/>
        </w:rPr>
        <w:t>. https://doi.org/10.1016/b978-0-12-801238-3.01888-2</w:t>
      </w:r>
    </w:p>
    <w:p w14:paraId="55FF0D1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Kilgas, M. A., McDaniel, J., Stavres, J., Pollock, B. S., Singer, T. J., &amp; Elmer, S. J. (2019). Limb blood flow and tissue perfusion during exercise with blood flow restriction. </w:t>
      </w:r>
      <w:r>
        <w:rPr>
          <w:rFonts w:ascii="Times New Roman" w:hAnsi="Times New Roman" w:cs="Times New Roman"/>
          <w:i/>
          <w:iCs/>
          <w:noProof/>
          <w:sz w:val="24"/>
          <w:szCs w:val="24"/>
        </w:rPr>
        <w:t>European Journal of Applied Physiology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119</w:t>
      </w:r>
      <w:r>
        <w:rPr>
          <w:rFonts w:ascii="Times New Roman" w:hAnsi="Times New Roman" w:cs="Times New Roman"/>
          <w:noProof/>
          <w:sz w:val="24"/>
          <w:szCs w:val="24"/>
        </w:rPr>
        <w:t>(2). https://doi.org/10.1007/s00421-018-4029-2</w:t>
      </w:r>
    </w:p>
    <w:p w14:paraId="34A689BE"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Krishna, D. R., &amp; Klotz, U. (1994). Extrahepatic Metabolism of Drugs in Humans. In </w:t>
      </w:r>
      <w:r>
        <w:rPr>
          <w:rFonts w:ascii="Times New Roman" w:hAnsi="Times New Roman" w:cs="Times New Roman"/>
          <w:i/>
          <w:iCs/>
          <w:noProof/>
          <w:sz w:val="24"/>
          <w:szCs w:val="24"/>
        </w:rPr>
        <w:t>Clinical Pharmacokinetics</w:t>
      </w:r>
      <w:r>
        <w:rPr>
          <w:rFonts w:ascii="Times New Roman" w:hAnsi="Times New Roman" w:cs="Times New Roman"/>
          <w:noProof/>
          <w:sz w:val="24"/>
          <w:szCs w:val="24"/>
        </w:rPr>
        <w:t xml:space="preserve"> (Vol. 26, Issue 2). https://doi.org/10.2165/00003088-199426020-00007</w:t>
      </w:r>
    </w:p>
    <w:p w14:paraId="73FF1C0E"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Krishna, R., &amp; Mayer, L. D. (2000). Multidrug resistance (MDR) in cancerMechanisms, reversal using modulators of MDR and the role of MDR modulators in influencing the pharmacokinetics of anticancer drugs. In </w:t>
      </w:r>
      <w:r>
        <w:rPr>
          <w:rFonts w:ascii="Times New Roman" w:hAnsi="Times New Roman" w:cs="Times New Roman"/>
          <w:i/>
          <w:iCs/>
          <w:noProof/>
          <w:sz w:val="24"/>
          <w:szCs w:val="24"/>
        </w:rPr>
        <w:t>European Journal of Pharmaceutical Sciences</w:t>
      </w:r>
      <w:r>
        <w:rPr>
          <w:rFonts w:ascii="Times New Roman" w:hAnsi="Times New Roman" w:cs="Times New Roman"/>
          <w:noProof/>
          <w:sz w:val="24"/>
          <w:szCs w:val="24"/>
        </w:rPr>
        <w:t xml:space="preserve"> (Vol. 11, Issue 4). https://doi.org/10.1016/S0928-0987(00)00114-7</w:t>
      </w:r>
    </w:p>
    <w:p w14:paraId="1CE443B8"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Lambrechts, S., Lambrechts, D., Despierre, E., Van Nieuwenhuysen, E., Smeets, D., Debruyne, P. R., Renard, V., Vroman, P., Luyten, D., Neven, P., Amant, F., Leunen, K., &amp; Vergote, I. (2015). Genetic variability in drug transport, metabolism or DNA repair affecting toxicity of chemotherapy in ovarian cancer. </w:t>
      </w:r>
      <w:r>
        <w:rPr>
          <w:rFonts w:ascii="Times New Roman" w:hAnsi="Times New Roman" w:cs="Times New Roman"/>
          <w:i/>
          <w:iCs/>
          <w:noProof/>
          <w:sz w:val="24"/>
          <w:szCs w:val="24"/>
        </w:rPr>
        <w:t>BMC Pharmacology and Toxicology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16</w:t>
      </w:r>
      <w:r>
        <w:rPr>
          <w:rFonts w:ascii="Times New Roman" w:hAnsi="Times New Roman" w:cs="Times New Roman"/>
          <w:noProof/>
          <w:sz w:val="24"/>
          <w:szCs w:val="24"/>
        </w:rPr>
        <w:t>(1). https://doi.org/10.1186/s40360-015-0001-5</w:t>
      </w:r>
    </w:p>
    <w:p w14:paraId="7C069C6B"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Lawson, M. K. (2023). Improvement of Therapeutic Value of Quercetin with Chitosan Nanoparticle Delivery Systems and Potential Applications. In </w:t>
      </w:r>
      <w:r>
        <w:rPr>
          <w:rFonts w:ascii="Times New Roman" w:hAnsi="Times New Roman" w:cs="Times New Roman"/>
          <w:i/>
          <w:iCs/>
          <w:noProof/>
          <w:sz w:val="24"/>
          <w:szCs w:val="24"/>
        </w:rPr>
        <w:t>International Journal of Molecular Sciences</w:t>
      </w:r>
      <w:r>
        <w:rPr>
          <w:rFonts w:ascii="Times New Roman" w:hAnsi="Times New Roman" w:cs="Times New Roman"/>
          <w:noProof/>
          <w:sz w:val="24"/>
          <w:szCs w:val="24"/>
        </w:rPr>
        <w:t xml:space="preserve"> (Vol. 24, Issue 4). https://doi.org/10.3390/ijms24043293</w:t>
      </w:r>
    </w:p>
    <w:p w14:paraId="24ABA60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 J., Meng, X., Dang, Y., Sun, X., Zhang, Y., Wei, L., &amp; Shi, M. (2017). Pure interstitial brachytherapy using 3D-printed vaginal template for improved catheter tracks in treating cervical cancer. </w:t>
      </w:r>
      <w:r>
        <w:rPr>
          <w:rFonts w:ascii="Times New Roman" w:hAnsi="Times New Roman" w:cs="Times New Roman"/>
          <w:i/>
          <w:iCs/>
          <w:noProof/>
          <w:sz w:val="24"/>
          <w:szCs w:val="24"/>
        </w:rPr>
        <w:t>Journal of Biomaterials and Tissue Engineering</w:t>
      </w:r>
      <w:r>
        <w:rPr>
          <w:rFonts w:ascii="Times New Roman" w:hAnsi="Times New Roman" w:cs="Times New Roman"/>
          <w:noProof/>
          <w:sz w:val="24"/>
          <w:szCs w:val="24"/>
        </w:rPr>
        <w:t xml:space="preserve">, </w:t>
      </w:r>
      <w:r>
        <w:rPr>
          <w:rFonts w:ascii="Times New Roman" w:hAnsi="Times New Roman" w:cs="Times New Roman"/>
          <w:i/>
          <w:iCs/>
          <w:noProof/>
          <w:sz w:val="24"/>
          <w:szCs w:val="24"/>
        </w:rPr>
        <w:t>7</w:t>
      </w:r>
      <w:r>
        <w:rPr>
          <w:rFonts w:ascii="Times New Roman" w:hAnsi="Times New Roman" w:cs="Times New Roman"/>
          <w:noProof/>
          <w:sz w:val="24"/>
          <w:szCs w:val="24"/>
        </w:rPr>
        <w:t>(6). https://doi.org/10.1166/jbt.2017.1591</w:t>
      </w:r>
    </w:p>
    <w:p w14:paraId="680CA5B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 J., Zhao, M., He, P., Hidalgo, M., &amp; Baker, S. D. (2007). Differential metabolism of gefitinib and erlotinib by human cytochrome P450 enzymes. </w:t>
      </w:r>
      <w:r>
        <w:rPr>
          <w:rFonts w:ascii="Times New Roman" w:hAnsi="Times New Roman" w:cs="Times New Roman"/>
          <w:i/>
          <w:iCs/>
          <w:noProof/>
          <w:sz w:val="24"/>
          <w:szCs w:val="24"/>
        </w:rPr>
        <w:t>Clinical Cancer Research</w:t>
      </w:r>
      <w:r>
        <w:rPr>
          <w:rFonts w:ascii="Times New Roman" w:hAnsi="Times New Roman" w:cs="Times New Roman"/>
          <w:noProof/>
          <w:sz w:val="24"/>
          <w:szCs w:val="24"/>
        </w:rPr>
        <w:t xml:space="preserve">, </w:t>
      </w:r>
      <w:r>
        <w:rPr>
          <w:rFonts w:ascii="Times New Roman" w:hAnsi="Times New Roman" w:cs="Times New Roman"/>
          <w:i/>
          <w:iCs/>
          <w:noProof/>
          <w:sz w:val="24"/>
          <w:szCs w:val="24"/>
        </w:rPr>
        <w:t>13</w:t>
      </w:r>
      <w:r>
        <w:rPr>
          <w:rFonts w:ascii="Times New Roman" w:hAnsi="Times New Roman" w:cs="Times New Roman"/>
          <w:noProof/>
          <w:sz w:val="24"/>
          <w:szCs w:val="24"/>
        </w:rPr>
        <w:t>(12). https://doi.org/10.1158/1078-0432.CCR-07-0088</w:t>
      </w:r>
    </w:p>
    <w:p w14:paraId="483E5B8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 P., Su, R., Yin, R., Lai, D., Wang, M., Liu, Y., &amp; Zhou, L. (2020). Detoxification of mycotoxins through biotransformation. In </w:t>
      </w:r>
      <w:r>
        <w:rPr>
          <w:rFonts w:ascii="Times New Roman" w:hAnsi="Times New Roman" w:cs="Times New Roman"/>
          <w:i/>
          <w:iCs/>
          <w:noProof/>
          <w:sz w:val="24"/>
          <w:szCs w:val="24"/>
        </w:rPr>
        <w:t>Toxins</w:t>
      </w:r>
      <w:r>
        <w:rPr>
          <w:rFonts w:ascii="Times New Roman" w:hAnsi="Times New Roman" w:cs="Times New Roman"/>
          <w:noProof/>
          <w:sz w:val="24"/>
          <w:szCs w:val="24"/>
        </w:rPr>
        <w:t xml:space="preserve"> (Vol. 12, Issue 2). https://doi.org/10.3390/toxins12020121</w:t>
      </w:r>
    </w:p>
    <w:p w14:paraId="1B49780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 X., &amp; Jusko, W. J. (2023). Utility of Minimal Physiologically Based Pharmacokinetic Models for Assessing Fractional Distribution, Oral Absorption, and Series-Compartment Models of Hepatic ClearanceS. </w:t>
      </w:r>
      <w:r>
        <w:rPr>
          <w:rFonts w:ascii="Times New Roman" w:hAnsi="Times New Roman" w:cs="Times New Roman"/>
          <w:i/>
          <w:iCs/>
          <w:noProof/>
          <w:sz w:val="24"/>
          <w:szCs w:val="24"/>
        </w:rPr>
        <w:t>Drug Metabolism and Disposition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51</w:t>
      </w:r>
      <w:r>
        <w:rPr>
          <w:rFonts w:ascii="Times New Roman" w:hAnsi="Times New Roman" w:cs="Times New Roman"/>
          <w:noProof/>
          <w:sz w:val="24"/>
          <w:szCs w:val="24"/>
        </w:rPr>
        <w:t>(10). https://doi.org/10.1124/dmd.123.001403</w:t>
      </w:r>
    </w:p>
    <w:p w14:paraId="6C8D4F7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Lin, L., &amp; Wong, H. (2017). Predicting oral drug absorption: Mini review on </w:t>
      </w:r>
      <w:r>
        <w:rPr>
          <w:rFonts w:ascii="Times New Roman" w:hAnsi="Times New Roman" w:cs="Times New Roman"/>
          <w:noProof/>
          <w:sz w:val="24"/>
          <w:szCs w:val="24"/>
        </w:rPr>
        <w:lastRenderedPageBreak/>
        <w:t xml:space="preserve">physiologically-based pharmacokinetic models. In </w:t>
      </w:r>
      <w:r>
        <w:rPr>
          <w:rFonts w:ascii="Times New Roman" w:hAnsi="Times New Roman" w:cs="Times New Roman"/>
          <w:i/>
          <w:iCs/>
          <w:noProof/>
          <w:sz w:val="24"/>
          <w:szCs w:val="24"/>
        </w:rPr>
        <w:t>Pharmaceutics</w:t>
      </w:r>
      <w:r>
        <w:rPr>
          <w:rFonts w:ascii="Times New Roman" w:hAnsi="Times New Roman" w:cs="Times New Roman"/>
          <w:noProof/>
          <w:sz w:val="24"/>
          <w:szCs w:val="24"/>
        </w:rPr>
        <w:t xml:space="preserve"> (Vol. 9, Issue 4). https://doi.org/10.3390/pharmaceutics9040041</w:t>
      </w:r>
    </w:p>
    <w:p w14:paraId="042DB22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Liu, T., Wan, X., Luo, Z., Liu, C., Quan, P., Cun, D., &amp; Fang, L. (2019). A donepezil/cyclodextrin complexation orodispersible film: Effect of cyclodextrin on taste-masking based on dynamic process and in vivo drug absorption. </w:t>
      </w:r>
      <w:r>
        <w:rPr>
          <w:rFonts w:ascii="Times New Roman" w:hAnsi="Times New Roman" w:cs="Times New Roman"/>
          <w:i/>
          <w:iCs/>
          <w:noProof/>
          <w:sz w:val="24"/>
          <w:szCs w:val="24"/>
        </w:rPr>
        <w:t>Asian Journal of Pharmaceutical Sciences</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(2). https://doi.org/10.1016/j.ajps.2018.05.001</w:t>
      </w:r>
    </w:p>
    <w:p w14:paraId="6817CDF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Llerena, A. (2008). Pharmacogenetics of Antidepressant Drug Metabolism and Its Clinical Implications. In </w:t>
      </w:r>
      <w:r>
        <w:rPr>
          <w:rFonts w:ascii="Times New Roman" w:hAnsi="Times New Roman" w:cs="Times New Roman"/>
          <w:i/>
          <w:iCs/>
          <w:noProof/>
          <w:sz w:val="24"/>
          <w:szCs w:val="24"/>
        </w:rPr>
        <w:t>Biology of Depression: From Novel Insights to Therapeutic Strategies</w:t>
      </w:r>
      <w:r>
        <w:rPr>
          <w:rFonts w:ascii="Times New Roman" w:hAnsi="Times New Roman" w:cs="Times New Roman"/>
          <w:noProof/>
          <w:sz w:val="24"/>
          <w:szCs w:val="24"/>
        </w:rPr>
        <w:t>. https://doi.org/10.1002/9783527619672.ch35</w:t>
      </w:r>
    </w:p>
    <w:p w14:paraId="74447F9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Mangravite, L. M., Thorn, C. F., &amp; Krauss, R. M. (2006). Clinical implications of pharmacogenomics of statin treatment. </w:t>
      </w:r>
      <w:r>
        <w:rPr>
          <w:rFonts w:ascii="Times New Roman" w:hAnsi="Times New Roman" w:cs="Times New Roman"/>
          <w:i/>
          <w:iCs/>
          <w:noProof/>
          <w:sz w:val="24"/>
          <w:szCs w:val="24"/>
        </w:rPr>
        <w:t>Pharmacogenomics Journal</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(6). https://doi.org/10.1038/sj.tpj.6500384</w:t>
      </w:r>
    </w:p>
    <w:p w14:paraId="02E003C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Miller, W. R., Forcehimes, A. A., &amp; Zweben, A. (2022). How Do Drugs Work ? </w:t>
      </w:r>
      <w:r>
        <w:rPr>
          <w:rFonts w:ascii="Times New Roman" w:hAnsi="Times New Roman" w:cs="Times New Roman"/>
          <w:i/>
          <w:iCs/>
          <w:noProof/>
          <w:sz w:val="24"/>
          <w:szCs w:val="24"/>
        </w:rPr>
        <w:t>Editorsweb.Org</w:t>
      </w:r>
      <w:r>
        <w:rPr>
          <w:rFonts w:ascii="Times New Roman" w:hAnsi="Times New Roman" w:cs="Times New Roman"/>
          <w:noProof/>
          <w:sz w:val="24"/>
          <w:szCs w:val="24"/>
        </w:rPr>
        <w:t>.</w:t>
      </w:r>
    </w:p>
    <w:p w14:paraId="66FC9744"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Min, L., Fink-Gremmels, J., Li, D., Tong, X., Tang, J., Nan, X., Yu, Z., Chen, W., &amp; Wang, G. (2021). An overview of aflatoxin B1 biotransformation and aflatoxin M1 secretion in lactating dairy cows. In </w:t>
      </w:r>
      <w:r>
        <w:rPr>
          <w:rFonts w:ascii="Times New Roman" w:hAnsi="Times New Roman" w:cs="Times New Roman"/>
          <w:i/>
          <w:iCs/>
          <w:noProof/>
          <w:sz w:val="24"/>
          <w:szCs w:val="24"/>
        </w:rPr>
        <w:t>Animal Nutrition</w:t>
      </w:r>
      <w:r>
        <w:rPr>
          <w:rFonts w:ascii="Times New Roman" w:hAnsi="Times New Roman" w:cs="Times New Roman"/>
          <w:noProof/>
          <w:sz w:val="24"/>
          <w:szCs w:val="24"/>
        </w:rPr>
        <w:t xml:space="preserve"> (Vol. 7, Issue 1). https://doi.org/10.1016/j.aninu.2020.11.002</w:t>
      </w:r>
    </w:p>
    <w:p w14:paraId="03440698"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Miners, J. O., Yang, X., Knights, K. M., &amp; Zhang, L. (2017). The Role of the Kidney in Drug Elimination: Transport, Metabolism, and the Impact of Kidney Disease on Drug Clearance. </w:t>
      </w:r>
      <w:r>
        <w:rPr>
          <w:rFonts w:ascii="Times New Roman" w:hAnsi="Times New Roman" w:cs="Times New Roman"/>
          <w:i/>
          <w:iCs/>
          <w:noProof/>
          <w:sz w:val="24"/>
          <w:szCs w:val="24"/>
        </w:rPr>
        <w:t>Clinical Pharmacology and Therapeutics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102</w:t>
      </w:r>
      <w:r>
        <w:rPr>
          <w:rFonts w:ascii="Times New Roman" w:hAnsi="Times New Roman" w:cs="Times New Roman"/>
          <w:noProof/>
          <w:sz w:val="24"/>
          <w:szCs w:val="24"/>
        </w:rPr>
        <w:t>(3). https://doi.org/10.1002/cpt.757</w:t>
      </w:r>
    </w:p>
    <w:p w14:paraId="63BD952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Mizzi, C., Dalabira, E., Kumuthini, J., Dzimiri, N., Balogh, I., Başak, N., Böhm, R., Borg, </w:t>
      </w:r>
      <w:r>
        <w:rPr>
          <w:rFonts w:ascii="Times New Roman" w:hAnsi="Times New Roman" w:cs="Times New Roman"/>
          <w:noProof/>
          <w:sz w:val="24"/>
          <w:szCs w:val="24"/>
        </w:rPr>
        <w:lastRenderedPageBreak/>
        <w:t xml:space="preserve">J., Borgiani, P., Bozina, N., Bruckmueller, H., Burzynska, B., Carracedo, A., Cascorbi, I., Deltas, C., Dolzan, V., Fenech, A., Grech, G., Kasiulevicius, V., … Patrinos, G. P. (2016). A European spectrum of pharmacogenomic biomarkers: Implications for clinical pharmacogenomics. </w:t>
      </w:r>
      <w:r>
        <w:rPr>
          <w:rFonts w:ascii="Times New Roman" w:hAnsi="Times New Roman" w:cs="Times New Roman"/>
          <w:i/>
          <w:iCs/>
          <w:noProof/>
          <w:sz w:val="24"/>
          <w:szCs w:val="24"/>
        </w:rPr>
        <w:t>PLoS ONE</w:t>
      </w:r>
      <w:r>
        <w:rPr>
          <w:rFonts w:ascii="Times New Roman" w:hAnsi="Times New Roman" w:cs="Times New Roman"/>
          <w:noProof/>
          <w:sz w:val="24"/>
          <w:szCs w:val="24"/>
        </w:rPr>
        <w:t xml:space="preserve">, </w:t>
      </w:r>
      <w:r>
        <w:rPr>
          <w:rFonts w:ascii="Times New Roman" w:hAnsi="Times New Roman" w:cs="Times New Roman"/>
          <w:i/>
          <w:iCs/>
          <w:noProof/>
          <w:sz w:val="24"/>
          <w:szCs w:val="24"/>
        </w:rPr>
        <w:t>11</w:t>
      </w:r>
      <w:r>
        <w:rPr>
          <w:rFonts w:ascii="Times New Roman" w:hAnsi="Times New Roman" w:cs="Times New Roman"/>
          <w:noProof/>
          <w:sz w:val="24"/>
          <w:szCs w:val="24"/>
        </w:rPr>
        <w:t>(9). https://doi.org/10.1371/journal.pone.0162866</w:t>
      </w:r>
    </w:p>
    <w:p w14:paraId="7B0F481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Morales Castro, D., Dresser, L., Granton, J., &amp; Fan, E. (2023). Pharmacokinetic Alterations Associated with Critical Illness. In </w:t>
      </w:r>
      <w:r>
        <w:rPr>
          <w:rFonts w:ascii="Times New Roman" w:hAnsi="Times New Roman" w:cs="Times New Roman"/>
          <w:i/>
          <w:iCs/>
          <w:noProof/>
          <w:sz w:val="24"/>
          <w:szCs w:val="24"/>
        </w:rPr>
        <w:t>Clinical Pharmacokinetics</w:t>
      </w:r>
      <w:r>
        <w:rPr>
          <w:rFonts w:ascii="Times New Roman" w:hAnsi="Times New Roman" w:cs="Times New Roman"/>
          <w:noProof/>
          <w:sz w:val="24"/>
          <w:szCs w:val="24"/>
        </w:rPr>
        <w:t xml:space="preserve"> (Vol. 62, Issue 2). https://doi.org/10.1007/s40262-023-01213-x</w:t>
      </w:r>
    </w:p>
    <w:p w14:paraId="144D8C2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Müller, D. J., Shinkai, T., De Luca, V., &amp; Kennedy, J. L. (2004). Clinical implications of pharmacogenomics for tardive dyskinesia. </w:t>
      </w:r>
      <w:r>
        <w:rPr>
          <w:rFonts w:ascii="Times New Roman" w:hAnsi="Times New Roman" w:cs="Times New Roman"/>
          <w:i/>
          <w:iCs/>
          <w:noProof/>
          <w:sz w:val="24"/>
          <w:szCs w:val="24"/>
        </w:rPr>
        <w:t>Pharmacogenomics Journal</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(2). https://doi.org/10.1038/sj.tpj.6500233</w:t>
      </w:r>
    </w:p>
    <w:p w14:paraId="7E074A8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Neumann, K., Gambardella, A., Lilienkampf, A., &amp; Bradley, M. (2018). Tetrazine-mediated bioorthogonal prodrug-prodrug activation. </w:t>
      </w:r>
      <w:r>
        <w:rPr>
          <w:rFonts w:ascii="Times New Roman" w:hAnsi="Times New Roman" w:cs="Times New Roman"/>
          <w:i/>
          <w:iCs/>
          <w:noProof/>
          <w:sz w:val="24"/>
          <w:szCs w:val="24"/>
        </w:rPr>
        <w:t>Chemical Science</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(36). https://doi.org/10.1039/C8SC02610F</w:t>
      </w:r>
    </w:p>
    <w:p w14:paraId="78C2EF0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Olsson Gisleskog, P. O., Perez Ruixo, J. J., Westin, Å., Hansson, A. C., &amp; Soons, P. A. (2021). Nicotine Population Pharmacokinetics in Healthy Smokers After Intravenous, Oral, Buccal and Transdermal Administration. </w:t>
      </w:r>
      <w:r>
        <w:rPr>
          <w:rFonts w:ascii="Times New Roman" w:hAnsi="Times New Roman" w:cs="Times New Roman"/>
          <w:i/>
          <w:iCs/>
          <w:noProof/>
          <w:sz w:val="24"/>
          <w:szCs w:val="24"/>
        </w:rPr>
        <w:t>Clinical Pharmacokinetics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60</w:t>
      </w:r>
      <w:r>
        <w:rPr>
          <w:rFonts w:ascii="Times New Roman" w:hAnsi="Times New Roman" w:cs="Times New Roman"/>
          <w:noProof/>
          <w:sz w:val="24"/>
          <w:szCs w:val="24"/>
        </w:rPr>
        <w:t>(4). https://doi.org/10.1007/s40262-020-00960-5</w:t>
      </w:r>
    </w:p>
    <w:p w14:paraId="69583B8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Peng, M., Zhao, G., Li, X., &amp; Chen, M. (2018). Population pharmacokinetics of sirolimus in healthy Chinese subjects. </w:t>
      </w:r>
      <w:r>
        <w:rPr>
          <w:rFonts w:ascii="Times New Roman" w:hAnsi="Times New Roman" w:cs="Times New Roman"/>
          <w:i/>
          <w:iCs/>
          <w:noProof/>
          <w:sz w:val="24"/>
          <w:szCs w:val="24"/>
        </w:rPr>
        <w:t>Indian Journal of Pharmaceutical Sciences</w:t>
      </w:r>
      <w:r>
        <w:rPr>
          <w:rFonts w:ascii="Times New Roman" w:hAnsi="Times New Roman" w:cs="Times New Roman"/>
          <w:noProof/>
          <w:sz w:val="24"/>
          <w:szCs w:val="24"/>
        </w:rPr>
        <w:t xml:space="preserve">, </w:t>
      </w:r>
      <w:r>
        <w:rPr>
          <w:rFonts w:ascii="Times New Roman" w:hAnsi="Times New Roman" w:cs="Times New Roman"/>
          <w:i/>
          <w:iCs/>
          <w:noProof/>
          <w:sz w:val="24"/>
          <w:szCs w:val="24"/>
        </w:rPr>
        <w:t>80</w:t>
      </w:r>
      <w:r>
        <w:rPr>
          <w:rFonts w:ascii="Times New Roman" w:hAnsi="Times New Roman" w:cs="Times New Roman"/>
          <w:noProof/>
          <w:sz w:val="24"/>
          <w:szCs w:val="24"/>
        </w:rPr>
        <w:t>(2). https://doi.org/10.4172/pharmaceutical-sciences.1000357</w:t>
      </w:r>
    </w:p>
    <w:p w14:paraId="78EF8F9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Prakash, C., Zuniga, B., Seog Song, C., Jiang, S., Cropper, J., Park, S., &amp; Chatterjee, B. (2015). Nuclear Receptors in Drug Metabolism, Drug Response and Drug Interactions. </w:t>
      </w:r>
      <w:r>
        <w:rPr>
          <w:rFonts w:ascii="Times New Roman" w:hAnsi="Times New Roman" w:cs="Times New Roman"/>
          <w:i/>
          <w:iCs/>
          <w:noProof/>
          <w:sz w:val="24"/>
          <w:szCs w:val="24"/>
        </w:rPr>
        <w:t>Nuclear Receptor Research</w:t>
      </w:r>
      <w:r>
        <w:rPr>
          <w:rFonts w:ascii="Times New Roman" w:hAnsi="Times New Roman" w:cs="Times New Roman"/>
          <w:noProof/>
          <w:sz w:val="24"/>
          <w:szCs w:val="24"/>
        </w:rPr>
        <w:t xml:space="preserve">, </w:t>
      </w:r>
      <w:r>
        <w:rPr>
          <w:rFonts w:ascii="Times New Roman" w:hAnsi="Times New Roman" w:cs="Times New Roman"/>
          <w:i/>
          <w:iCs/>
          <w:noProof/>
          <w:sz w:val="24"/>
          <w:szCs w:val="24"/>
        </w:rPr>
        <w:t>2</w:t>
      </w:r>
      <w:r>
        <w:rPr>
          <w:rFonts w:ascii="Times New Roman" w:hAnsi="Times New Roman" w:cs="Times New Roman"/>
          <w:noProof/>
          <w:sz w:val="24"/>
          <w:szCs w:val="24"/>
        </w:rPr>
        <w:t>. https://doi.org/10.11131/2015/101178</w:t>
      </w:r>
    </w:p>
    <w:p w14:paraId="19656C6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Preissner, S. (2012). Drug Interactions Involving the Cytochrome P450 Enzymes: Analysis of Common Combinations of Antibiotics and Pain Relieving Drugs. </w:t>
      </w:r>
      <w:r>
        <w:rPr>
          <w:rFonts w:ascii="Times New Roman" w:hAnsi="Times New Roman" w:cs="Times New Roman"/>
          <w:i/>
          <w:iCs/>
          <w:noProof/>
          <w:sz w:val="24"/>
          <w:szCs w:val="24"/>
        </w:rPr>
        <w:t>Journal of Drug Metabolism &amp; Toxicology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03</w:t>
      </w:r>
      <w:r>
        <w:rPr>
          <w:rFonts w:ascii="Times New Roman" w:hAnsi="Times New Roman" w:cs="Times New Roman"/>
          <w:noProof/>
          <w:sz w:val="24"/>
          <w:szCs w:val="24"/>
        </w:rPr>
        <w:t>(05). https://doi.org/10.4172/2157-7609.1000131</w:t>
      </w:r>
    </w:p>
    <w:p w14:paraId="62FB7FE8"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Priyadarshani G Patil, Sampada V Marodkar, Sachin J Dighade, Prajakta N Dongare, &amp; Bhagyashri A Borade. (2021). Innovative approach for nasal drug delivery system for brain target. </w:t>
      </w:r>
      <w:r>
        <w:rPr>
          <w:rFonts w:ascii="Times New Roman" w:hAnsi="Times New Roman" w:cs="Times New Roman"/>
          <w:i/>
          <w:iCs/>
          <w:noProof/>
          <w:sz w:val="24"/>
          <w:szCs w:val="24"/>
        </w:rPr>
        <w:t>GSC Advanced Research and Reviews</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(3). https://doi.org/10.30574/gscarr.2021.9.3.0296</w:t>
      </w:r>
    </w:p>
    <w:p w14:paraId="6566C9B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Qin, L., Cui, Z., Wu, Y., Wang, H., Zhang, X., Guan, J., &amp; Mao, S. (2023). Challenges and Strategies to Enhance the Systemic Absorption of Inhaled Peptides and Proteins. In </w:t>
      </w:r>
      <w:r>
        <w:rPr>
          <w:rFonts w:ascii="Times New Roman" w:hAnsi="Times New Roman" w:cs="Times New Roman"/>
          <w:i/>
          <w:iCs/>
          <w:noProof/>
          <w:sz w:val="24"/>
          <w:szCs w:val="24"/>
        </w:rPr>
        <w:t>Pharmaceutical Research</w:t>
      </w:r>
      <w:r>
        <w:rPr>
          <w:rFonts w:ascii="Times New Roman" w:hAnsi="Times New Roman" w:cs="Times New Roman"/>
          <w:noProof/>
          <w:sz w:val="24"/>
          <w:szCs w:val="24"/>
        </w:rPr>
        <w:t xml:space="preserve"> (Vol. 40, Issue 5). https://doi.org/10.1007/s11095-022-03435-3</w:t>
      </w:r>
    </w:p>
    <w:p w14:paraId="3356251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Rai, M., Paudel, N., Sakhrie, M., Gemmati, D., Khan, I. A., Tisato, V., Kanase, A., Schulz, A., &amp; Singh, A. V. (2023). Perspective on Quantitative Structure–Toxicity Relationship (QSTR) Models to Predict Hepatic Biotransformation of Xenobiotics. In </w:t>
      </w:r>
      <w:r>
        <w:rPr>
          <w:rFonts w:ascii="Times New Roman" w:hAnsi="Times New Roman" w:cs="Times New Roman"/>
          <w:i/>
          <w:iCs/>
          <w:noProof/>
          <w:sz w:val="24"/>
          <w:szCs w:val="24"/>
        </w:rPr>
        <w:t>Livers</w:t>
      </w:r>
      <w:r>
        <w:rPr>
          <w:rFonts w:ascii="Times New Roman" w:hAnsi="Times New Roman" w:cs="Times New Roman"/>
          <w:noProof/>
          <w:sz w:val="24"/>
          <w:szCs w:val="24"/>
        </w:rPr>
        <w:t xml:space="preserve"> (Vol. 3, Issue 3). https://doi.org/10.3390/livers3030032</w:t>
      </w:r>
    </w:p>
    <w:p w14:paraId="0AD8A2A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Raunio, H. (2015). Modeling of interactions between xenobiotics and cytochrome P450 (CYP) enzymes. In </w:t>
      </w:r>
      <w:r>
        <w:rPr>
          <w:rFonts w:ascii="Times New Roman" w:hAnsi="Times New Roman" w:cs="Times New Roman"/>
          <w:i/>
          <w:iCs/>
          <w:noProof/>
          <w:sz w:val="24"/>
          <w:szCs w:val="24"/>
        </w:rPr>
        <w:t>Frontiers in Pharmacology</w:t>
      </w:r>
      <w:r>
        <w:rPr>
          <w:rFonts w:ascii="Times New Roman" w:hAnsi="Times New Roman" w:cs="Times New Roman"/>
          <w:noProof/>
          <w:sz w:val="24"/>
          <w:szCs w:val="24"/>
        </w:rPr>
        <w:t xml:space="preserve"> (Vol. 6, Issue MAY). https://doi.org/10.3389/fphar.2015.00123</w:t>
      </w:r>
    </w:p>
    <w:p w14:paraId="33E44086"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Raunio, H., Taavitsainen, P., Honkakoski, P., Juvonen, R., &amp; Pelkonen, O. (2004). In vitro methods in the prediction of kinetics of drugs: Focus on drug metabolism. </w:t>
      </w:r>
      <w:r>
        <w:rPr>
          <w:rFonts w:ascii="Times New Roman" w:hAnsi="Times New Roman" w:cs="Times New Roman"/>
          <w:i/>
          <w:iCs/>
          <w:noProof/>
          <w:sz w:val="24"/>
          <w:szCs w:val="24"/>
        </w:rPr>
        <w:t>Alternatives to Laboratory Animals</w:t>
      </w:r>
      <w:r>
        <w:rPr>
          <w:rFonts w:ascii="Times New Roman" w:hAnsi="Times New Roman" w:cs="Times New Roman"/>
          <w:noProof/>
          <w:sz w:val="24"/>
          <w:szCs w:val="24"/>
        </w:rPr>
        <w:t xml:space="preserve">, </w:t>
      </w:r>
      <w:r>
        <w:rPr>
          <w:rFonts w:ascii="Times New Roman" w:hAnsi="Times New Roman" w:cs="Times New Roman"/>
          <w:i/>
          <w:iCs/>
          <w:noProof/>
          <w:sz w:val="24"/>
          <w:szCs w:val="24"/>
        </w:rPr>
        <w:t>32</w:t>
      </w:r>
      <w:r>
        <w:rPr>
          <w:rFonts w:ascii="Times New Roman" w:hAnsi="Times New Roman" w:cs="Times New Roman"/>
          <w:noProof/>
          <w:sz w:val="24"/>
          <w:szCs w:val="24"/>
        </w:rPr>
        <w:t>(4). https://doi.org/10.1177/026119290403200415</w:t>
      </w:r>
    </w:p>
    <w:p w14:paraId="568C317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Rehman, F. U., Farid, A., Shah, S. U., Dar, M. J., Rehman, A. U., Ahmed, N., Rashid, S. A., Shaukat, I., Shah, M., Albadrani, G. M., Kamel, M., Altyar, A. E., Abdel-Daim, M. M., &amp; Shah, K. U. (2022). Self-Emulsifying Drug Delivery Systems (SEDDS): Measuring </w:t>
      </w:r>
      <w:r>
        <w:rPr>
          <w:rFonts w:ascii="Times New Roman" w:hAnsi="Times New Roman" w:cs="Times New Roman"/>
          <w:noProof/>
          <w:sz w:val="24"/>
          <w:szCs w:val="24"/>
        </w:rPr>
        <w:lastRenderedPageBreak/>
        <w:t xml:space="preserve">Energy Dynamics to Determine Thermodynamic and Kinetic Stability. </w:t>
      </w:r>
      <w:r>
        <w:rPr>
          <w:rFonts w:ascii="Times New Roman" w:hAnsi="Times New Roman" w:cs="Times New Roman"/>
          <w:i/>
          <w:iCs/>
          <w:noProof/>
          <w:sz w:val="24"/>
          <w:szCs w:val="24"/>
        </w:rPr>
        <w:t>Pharmaceuticals</w:t>
      </w:r>
      <w:r>
        <w:rPr>
          <w:rFonts w:ascii="Times New Roman" w:hAnsi="Times New Roman" w:cs="Times New Roman"/>
          <w:noProof/>
          <w:sz w:val="24"/>
          <w:szCs w:val="24"/>
        </w:rPr>
        <w:t xml:space="preserve">, </w:t>
      </w:r>
      <w:r>
        <w:rPr>
          <w:rFonts w:ascii="Times New Roman" w:hAnsi="Times New Roman" w:cs="Times New Roman"/>
          <w:i/>
          <w:iCs/>
          <w:noProof/>
          <w:sz w:val="24"/>
          <w:szCs w:val="24"/>
        </w:rPr>
        <w:t>15</w:t>
      </w:r>
      <w:r>
        <w:rPr>
          <w:rFonts w:ascii="Times New Roman" w:hAnsi="Times New Roman" w:cs="Times New Roman"/>
          <w:noProof/>
          <w:sz w:val="24"/>
          <w:szCs w:val="24"/>
        </w:rPr>
        <w:t>(9). https://doi.org/10.3390/ph15091064</w:t>
      </w:r>
    </w:p>
    <w:p w14:paraId="5B5190F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Rimmington, F. (2020). Pharmacokinetics and pharmacodynamics. </w:t>
      </w:r>
      <w:r>
        <w:rPr>
          <w:rFonts w:ascii="Times New Roman" w:hAnsi="Times New Roman" w:cs="Times New Roman"/>
          <w:i/>
          <w:iCs/>
          <w:noProof/>
          <w:sz w:val="24"/>
          <w:szCs w:val="24"/>
        </w:rPr>
        <w:t>Southern African Journal of Anaesthesia and Analgesia</w:t>
      </w:r>
      <w:r>
        <w:rPr>
          <w:rFonts w:ascii="Times New Roman" w:hAnsi="Times New Roman" w:cs="Times New Roman"/>
          <w:noProof/>
          <w:sz w:val="24"/>
          <w:szCs w:val="24"/>
        </w:rPr>
        <w:t xml:space="preserve">, </w:t>
      </w:r>
      <w:r>
        <w:rPr>
          <w:rFonts w:ascii="Times New Roman" w:hAnsi="Times New Roman" w:cs="Times New Roman"/>
          <w:i/>
          <w:iCs/>
          <w:noProof/>
          <w:sz w:val="24"/>
          <w:szCs w:val="24"/>
        </w:rPr>
        <w:t>26</w:t>
      </w:r>
      <w:r>
        <w:rPr>
          <w:rFonts w:ascii="Times New Roman" w:hAnsi="Times New Roman" w:cs="Times New Roman"/>
          <w:noProof/>
          <w:sz w:val="24"/>
          <w:szCs w:val="24"/>
        </w:rPr>
        <w:t>(6). https://doi.org/10.36303/SAJAA.2020.26.6.S3.2562</w:t>
      </w:r>
    </w:p>
    <w:p w14:paraId="6332660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Rossner, R. J., &amp; Kaeberlein, M. (2019). FLAVIN-CONTAINING MONOOXYGENASES (FMOS): LONGEVITY-PROMOTING ENZYMES OR ATHEROSCLEROSIS RISK FACTOR? </w:t>
      </w:r>
      <w:r>
        <w:rPr>
          <w:rFonts w:ascii="Times New Roman" w:hAnsi="Times New Roman" w:cs="Times New Roman"/>
          <w:i/>
          <w:iCs/>
          <w:noProof/>
          <w:sz w:val="24"/>
          <w:szCs w:val="24"/>
        </w:rPr>
        <w:t>Innovation in Aging</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(Supplement_1). https://doi.org/10.1093/geroni/igz038.3497</w:t>
      </w:r>
    </w:p>
    <w:p w14:paraId="1F81441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Rossner, R., Kaeberlein, M., &amp; Leiser, S. F. (2017). Flavin-containing monooxygenases in aging and disease: Emerging roles for ancient enzymes. In </w:t>
      </w:r>
      <w:r>
        <w:rPr>
          <w:rFonts w:ascii="Times New Roman" w:hAnsi="Times New Roman" w:cs="Times New Roman"/>
          <w:i/>
          <w:iCs/>
          <w:noProof/>
          <w:sz w:val="24"/>
          <w:szCs w:val="24"/>
        </w:rPr>
        <w:t>Journal of Biological Chemistry</w:t>
      </w:r>
      <w:r>
        <w:rPr>
          <w:rFonts w:ascii="Times New Roman" w:hAnsi="Times New Roman" w:cs="Times New Roman"/>
          <w:noProof/>
          <w:sz w:val="24"/>
          <w:szCs w:val="24"/>
        </w:rPr>
        <w:t xml:space="preserve"> (Vol. 292, Issue 27). https://doi.org/10.1074/jbc.R117.779678</w:t>
      </w:r>
    </w:p>
    <w:p w14:paraId="3D1E9BA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Rouge, N., Buri, P., &amp; Doelker, E. (1996). Drug absorption sites in the gastrointestinal tract and dosage forms for site-specific delivery. </w:t>
      </w:r>
      <w:r>
        <w:rPr>
          <w:rFonts w:ascii="Times New Roman" w:hAnsi="Times New Roman" w:cs="Times New Roman"/>
          <w:i/>
          <w:iCs/>
          <w:noProof/>
          <w:sz w:val="24"/>
          <w:szCs w:val="24"/>
        </w:rPr>
        <w:t>International Journal of Pharmaceutics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136</w:t>
      </w:r>
      <w:r>
        <w:rPr>
          <w:rFonts w:ascii="Times New Roman" w:hAnsi="Times New Roman" w:cs="Times New Roman"/>
          <w:noProof/>
          <w:sz w:val="24"/>
          <w:szCs w:val="24"/>
        </w:rPr>
        <w:t>(1–2). https://doi.org/10.1016/0378-5173(96)85200-8</w:t>
      </w:r>
    </w:p>
    <w:p w14:paraId="5A46E37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Ruwizhi, N., &amp; Aderibigbe, B. A. (2020). The efficacy of cholesterol-based carriers in drug delivery. In </w:t>
      </w:r>
      <w:r>
        <w:rPr>
          <w:rFonts w:ascii="Times New Roman" w:hAnsi="Times New Roman" w:cs="Times New Roman"/>
          <w:i/>
          <w:iCs/>
          <w:noProof/>
          <w:sz w:val="24"/>
          <w:szCs w:val="24"/>
        </w:rPr>
        <w:t>Molecules</w:t>
      </w:r>
      <w:r>
        <w:rPr>
          <w:rFonts w:ascii="Times New Roman" w:hAnsi="Times New Roman" w:cs="Times New Roman"/>
          <w:noProof/>
          <w:sz w:val="24"/>
          <w:szCs w:val="24"/>
        </w:rPr>
        <w:t xml:space="preserve"> (Vol. 25, Issue 18). https://doi.org/10.3390/molecules25184330</w:t>
      </w:r>
    </w:p>
    <w:p w14:paraId="6C91E94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Sadee, W., Wang, D., Hartmann, K., &amp; Toland, A. E. (2023). Pharmacogenomics: Driving Personalized Medicine. In </w:t>
      </w:r>
      <w:r>
        <w:rPr>
          <w:rFonts w:ascii="Times New Roman" w:hAnsi="Times New Roman" w:cs="Times New Roman"/>
          <w:i/>
          <w:iCs/>
          <w:noProof/>
          <w:sz w:val="24"/>
          <w:szCs w:val="24"/>
        </w:rPr>
        <w:t>Pharmacological Reviews</w:t>
      </w:r>
      <w:r>
        <w:rPr>
          <w:rFonts w:ascii="Times New Roman" w:hAnsi="Times New Roman" w:cs="Times New Roman"/>
          <w:noProof/>
          <w:sz w:val="24"/>
          <w:szCs w:val="24"/>
        </w:rPr>
        <w:t xml:space="preserve"> (Vol. 75, Issue 4). https://doi.org/10.1124/pharmrev.122.000810</w:t>
      </w:r>
    </w:p>
    <w:p w14:paraId="34AE615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Santos, H. A. (2013). Non-animal methods used in drug discovery: Drug absorption and metabolism. </w:t>
      </w:r>
      <w:r>
        <w:rPr>
          <w:rFonts w:ascii="Times New Roman" w:hAnsi="Times New Roman" w:cs="Times New Roman"/>
          <w:i/>
          <w:iCs/>
          <w:noProof/>
          <w:sz w:val="24"/>
          <w:szCs w:val="24"/>
        </w:rPr>
        <w:t>Current Drug Metabolism</w:t>
      </w:r>
      <w:r>
        <w:rPr>
          <w:rFonts w:ascii="Times New Roman" w:hAnsi="Times New Roman" w:cs="Times New Roman"/>
          <w:noProof/>
          <w:sz w:val="24"/>
          <w:szCs w:val="24"/>
        </w:rPr>
        <w:t xml:space="preserve">, </w:t>
      </w:r>
      <w:r>
        <w:rPr>
          <w:rFonts w:ascii="Times New Roman" w:hAnsi="Times New Roman" w:cs="Times New Roman"/>
          <w:i/>
          <w:iCs/>
          <w:noProof/>
          <w:sz w:val="24"/>
          <w:szCs w:val="24"/>
        </w:rPr>
        <w:t>14</w:t>
      </w:r>
      <w:r>
        <w:rPr>
          <w:rFonts w:ascii="Times New Roman" w:hAnsi="Times New Roman" w:cs="Times New Roman"/>
          <w:noProof/>
          <w:sz w:val="24"/>
          <w:szCs w:val="24"/>
        </w:rPr>
        <w:t>(1).</w:t>
      </w:r>
    </w:p>
    <w:p w14:paraId="20D84043"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Scheer, N., McLaughlin, L. A., Rode, A., MacLeod, A. K., Henderson, C. J., &amp; Wolf, C. </w:t>
      </w:r>
      <w:r>
        <w:rPr>
          <w:rFonts w:ascii="Times New Roman" w:hAnsi="Times New Roman" w:cs="Times New Roman"/>
          <w:noProof/>
          <w:sz w:val="24"/>
          <w:szCs w:val="24"/>
        </w:rPr>
        <w:lastRenderedPageBreak/>
        <w:t xml:space="preserve">R. (2014). Deletion of 30 murine cytochrome p450 genes results in viable mice with compromised drug metabolism. </w:t>
      </w:r>
      <w:r>
        <w:rPr>
          <w:rFonts w:ascii="Times New Roman" w:hAnsi="Times New Roman" w:cs="Times New Roman"/>
          <w:i/>
          <w:iCs/>
          <w:noProof/>
          <w:sz w:val="24"/>
          <w:szCs w:val="24"/>
        </w:rPr>
        <w:t>Drug Metabolism and Disposition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42</w:t>
      </w:r>
      <w:r>
        <w:rPr>
          <w:rFonts w:ascii="Times New Roman" w:hAnsi="Times New Roman" w:cs="Times New Roman"/>
          <w:noProof/>
          <w:sz w:val="24"/>
          <w:szCs w:val="24"/>
        </w:rPr>
        <w:t>(6). https://doi.org/10.1124/dmd.114.057885</w:t>
      </w:r>
    </w:p>
    <w:p w14:paraId="23260A08"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Schneider, E., &amp; Clark, D. S. (2013). Cytochrome P450 (CYP) enzymes and the development of CYP biosensors. In </w:t>
      </w:r>
      <w:r>
        <w:rPr>
          <w:rFonts w:ascii="Times New Roman" w:hAnsi="Times New Roman" w:cs="Times New Roman"/>
          <w:i/>
          <w:iCs/>
          <w:noProof/>
          <w:sz w:val="24"/>
          <w:szCs w:val="24"/>
        </w:rPr>
        <w:t>Biosensors and Bioelectronics</w:t>
      </w:r>
      <w:r>
        <w:rPr>
          <w:rFonts w:ascii="Times New Roman" w:hAnsi="Times New Roman" w:cs="Times New Roman"/>
          <w:noProof/>
          <w:sz w:val="24"/>
          <w:szCs w:val="24"/>
        </w:rPr>
        <w:t xml:space="preserve"> (Vol. 39, Issue 1). https://doi.org/10.1016/j.bios.2012.05.043</w:t>
      </w:r>
    </w:p>
    <w:p w14:paraId="055B978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Shitara, Y., Horie, T., &amp; Sugiyama, Y. (2006). Transporters as a determinant of drug clearance and tissue distribution. In </w:t>
      </w:r>
      <w:r>
        <w:rPr>
          <w:rFonts w:ascii="Times New Roman" w:hAnsi="Times New Roman" w:cs="Times New Roman"/>
          <w:i/>
          <w:iCs/>
          <w:noProof/>
          <w:sz w:val="24"/>
          <w:szCs w:val="24"/>
        </w:rPr>
        <w:t>European Journal of Pharmaceutical Sciences</w:t>
      </w:r>
      <w:r>
        <w:rPr>
          <w:rFonts w:ascii="Times New Roman" w:hAnsi="Times New Roman" w:cs="Times New Roman"/>
          <w:noProof/>
          <w:sz w:val="24"/>
          <w:szCs w:val="24"/>
        </w:rPr>
        <w:t xml:space="preserve"> (Vol. 27, Issue 5). https://doi.org/10.1016/j.ejps.2005.12.003</w:t>
      </w:r>
    </w:p>
    <w:p w14:paraId="25D08F2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Siebenmorgen, T., &amp; Zacharias, M. (2020). Computational prediction of protein–protein binding affinities. In </w:t>
      </w:r>
      <w:r>
        <w:rPr>
          <w:rFonts w:ascii="Times New Roman" w:hAnsi="Times New Roman" w:cs="Times New Roman"/>
          <w:i/>
          <w:iCs/>
          <w:noProof/>
          <w:sz w:val="24"/>
          <w:szCs w:val="24"/>
        </w:rPr>
        <w:t>Wiley Interdisciplinary Reviews: Computational Molecular Science</w:t>
      </w:r>
      <w:r>
        <w:rPr>
          <w:rFonts w:ascii="Times New Roman" w:hAnsi="Times New Roman" w:cs="Times New Roman"/>
          <w:noProof/>
          <w:sz w:val="24"/>
          <w:szCs w:val="24"/>
        </w:rPr>
        <w:t xml:space="preserve"> (Vol. 10, Issue 3). https://doi.org/10.1002/wcms.1448</w:t>
      </w:r>
    </w:p>
    <w:p w14:paraId="4D1089B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Simola, J., Siebenhühner, F., Myrov, V., Kantojärvi, K., Paunio, T., Palva, J. M., Brattico, E., &amp; Palva, S. (2022). Genetic polymorphisms in COMT and BDNF influence synchronization dynamics of human neuronal oscillations. </w:t>
      </w:r>
      <w:r>
        <w:rPr>
          <w:rFonts w:ascii="Times New Roman" w:hAnsi="Times New Roman" w:cs="Times New Roman"/>
          <w:i/>
          <w:iCs/>
          <w:noProof/>
          <w:sz w:val="24"/>
          <w:szCs w:val="24"/>
        </w:rPr>
        <w:t>IScience</w:t>
      </w:r>
      <w:r>
        <w:rPr>
          <w:rFonts w:ascii="Times New Roman" w:hAnsi="Times New Roman" w:cs="Times New Roman"/>
          <w:noProof/>
          <w:sz w:val="24"/>
          <w:szCs w:val="24"/>
        </w:rPr>
        <w:t xml:space="preserve">, </w:t>
      </w:r>
      <w:r>
        <w:rPr>
          <w:rFonts w:ascii="Times New Roman" w:hAnsi="Times New Roman" w:cs="Times New Roman"/>
          <w:i/>
          <w:iCs/>
          <w:noProof/>
          <w:sz w:val="24"/>
          <w:szCs w:val="24"/>
        </w:rPr>
        <w:t>25</w:t>
      </w:r>
      <w:r>
        <w:rPr>
          <w:rFonts w:ascii="Times New Roman" w:hAnsi="Times New Roman" w:cs="Times New Roman"/>
          <w:noProof/>
          <w:sz w:val="24"/>
          <w:szCs w:val="24"/>
        </w:rPr>
        <w:t>(9). https://doi.org/10.1016/j.isci.2022.104985</w:t>
      </w:r>
    </w:p>
    <w:p w14:paraId="0E80BE7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Spjuth, O., Rydberg, P., Willighagen, E. L., Evelo, C. T., &amp; Jeliazkova, N. (2016). XMetDB: An open access database for xenobiotic metabolism. </w:t>
      </w:r>
      <w:r>
        <w:rPr>
          <w:rFonts w:ascii="Times New Roman" w:hAnsi="Times New Roman" w:cs="Times New Roman"/>
          <w:i/>
          <w:iCs/>
          <w:noProof/>
          <w:sz w:val="24"/>
          <w:szCs w:val="24"/>
        </w:rPr>
        <w:t>Journal of Cheminformatics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8</w:t>
      </w:r>
      <w:r>
        <w:rPr>
          <w:rFonts w:ascii="Times New Roman" w:hAnsi="Times New Roman" w:cs="Times New Roman"/>
          <w:noProof/>
          <w:sz w:val="24"/>
          <w:szCs w:val="24"/>
        </w:rPr>
        <w:t>(1). https://doi.org/10.1186/s13321-016-0161-3</w:t>
      </w:r>
    </w:p>
    <w:p w14:paraId="7C18053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Spruill, M. L., Maletic-Savatic, M., Martin, H., Li, F., &amp; Liu, X. (2022). Spatial analysis of drug absorption, distribution, metabolism, and toxicology using mass spectrometry imaging. In </w:t>
      </w:r>
      <w:r>
        <w:rPr>
          <w:rFonts w:ascii="Times New Roman" w:hAnsi="Times New Roman" w:cs="Times New Roman"/>
          <w:i/>
          <w:iCs/>
          <w:noProof/>
          <w:sz w:val="24"/>
          <w:szCs w:val="24"/>
        </w:rPr>
        <w:t>Biochemical Pharmacology</w:t>
      </w:r>
      <w:r>
        <w:rPr>
          <w:rFonts w:ascii="Times New Roman" w:hAnsi="Times New Roman" w:cs="Times New Roman"/>
          <w:noProof/>
          <w:sz w:val="24"/>
          <w:szCs w:val="24"/>
        </w:rPr>
        <w:t xml:space="preserve"> (Vol. 201). https://doi.org/10.1016/j.bcp.2022.115080</w:t>
      </w:r>
    </w:p>
    <w:p w14:paraId="408DFAD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Srividya, B. (2016). Impact of Alcohol on Drug Metabolism and Alcohol-Drug Pharmacokinetic Interactions in Alcoholics. </w:t>
      </w:r>
      <w:r>
        <w:rPr>
          <w:rFonts w:ascii="Times New Roman" w:hAnsi="Times New Roman" w:cs="Times New Roman"/>
          <w:i/>
          <w:iCs/>
          <w:noProof/>
          <w:sz w:val="24"/>
          <w:szCs w:val="24"/>
        </w:rPr>
        <w:t>Journal of Pharmacology and Toxicological Studies</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(2).</w:t>
      </w:r>
    </w:p>
    <w:p w14:paraId="21DC990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Stavropoulou, E., Pircalabioru, G. G., &amp; Bezirtzoglou, E. (2018). The role of cytochromes P450 in infection. In </w:t>
      </w:r>
      <w:r>
        <w:rPr>
          <w:rFonts w:ascii="Times New Roman" w:hAnsi="Times New Roman" w:cs="Times New Roman"/>
          <w:i/>
          <w:iCs/>
          <w:noProof/>
          <w:sz w:val="24"/>
          <w:szCs w:val="24"/>
        </w:rPr>
        <w:t>Frontiers in Immunology</w:t>
      </w:r>
      <w:r>
        <w:rPr>
          <w:rFonts w:ascii="Times New Roman" w:hAnsi="Times New Roman" w:cs="Times New Roman"/>
          <w:noProof/>
          <w:sz w:val="24"/>
          <w:szCs w:val="24"/>
        </w:rPr>
        <w:t xml:space="preserve"> (Vol. 9, Issue JAN). https://doi.org/10.3389/fimmu.2018.00089</w:t>
      </w:r>
    </w:p>
    <w:p w14:paraId="26E70DE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Surapaneni, K. M. (2023). “METAPAD” (METAbolic PAthways Decoded) – a gaming innovation to ease the complexity of metabolic pathways by promoting self-directed, active, participatory learning in small groups. </w:t>
      </w:r>
      <w:r>
        <w:rPr>
          <w:rFonts w:ascii="Times New Roman" w:hAnsi="Times New Roman" w:cs="Times New Roman"/>
          <w:i/>
          <w:iCs/>
          <w:noProof/>
          <w:sz w:val="24"/>
          <w:szCs w:val="24"/>
        </w:rPr>
        <w:t>BMC Medical Education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23</w:t>
      </w:r>
      <w:r>
        <w:rPr>
          <w:rFonts w:ascii="Times New Roman" w:hAnsi="Times New Roman" w:cs="Times New Roman"/>
          <w:noProof/>
          <w:sz w:val="24"/>
          <w:szCs w:val="24"/>
        </w:rPr>
        <w:t>(1). https://doi.org/10.1186/s12909-023-04587-5</w:t>
      </w:r>
    </w:p>
    <w:p w14:paraId="090D8D3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Suresh, S. (2004). In vitro cell culture models and its implications in drug discovery. </w:t>
      </w:r>
      <w:r>
        <w:rPr>
          <w:rFonts w:ascii="Times New Roman" w:hAnsi="Times New Roman" w:cs="Times New Roman"/>
          <w:i/>
          <w:iCs/>
          <w:noProof/>
          <w:sz w:val="24"/>
          <w:szCs w:val="24"/>
        </w:rPr>
        <w:t>Pharmaceutical Information and Articles Http://Pharmainfo.Net/</w:t>
      </w:r>
      <w:r>
        <w:rPr>
          <w:rFonts w:ascii="Times New Roman" w:hAnsi="Times New Roman" w:cs="Times New Roman"/>
          <w:noProof/>
          <w:sz w:val="24"/>
          <w:szCs w:val="24"/>
        </w:rPr>
        <w:t xml:space="preserve">, </w:t>
      </w:r>
      <w:r>
        <w:rPr>
          <w:rFonts w:ascii="Times New Roman" w:hAnsi="Times New Roman" w:cs="Times New Roman"/>
          <w:i/>
          <w:iCs/>
          <w:noProof/>
          <w:sz w:val="24"/>
          <w:szCs w:val="24"/>
        </w:rPr>
        <w:t>Ref {#}2717 of 2800 in sirius july 20 2007.ref</w:t>
      </w:r>
      <w:r>
        <w:rPr>
          <w:rFonts w:ascii="Times New Roman" w:hAnsi="Times New Roman" w:cs="Times New Roman"/>
          <w:noProof/>
          <w:sz w:val="24"/>
          <w:szCs w:val="24"/>
        </w:rPr>
        <w:t>.</w:t>
      </w:r>
    </w:p>
    <w:p w14:paraId="67EF748F"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Tanaka, E. (1999). Clinically significant pharmacokinetic drug interactions between antiepileptic drugs. In </w:t>
      </w:r>
      <w:r>
        <w:rPr>
          <w:rFonts w:ascii="Times New Roman" w:hAnsi="Times New Roman" w:cs="Times New Roman"/>
          <w:i/>
          <w:iCs/>
          <w:noProof/>
          <w:sz w:val="24"/>
          <w:szCs w:val="24"/>
        </w:rPr>
        <w:t>Journal of Clinical Pharmacy and Therapeutics</w:t>
      </w:r>
      <w:r>
        <w:rPr>
          <w:rFonts w:ascii="Times New Roman" w:hAnsi="Times New Roman" w:cs="Times New Roman"/>
          <w:noProof/>
          <w:sz w:val="24"/>
          <w:szCs w:val="24"/>
        </w:rPr>
        <w:t xml:space="preserve"> (Vol. 24, Issue 2). https://doi.org/10.1046/j.1365-2710.1999.00201.x</w:t>
      </w:r>
    </w:p>
    <w:p w14:paraId="68577C45"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Tang, C., Lin, J. H., &amp; Lu, A. Y. H. (2005). Metabolism-based drug-drug interactions: What determines individual variability in cytochrome P450 induction? In </w:t>
      </w:r>
      <w:r>
        <w:rPr>
          <w:rFonts w:ascii="Times New Roman" w:hAnsi="Times New Roman" w:cs="Times New Roman"/>
          <w:i/>
          <w:iCs/>
          <w:noProof/>
          <w:sz w:val="24"/>
          <w:szCs w:val="24"/>
        </w:rPr>
        <w:t>Drug Metabolism and Disposition</w:t>
      </w:r>
      <w:r>
        <w:rPr>
          <w:rFonts w:ascii="Times New Roman" w:hAnsi="Times New Roman" w:cs="Times New Roman"/>
          <w:noProof/>
          <w:sz w:val="24"/>
          <w:szCs w:val="24"/>
        </w:rPr>
        <w:t xml:space="preserve"> (Vol. 33, Issue 5). https://doi.org/10.1124/dmd.104.003236</w:t>
      </w:r>
    </w:p>
    <w:p w14:paraId="7F475999"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Thelen, K., &amp; Dressman, J. B. (2010). Cytochrome P450-mediated metabolism in the human gut wall. </w:t>
      </w:r>
      <w:r>
        <w:rPr>
          <w:rFonts w:ascii="Times New Roman" w:hAnsi="Times New Roman" w:cs="Times New Roman"/>
          <w:i/>
          <w:iCs/>
          <w:noProof/>
          <w:sz w:val="24"/>
          <w:szCs w:val="24"/>
        </w:rPr>
        <w:t>Journal of Pharmacy and Pharmacology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61</w:t>
      </w:r>
      <w:r>
        <w:rPr>
          <w:rFonts w:ascii="Times New Roman" w:hAnsi="Times New Roman" w:cs="Times New Roman"/>
          <w:noProof/>
          <w:sz w:val="24"/>
          <w:szCs w:val="24"/>
        </w:rPr>
        <w:t>(5). https://doi.org/10.1211/jpp.61.05.0002</w:t>
      </w:r>
    </w:p>
    <w:p w14:paraId="6F45506B"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Vivek Chavda*, M M Soniwala, J. R. C. (2012). LIPID BASED DELIVERY SYSTEMS: </w:t>
      </w:r>
      <w:r>
        <w:rPr>
          <w:rFonts w:ascii="Times New Roman" w:hAnsi="Times New Roman" w:cs="Times New Roman"/>
          <w:noProof/>
          <w:sz w:val="24"/>
          <w:szCs w:val="24"/>
        </w:rPr>
        <w:lastRenderedPageBreak/>
        <w:t xml:space="preserve">ONE STEP AHEAD IN IMPROVING SOLUBILITY OF POORLY SOLUBLE DRUGS. </w:t>
      </w:r>
      <w:r>
        <w:rPr>
          <w:rFonts w:ascii="Times New Roman" w:hAnsi="Times New Roman" w:cs="Times New Roman"/>
          <w:i/>
          <w:iCs/>
          <w:noProof/>
          <w:sz w:val="24"/>
          <w:szCs w:val="24"/>
        </w:rPr>
        <w:t>Inventi:Prndds/9897/21</w:t>
      </w:r>
      <w:r>
        <w:rPr>
          <w:rFonts w:ascii="Times New Roman" w:hAnsi="Times New Roman" w:cs="Times New Roman"/>
          <w:noProof/>
          <w:sz w:val="24"/>
          <w:szCs w:val="24"/>
        </w:rPr>
        <w:t>.</w:t>
      </w:r>
    </w:p>
    <w:p w14:paraId="512B133A"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Wang, D., Papp, A. C., &amp; Sun, X. (2015). Functional characterization of CYP2D6 enhancer polymorphisms. </w:t>
      </w:r>
      <w:r>
        <w:rPr>
          <w:rFonts w:ascii="Times New Roman" w:hAnsi="Times New Roman" w:cs="Times New Roman"/>
          <w:i/>
          <w:iCs/>
          <w:noProof/>
          <w:sz w:val="24"/>
          <w:szCs w:val="24"/>
        </w:rPr>
        <w:t>Human Molecular Genetics</w:t>
      </w:r>
      <w:r>
        <w:rPr>
          <w:rFonts w:ascii="Times New Roman" w:hAnsi="Times New Roman" w:cs="Times New Roman"/>
          <w:noProof/>
          <w:sz w:val="24"/>
          <w:szCs w:val="24"/>
        </w:rPr>
        <w:t xml:space="preserve">, </w:t>
      </w:r>
      <w:r>
        <w:rPr>
          <w:rFonts w:ascii="Times New Roman" w:hAnsi="Times New Roman" w:cs="Times New Roman"/>
          <w:i/>
          <w:iCs/>
          <w:noProof/>
          <w:sz w:val="24"/>
          <w:szCs w:val="24"/>
        </w:rPr>
        <w:t>24</w:t>
      </w:r>
      <w:r>
        <w:rPr>
          <w:rFonts w:ascii="Times New Roman" w:hAnsi="Times New Roman" w:cs="Times New Roman"/>
          <w:noProof/>
          <w:sz w:val="24"/>
          <w:szCs w:val="24"/>
        </w:rPr>
        <w:t>(6). https://doi.org/10.1093/hmg/ddu566</w:t>
      </w:r>
    </w:p>
    <w:p w14:paraId="7C8D89B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Wang, H., Wang, M., &amp; Xia, Z. (2020). The maize class-i SUMO conjugating enzyme zmSCE1d is involved in drought stress response. </w:t>
      </w:r>
      <w:r>
        <w:rPr>
          <w:rFonts w:ascii="Times New Roman" w:hAnsi="Times New Roman" w:cs="Times New Roman"/>
          <w:i/>
          <w:iCs/>
          <w:noProof/>
          <w:sz w:val="24"/>
          <w:szCs w:val="24"/>
        </w:rPr>
        <w:t>International Journal of Molecular Sciences</w:t>
      </w:r>
      <w:r>
        <w:rPr>
          <w:rFonts w:ascii="Times New Roman" w:hAnsi="Times New Roman" w:cs="Times New Roman"/>
          <w:noProof/>
          <w:sz w:val="24"/>
          <w:szCs w:val="24"/>
        </w:rPr>
        <w:t xml:space="preserve">, </w:t>
      </w:r>
      <w:r>
        <w:rPr>
          <w:rFonts w:ascii="Times New Roman" w:hAnsi="Times New Roman" w:cs="Times New Roman"/>
          <w:i/>
          <w:iCs/>
          <w:noProof/>
          <w:sz w:val="24"/>
          <w:szCs w:val="24"/>
        </w:rPr>
        <w:t>21</w:t>
      </w:r>
      <w:r>
        <w:rPr>
          <w:rFonts w:ascii="Times New Roman" w:hAnsi="Times New Roman" w:cs="Times New Roman"/>
          <w:noProof/>
          <w:sz w:val="24"/>
          <w:szCs w:val="24"/>
        </w:rPr>
        <w:t>(1). https://doi.org/10.3390/ijms21010029</w:t>
      </w:r>
    </w:p>
    <w:p w14:paraId="5CE9E030"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Xu, C., Li, C. Y. T., &amp; Kong, A. N. T. (2005). Induction of phase I, II and III drug metabolism/transport by xenobiotics. In </w:t>
      </w:r>
      <w:r>
        <w:rPr>
          <w:rFonts w:ascii="Times New Roman" w:hAnsi="Times New Roman" w:cs="Times New Roman"/>
          <w:i/>
          <w:iCs/>
          <w:noProof/>
          <w:sz w:val="24"/>
          <w:szCs w:val="24"/>
        </w:rPr>
        <w:t>Archives of Pharmacal Research</w:t>
      </w:r>
      <w:r>
        <w:rPr>
          <w:rFonts w:ascii="Times New Roman" w:hAnsi="Times New Roman" w:cs="Times New Roman"/>
          <w:noProof/>
          <w:sz w:val="24"/>
          <w:szCs w:val="24"/>
        </w:rPr>
        <w:t xml:space="preserve"> (Vol. 28, Issue 3). https://doi.org/10.1007/BF02977789</w:t>
      </w:r>
    </w:p>
    <w:p w14:paraId="134A8B0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Yajima, K., &amp; Nishimura, S. (2009). Consideration on molecular imaging technology as a tool for drug research and development. In </w:t>
      </w:r>
      <w:r>
        <w:rPr>
          <w:rFonts w:ascii="Times New Roman" w:hAnsi="Times New Roman" w:cs="Times New Roman"/>
          <w:i/>
          <w:iCs/>
          <w:noProof/>
          <w:sz w:val="24"/>
          <w:szCs w:val="24"/>
        </w:rPr>
        <w:t>Yakugaku Zasshi</w:t>
      </w:r>
      <w:r>
        <w:rPr>
          <w:rFonts w:ascii="Times New Roman" w:hAnsi="Times New Roman" w:cs="Times New Roman"/>
          <w:noProof/>
          <w:sz w:val="24"/>
          <w:szCs w:val="24"/>
        </w:rPr>
        <w:t xml:space="preserve"> (Vol. 129, Issue 3). https://doi.org/10.1248/yakushi.129.297</w:t>
      </w:r>
    </w:p>
    <w:p w14:paraId="2DC51DA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Yang, Y., Aloysius, H., Inoyama, D., Chen, Y., &amp; Hu, L. (2011). Enzyme-mediated hydrolytic activation of prodrugs. </w:t>
      </w:r>
      <w:r>
        <w:rPr>
          <w:rFonts w:ascii="Times New Roman" w:hAnsi="Times New Roman" w:cs="Times New Roman"/>
          <w:i/>
          <w:iCs/>
          <w:noProof/>
          <w:sz w:val="24"/>
          <w:szCs w:val="24"/>
        </w:rPr>
        <w:t>Acta Pharmaceutica Sinica B</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(3). https://doi.org/10.1016/j.apsb.2011.08.001</w:t>
      </w:r>
    </w:p>
    <w:p w14:paraId="7E0E9442"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Yiannakopoulou, E. (2015). Pharmacogenomics and opioid analgesics: Clinical implications. In </w:t>
      </w:r>
      <w:r>
        <w:rPr>
          <w:rFonts w:ascii="Times New Roman" w:hAnsi="Times New Roman" w:cs="Times New Roman"/>
          <w:i/>
          <w:iCs/>
          <w:noProof/>
          <w:sz w:val="24"/>
          <w:szCs w:val="24"/>
        </w:rPr>
        <w:t>International Journal of Genomics</w:t>
      </w:r>
      <w:r>
        <w:rPr>
          <w:rFonts w:ascii="Times New Roman" w:hAnsi="Times New Roman" w:cs="Times New Roman"/>
          <w:noProof/>
          <w:sz w:val="24"/>
          <w:szCs w:val="24"/>
        </w:rPr>
        <w:t xml:space="preserve"> (Vol. 2015). https://doi.org/10.1155/2015/368979</w:t>
      </w:r>
    </w:p>
    <w:p w14:paraId="105AA1F7"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Zanger, U. M., &amp; Schwab, M. (2013). Cytochrome P450 enzymes in drug metabolism: Regulation of gene expression, enzyme activities, and impact of genetic variation. In </w:t>
      </w:r>
      <w:r>
        <w:rPr>
          <w:rFonts w:ascii="Times New Roman" w:hAnsi="Times New Roman" w:cs="Times New Roman"/>
          <w:i/>
          <w:iCs/>
          <w:noProof/>
          <w:sz w:val="24"/>
          <w:szCs w:val="24"/>
        </w:rPr>
        <w:t>Pharmacology and Therapeutics</w:t>
      </w:r>
      <w:r>
        <w:rPr>
          <w:rFonts w:ascii="Times New Roman" w:hAnsi="Times New Roman" w:cs="Times New Roman"/>
          <w:noProof/>
          <w:sz w:val="24"/>
          <w:szCs w:val="24"/>
        </w:rPr>
        <w:t xml:space="preserve"> (Vol. 138, Issue 1). https://doi.org/10.1016/j.pharmthera.2012.12.007</w:t>
      </w:r>
    </w:p>
    <w:p w14:paraId="0004291F"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Zhang, W., Guo, Z., Zhou, Y., Liu, H., &amp; Zhang, L. (2015). Biotransformation and detoxification of inorganic arsenic in Bombay oyster Saccostrea cucullata. </w:t>
      </w:r>
      <w:r>
        <w:rPr>
          <w:rFonts w:ascii="Times New Roman" w:hAnsi="Times New Roman" w:cs="Times New Roman"/>
          <w:i/>
          <w:iCs/>
          <w:noProof/>
          <w:sz w:val="24"/>
          <w:szCs w:val="24"/>
        </w:rPr>
        <w:t>Aquatic Toxicology</w:t>
      </w:r>
      <w:r>
        <w:rPr>
          <w:rFonts w:ascii="Times New Roman" w:hAnsi="Times New Roman" w:cs="Times New Roman"/>
          <w:noProof/>
          <w:sz w:val="24"/>
          <w:szCs w:val="24"/>
        </w:rPr>
        <w:t xml:space="preserve">, </w:t>
      </w:r>
      <w:r>
        <w:rPr>
          <w:rFonts w:ascii="Times New Roman" w:hAnsi="Times New Roman" w:cs="Times New Roman"/>
          <w:i/>
          <w:iCs/>
          <w:noProof/>
          <w:sz w:val="24"/>
          <w:szCs w:val="24"/>
        </w:rPr>
        <w:t>158</w:t>
      </w:r>
      <w:r>
        <w:rPr>
          <w:rFonts w:ascii="Times New Roman" w:hAnsi="Times New Roman" w:cs="Times New Roman"/>
          <w:noProof/>
          <w:sz w:val="24"/>
          <w:szCs w:val="24"/>
        </w:rPr>
        <w:t>. https://doi.org/10.1016/j.aquatox.2014.10.021</w:t>
      </w:r>
    </w:p>
    <w:p w14:paraId="3AAA3A11"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Zhao, M., Ma, J., Li, M., Zhang, Y., Jiang, B., Zhao, X., Huai, C., Shen, L., Zhang, N., He, L., &amp; Qin, S. (2021). Cytochrome p450 enzymes and drug metabolism in humans. In </w:t>
      </w:r>
      <w:r>
        <w:rPr>
          <w:rFonts w:ascii="Times New Roman" w:hAnsi="Times New Roman" w:cs="Times New Roman"/>
          <w:i/>
          <w:iCs/>
          <w:noProof/>
          <w:sz w:val="24"/>
          <w:szCs w:val="24"/>
        </w:rPr>
        <w:t>International Journal of Molecular Sciences</w:t>
      </w:r>
      <w:r>
        <w:rPr>
          <w:rFonts w:ascii="Times New Roman" w:hAnsi="Times New Roman" w:cs="Times New Roman"/>
          <w:noProof/>
          <w:sz w:val="24"/>
          <w:szCs w:val="24"/>
        </w:rPr>
        <w:t xml:space="preserve"> (Vol. 22, Issue 23). https://doi.org/10.3390/ijms222312808</w:t>
      </w:r>
    </w:p>
    <w:p w14:paraId="2F8273AC"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Zhou, X., Rougée, L. R. A., Bedwell, D. W., Cramer, J. W., Mohutsky, M. A., Calvert, N. A., Moulton, R. D., Cassidy, K. C., Yumibe, N. P., Adams, L. A., &amp; Ruterbories, K. J. (2016). Difference in the pharmacokinetics and hepatic metabolism of antidiabetic drugs in Zucker diabetic fatty and sprague-dawley rats. </w:t>
      </w:r>
      <w:r>
        <w:rPr>
          <w:rFonts w:ascii="Times New Roman" w:hAnsi="Times New Roman" w:cs="Times New Roman"/>
          <w:i/>
          <w:iCs/>
          <w:noProof/>
          <w:sz w:val="24"/>
          <w:szCs w:val="24"/>
        </w:rPr>
        <w:t>Drug Metabolism and Disposition</w:t>
      </w:r>
      <w:r>
        <w:rPr>
          <w:rFonts w:ascii="Times New Roman" w:hAnsi="Times New Roman" w:cs="Times New Roman"/>
          <w:noProof/>
          <w:sz w:val="24"/>
          <w:szCs w:val="24"/>
        </w:rPr>
        <w:t xml:space="preserve">, </w:t>
      </w:r>
      <w:r>
        <w:rPr>
          <w:rFonts w:ascii="Times New Roman" w:hAnsi="Times New Roman" w:cs="Times New Roman"/>
          <w:i/>
          <w:iCs/>
          <w:noProof/>
          <w:sz w:val="24"/>
          <w:szCs w:val="24"/>
        </w:rPr>
        <w:t>44</w:t>
      </w:r>
      <w:r>
        <w:rPr>
          <w:rFonts w:ascii="Times New Roman" w:hAnsi="Times New Roman" w:cs="Times New Roman"/>
          <w:noProof/>
          <w:sz w:val="24"/>
          <w:szCs w:val="24"/>
        </w:rPr>
        <w:t>(8). https://doi.org/10.1124/dmd.116.070623</w:t>
      </w:r>
    </w:p>
    <w:p w14:paraId="3A9C587D" w14:textId="77777777" w:rsidR="00460EB1" w:rsidRDefault="00460EB1" w:rsidP="00460EB1">
      <w:pPr>
        <w:pStyle w:val="ListParagraph"/>
        <w:widowControl w:val="0"/>
        <w:numPr>
          <w:ilvl w:val="0"/>
          <w:numId w:val="42"/>
        </w:numPr>
        <w:autoSpaceDE w:val="0"/>
        <w:autoSpaceDN w:val="0"/>
        <w:adjustRightInd w:val="0"/>
        <w:spacing w:line="480" w:lineRule="auto"/>
        <w:jc w:val="both"/>
        <w:rPr>
          <w:rFonts w:ascii="Times New Roman" w:hAnsi="Times New Roman" w:cs="Times New Roman"/>
          <w:noProof/>
          <w:sz w:val="24"/>
        </w:rPr>
      </w:pPr>
      <w:r>
        <w:rPr>
          <w:rFonts w:ascii="Times New Roman" w:hAnsi="Times New Roman" w:cs="Times New Roman"/>
          <w:noProof/>
          <w:sz w:val="24"/>
          <w:szCs w:val="24"/>
        </w:rPr>
        <w:t xml:space="preserve">Zimmermann, M., Zimmermann-Kogadeeva, M., Wegmann, R., &amp; Goodman, A. L. (2019). Separating host and microbiome contributions to drug pharmacokinetics and toxicity. </w:t>
      </w:r>
      <w:r>
        <w:rPr>
          <w:rFonts w:ascii="Times New Roman" w:hAnsi="Times New Roman" w:cs="Times New Roman"/>
          <w:i/>
          <w:iCs/>
          <w:noProof/>
          <w:sz w:val="24"/>
          <w:szCs w:val="24"/>
        </w:rPr>
        <w:t>Science</w:t>
      </w:r>
      <w:r>
        <w:rPr>
          <w:rFonts w:ascii="Times New Roman" w:hAnsi="Times New Roman" w:cs="Times New Roman"/>
          <w:noProof/>
          <w:sz w:val="24"/>
          <w:szCs w:val="24"/>
        </w:rPr>
        <w:t xml:space="preserve">, </w:t>
      </w:r>
      <w:r>
        <w:rPr>
          <w:rFonts w:ascii="Times New Roman" w:hAnsi="Times New Roman" w:cs="Times New Roman"/>
          <w:i/>
          <w:iCs/>
          <w:noProof/>
          <w:sz w:val="24"/>
          <w:szCs w:val="24"/>
        </w:rPr>
        <w:t>363</w:t>
      </w:r>
      <w:r>
        <w:rPr>
          <w:rFonts w:ascii="Times New Roman" w:hAnsi="Times New Roman" w:cs="Times New Roman"/>
          <w:noProof/>
          <w:sz w:val="24"/>
          <w:szCs w:val="24"/>
        </w:rPr>
        <w:t>(6427). https://doi.org/10.1126/science.aat9931</w:t>
      </w:r>
    </w:p>
    <w:p w14:paraId="1AFB866F" w14:textId="77777777" w:rsidR="00460EB1" w:rsidRDefault="00460EB1" w:rsidP="00460EB1">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3E610DB1" w14:textId="77777777" w:rsidR="00460EB1" w:rsidRDefault="00460EB1" w:rsidP="00460EB1">
      <w:pPr>
        <w:spacing w:line="480" w:lineRule="auto"/>
        <w:jc w:val="both"/>
        <w:rPr>
          <w:rFonts w:ascii="Times New Roman" w:hAnsi="Times New Roman" w:cs="Times New Roman"/>
          <w:sz w:val="24"/>
          <w:szCs w:val="24"/>
        </w:rPr>
      </w:pPr>
    </w:p>
    <w:p w14:paraId="2C571013" w14:textId="77777777" w:rsidR="00460EB1" w:rsidRDefault="00460EB1" w:rsidP="00460EB1">
      <w:pPr>
        <w:spacing w:line="480" w:lineRule="auto"/>
        <w:jc w:val="both"/>
        <w:rPr>
          <w:rFonts w:ascii="Times New Roman" w:hAnsi="Times New Roman" w:cs="Times New Roman"/>
          <w:sz w:val="24"/>
          <w:szCs w:val="24"/>
        </w:rPr>
      </w:pPr>
    </w:p>
    <w:p w14:paraId="23107B67" w14:textId="77777777" w:rsidR="00460EB1" w:rsidRDefault="00460EB1" w:rsidP="00460EB1">
      <w:pPr>
        <w:spacing w:line="480" w:lineRule="auto"/>
        <w:jc w:val="both"/>
        <w:rPr>
          <w:rFonts w:ascii="Times New Roman" w:hAnsi="Times New Roman" w:cs="Times New Roman"/>
          <w:sz w:val="24"/>
          <w:szCs w:val="24"/>
        </w:rPr>
      </w:pPr>
    </w:p>
    <w:p w14:paraId="4A5AD15E" w14:textId="77777777" w:rsidR="00460EB1" w:rsidRDefault="00460EB1" w:rsidP="00460EB1">
      <w:pPr>
        <w:spacing w:line="480" w:lineRule="auto"/>
        <w:jc w:val="both"/>
        <w:rPr>
          <w:rFonts w:ascii="Times New Roman" w:hAnsi="Times New Roman" w:cs="Times New Roman"/>
          <w:sz w:val="24"/>
          <w:szCs w:val="24"/>
        </w:rPr>
      </w:pPr>
    </w:p>
    <w:p w14:paraId="6657E814" w14:textId="77777777" w:rsidR="00460EB1" w:rsidRDefault="00460EB1">
      <w:pPr>
        <w:rPr>
          <w:rFonts w:ascii="Arial" w:hAnsi="Arial" w:cs="Arial"/>
          <w:b/>
          <w:bCs/>
          <w:sz w:val="24"/>
          <w:szCs w:val="24"/>
        </w:rPr>
      </w:pPr>
    </w:p>
    <w:sectPr w:rsidR="00460EB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7FD8E2" w14:textId="77777777" w:rsidR="00B65D09" w:rsidRDefault="00B65D09">
      <w:pPr>
        <w:spacing w:line="240" w:lineRule="auto"/>
      </w:pPr>
      <w:r>
        <w:separator/>
      </w:r>
    </w:p>
  </w:endnote>
  <w:endnote w:type="continuationSeparator" w:id="0">
    <w:p w14:paraId="6FAD0588" w14:textId="77777777" w:rsidR="00B65D09" w:rsidRDefault="00B65D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63C3FD" w14:textId="77777777" w:rsidR="00B65D09" w:rsidRDefault="00B65D09">
      <w:pPr>
        <w:spacing w:after="0"/>
      </w:pPr>
      <w:r>
        <w:separator/>
      </w:r>
    </w:p>
  </w:footnote>
  <w:footnote w:type="continuationSeparator" w:id="0">
    <w:p w14:paraId="6BE7C3A9" w14:textId="77777777" w:rsidR="00B65D09" w:rsidRDefault="00B65D0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9A264C" w14:textId="77777777" w:rsidR="00D17B00" w:rsidRDefault="00B65D09">
    <w:pPr>
      <w:pStyle w:val="Header"/>
    </w:pPr>
    <w:r>
      <w:rPr>
        <w:noProof/>
      </w:rPr>
      <w:drawing>
        <wp:inline distT="0" distB="0" distL="0" distR="0" wp14:anchorId="358399F4" wp14:editId="14B5E9E8">
          <wp:extent cx="5401310" cy="4953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401429" cy="495369"/>
                  </a:xfrm>
                  <a:prstGeom prst="rect">
                    <a:avLst/>
                  </a:prstGeom>
                </pic:spPr>
              </pic:pic>
            </a:graphicData>
          </a:graphic>
        </wp:inline>
      </w:drawing>
    </w:r>
  </w:p>
  <w:p w14:paraId="00BC11F9" w14:textId="77777777" w:rsidR="00D17B00" w:rsidRDefault="00D17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7847FC"/>
    <w:multiLevelType w:val="hybridMultilevel"/>
    <w:tmpl w:val="83F829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1785ABA"/>
    <w:multiLevelType w:val="hybridMultilevel"/>
    <w:tmpl w:val="8D7080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03C46A8"/>
    <w:multiLevelType w:val="hybridMultilevel"/>
    <w:tmpl w:val="2B967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7A1EB8"/>
    <w:multiLevelType w:val="hybridMultilevel"/>
    <w:tmpl w:val="6ADAB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5F73D6B"/>
    <w:multiLevelType w:val="hybridMultilevel"/>
    <w:tmpl w:val="EBA48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9A7276A"/>
    <w:multiLevelType w:val="hybridMultilevel"/>
    <w:tmpl w:val="8BBE5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BB047CC"/>
    <w:multiLevelType w:val="hybridMultilevel"/>
    <w:tmpl w:val="64B84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D637658"/>
    <w:multiLevelType w:val="hybridMultilevel"/>
    <w:tmpl w:val="9C9C8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CB524FC"/>
    <w:multiLevelType w:val="hybridMultilevel"/>
    <w:tmpl w:val="6D1435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F9F04B4"/>
    <w:multiLevelType w:val="hybridMultilevel"/>
    <w:tmpl w:val="3A3A3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79B5BD9"/>
    <w:multiLevelType w:val="hybridMultilevel"/>
    <w:tmpl w:val="9E8CD8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C1D3DCE"/>
    <w:multiLevelType w:val="hybridMultilevel"/>
    <w:tmpl w:val="779CF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E820886"/>
    <w:multiLevelType w:val="hybridMultilevel"/>
    <w:tmpl w:val="557CF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63FC7A27"/>
    <w:multiLevelType w:val="hybridMultilevel"/>
    <w:tmpl w:val="1D0CAE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4FF4D7F"/>
    <w:multiLevelType w:val="hybridMultilevel"/>
    <w:tmpl w:val="A64E8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6A05C20"/>
    <w:multiLevelType w:val="hybridMultilevel"/>
    <w:tmpl w:val="BFE68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A087D98"/>
    <w:multiLevelType w:val="hybridMultilevel"/>
    <w:tmpl w:val="ECEA7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72447C89"/>
    <w:multiLevelType w:val="hybridMultilevel"/>
    <w:tmpl w:val="F37A4F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F436E8"/>
    <w:multiLevelType w:val="hybridMultilevel"/>
    <w:tmpl w:val="35AC6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B04517"/>
    <w:multiLevelType w:val="hybridMultilevel"/>
    <w:tmpl w:val="69102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223C7"/>
    <w:multiLevelType w:val="hybridMultilevel"/>
    <w:tmpl w:val="D2D019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6"/>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4"/>
  </w:num>
  <w:num w:numId="6">
    <w:abstractNumId w:val="4"/>
    <w:lvlOverride w:ilvl="0"/>
    <w:lvlOverride w:ilvl="1"/>
    <w:lvlOverride w:ilvl="2"/>
    <w:lvlOverride w:ilvl="3"/>
    <w:lvlOverride w:ilvl="4"/>
    <w:lvlOverride w:ilvl="5"/>
    <w:lvlOverride w:ilvl="6"/>
    <w:lvlOverride w:ilvl="7"/>
    <w:lvlOverride w:ilvl="8"/>
  </w:num>
  <w:num w:numId="7">
    <w:abstractNumId w:val="15"/>
  </w:num>
  <w:num w:numId="8">
    <w:abstractNumId w:val="15"/>
    <w:lvlOverride w:ilvl="0"/>
    <w:lvlOverride w:ilvl="1"/>
    <w:lvlOverride w:ilvl="2"/>
    <w:lvlOverride w:ilvl="3"/>
    <w:lvlOverride w:ilvl="4"/>
    <w:lvlOverride w:ilvl="5"/>
    <w:lvlOverride w:ilvl="6"/>
    <w:lvlOverride w:ilvl="7"/>
    <w:lvlOverride w:ilvl="8"/>
  </w:num>
  <w:num w:numId="9">
    <w:abstractNumId w:val="2"/>
  </w:num>
  <w:num w:numId="10">
    <w:abstractNumId w:val="2"/>
    <w:lvlOverride w:ilvl="0"/>
    <w:lvlOverride w:ilvl="1"/>
    <w:lvlOverride w:ilvl="2"/>
    <w:lvlOverride w:ilvl="3"/>
    <w:lvlOverride w:ilvl="4"/>
    <w:lvlOverride w:ilvl="5"/>
    <w:lvlOverride w:ilvl="6"/>
    <w:lvlOverride w:ilvl="7"/>
    <w:lvlOverride w:ilvl="8"/>
  </w:num>
  <w:num w:numId="11">
    <w:abstractNumId w:val="1"/>
  </w:num>
  <w:num w:numId="12">
    <w:abstractNumId w:val="1"/>
    <w:lvlOverride w:ilvl="0"/>
    <w:lvlOverride w:ilvl="1"/>
    <w:lvlOverride w:ilvl="2"/>
    <w:lvlOverride w:ilvl="3"/>
    <w:lvlOverride w:ilvl="4"/>
    <w:lvlOverride w:ilvl="5"/>
    <w:lvlOverride w:ilvl="6"/>
    <w:lvlOverride w:ilvl="7"/>
    <w:lvlOverride w:ilvl="8"/>
  </w:num>
  <w:num w:numId="13">
    <w:abstractNumId w:val="20"/>
  </w:num>
  <w:num w:numId="14">
    <w:abstractNumId w:val="20"/>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lvlOverride w:ilvl="1"/>
    <w:lvlOverride w:ilvl="2"/>
    <w:lvlOverride w:ilvl="3"/>
    <w:lvlOverride w:ilvl="4"/>
    <w:lvlOverride w:ilvl="5"/>
    <w:lvlOverride w:ilvl="6"/>
    <w:lvlOverride w:ilvl="7"/>
    <w:lvlOverride w:ilvl="8"/>
  </w:num>
  <w:num w:numId="17">
    <w:abstractNumId w:val="8"/>
  </w:num>
  <w:num w:numId="18">
    <w:abstractNumId w:val="8"/>
    <w:lvlOverride w:ilvl="0"/>
    <w:lvlOverride w:ilvl="1"/>
    <w:lvlOverride w:ilvl="2"/>
    <w:lvlOverride w:ilvl="3"/>
    <w:lvlOverride w:ilvl="4"/>
    <w:lvlOverride w:ilvl="5"/>
    <w:lvlOverride w:ilvl="6"/>
    <w:lvlOverride w:ilvl="7"/>
    <w:lvlOverride w:ilvl="8"/>
  </w:num>
  <w:num w:numId="19">
    <w:abstractNumId w:val="12"/>
  </w:num>
  <w:num w:numId="20">
    <w:abstractNumId w:val="12"/>
    <w:lvlOverride w:ilvl="0"/>
    <w:lvlOverride w:ilvl="1"/>
    <w:lvlOverride w:ilvl="2"/>
    <w:lvlOverride w:ilvl="3"/>
    <w:lvlOverride w:ilvl="4"/>
    <w:lvlOverride w:ilvl="5"/>
    <w:lvlOverride w:ilvl="6"/>
    <w:lvlOverride w:ilvl="7"/>
    <w:lvlOverride w:ilvl="8"/>
  </w:num>
  <w:num w:numId="21">
    <w:abstractNumId w:val="7"/>
  </w:num>
  <w:num w:numId="22">
    <w:abstractNumId w:val="7"/>
    <w:lvlOverride w:ilvl="0"/>
    <w:lvlOverride w:ilvl="1"/>
    <w:lvlOverride w:ilvl="2"/>
    <w:lvlOverride w:ilvl="3"/>
    <w:lvlOverride w:ilvl="4"/>
    <w:lvlOverride w:ilvl="5"/>
    <w:lvlOverride w:ilvl="6"/>
    <w:lvlOverride w:ilvl="7"/>
    <w:lvlOverride w:ilvl="8"/>
  </w:num>
  <w:num w:numId="23">
    <w:abstractNumId w:val="11"/>
  </w:num>
  <w:num w:numId="24">
    <w:abstractNumId w:val="11"/>
    <w:lvlOverride w:ilvl="0"/>
    <w:lvlOverride w:ilvl="1"/>
    <w:lvlOverride w:ilvl="2"/>
    <w:lvlOverride w:ilvl="3"/>
    <w:lvlOverride w:ilvl="4"/>
    <w:lvlOverride w:ilvl="5"/>
    <w:lvlOverride w:ilvl="6"/>
    <w:lvlOverride w:ilvl="7"/>
    <w:lvlOverride w:ilvl="8"/>
  </w:num>
  <w:num w:numId="25">
    <w:abstractNumId w:val="3"/>
  </w:num>
  <w:num w:numId="26">
    <w:abstractNumId w:val="3"/>
    <w:lvlOverride w:ilvl="0"/>
    <w:lvlOverride w:ilvl="1"/>
    <w:lvlOverride w:ilvl="2"/>
    <w:lvlOverride w:ilvl="3"/>
    <w:lvlOverride w:ilvl="4"/>
    <w:lvlOverride w:ilvl="5"/>
    <w:lvlOverride w:ilvl="6"/>
    <w:lvlOverride w:ilvl="7"/>
    <w:lvlOverride w:ilvl="8"/>
  </w:num>
  <w:num w:numId="27">
    <w:abstractNumId w:val="0"/>
  </w:num>
  <w:num w:numId="28">
    <w:abstractNumId w:val="0"/>
    <w:lvlOverride w:ilvl="0"/>
    <w:lvlOverride w:ilvl="1"/>
    <w:lvlOverride w:ilvl="2"/>
    <w:lvlOverride w:ilvl="3"/>
    <w:lvlOverride w:ilvl="4"/>
    <w:lvlOverride w:ilvl="5"/>
    <w:lvlOverride w:ilvl="6"/>
    <w:lvlOverride w:ilvl="7"/>
    <w:lvlOverride w:ilvl="8"/>
  </w:num>
  <w:num w:numId="29">
    <w:abstractNumId w:val="14"/>
  </w:num>
  <w:num w:numId="30">
    <w:abstractNumId w:val="14"/>
    <w:lvlOverride w:ilvl="0"/>
    <w:lvlOverride w:ilvl="1"/>
    <w:lvlOverride w:ilvl="2"/>
    <w:lvlOverride w:ilvl="3"/>
    <w:lvlOverride w:ilvl="4"/>
    <w:lvlOverride w:ilvl="5"/>
    <w:lvlOverride w:ilvl="6"/>
    <w:lvlOverride w:ilvl="7"/>
    <w:lvlOverride w:ilvl="8"/>
  </w:num>
  <w:num w:numId="31">
    <w:abstractNumId w:val="19"/>
  </w:num>
  <w:num w:numId="32">
    <w:abstractNumId w:val="19"/>
    <w:lvlOverride w:ilvl="0"/>
    <w:lvlOverride w:ilvl="1"/>
    <w:lvlOverride w:ilvl="2"/>
    <w:lvlOverride w:ilvl="3"/>
    <w:lvlOverride w:ilvl="4"/>
    <w:lvlOverride w:ilvl="5"/>
    <w:lvlOverride w:ilvl="6"/>
    <w:lvlOverride w:ilvl="7"/>
    <w:lvlOverride w:ilvl="8"/>
  </w:num>
  <w:num w:numId="33">
    <w:abstractNumId w:val="5"/>
  </w:num>
  <w:num w:numId="34">
    <w:abstractNumId w:val="5"/>
    <w:lvlOverride w:ilvl="0"/>
    <w:lvlOverride w:ilvl="1"/>
    <w:lvlOverride w:ilvl="2"/>
    <w:lvlOverride w:ilvl="3"/>
    <w:lvlOverride w:ilvl="4"/>
    <w:lvlOverride w:ilvl="5"/>
    <w:lvlOverride w:ilvl="6"/>
    <w:lvlOverride w:ilvl="7"/>
    <w:lvlOverride w:ilvl="8"/>
  </w:num>
  <w:num w:numId="35">
    <w:abstractNumId w:val="13"/>
  </w:num>
  <w:num w:numId="36">
    <w:abstractNumId w:val="13"/>
    <w:lvlOverride w:ilvl="0"/>
    <w:lvlOverride w:ilvl="1"/>
    <w:lvlOverride w:ilvl="2"/>
    <w:lvlOverride w:ilvl="3"/>
    <w:lvlOverride w:ilvl="4"/>
    <w:lvlOverride w:ilvl="5"/>
    <w:lvlOverride w:ilvl="6"/>
    <w:lvlOverride w:ilvl="7"/>
    <w:lvlOverride w:ilvl="8"/>
  </w:num>
  <w:num w:numId="37">
    <w:abstractNumId w:val="18"/>
  </w:num>
  <w:num w:numId="38">
    <w:abstractNumId w:val="18"/>
    <w:lvlOverride w:ilvl="0"/>
    <w:lvlOverride w:ilvl="1"/>
    <w:lvlOverride w:ilvl="2"/>
    <w:lvlOverride w:ilvl="3"/>
    <w:lvlOverride w:ilvl="4"/>
    <w:lvlOverride w:ilvl="5"/>
    <w:lvlOverride w:ilvl="6"/>
    <w:lvlOverride w:ilvl="7"/>
    <w:lvlOverride w:ilvl="8"/>
  </w:num>
  <w:num w:numId="39">
    <w:abstractNumId w:val="6"/>
  </w:num>
  <w:num w:numId="40">
    <w:abstractNumId w:val="6"/>
    <w:lvlOverride w:ilvl="0"/>
    <w:lvlOverride w:ilvl="1"/>
    <w:lvlOverride w:ilvl="2"/>
    <w:lvlOverride w:ilvl="3"/>
    <w:lvlOverride w:ilvl="4"/>
    <w:lvlOverride w:ilvl="5"/>
    <w:lvlOverride w:ilvl="6"/>
    <w:lvlOverride w:ilvl="7"/>
    <w:lvlOverride w:ilvl="8"/>
  </w:num>
  <w:num w:numId="41">
    <w:abstractNumId w:val="10"/>
  </w:num>
  <w:num w:numId="42">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DDE"/>
    <w:rsid w:val="000377CF"/>
    <w:rsid w:val="00050B32"/>
    <w:rsid w:val="00087C14"/>
    <w:rsid w:val="001135F2"/>
    <w:rsid w:val="00144865"/>
    <w:rsid w:val="001C38B0"/>
    <w:rsid w:val="00302254"/>
    <w:rsid w:val="003D1601"/>
    <w:rsid w:val="003D5464"/>
    <w:rsid w:val="00437F13"/>
    <w:rsid w:val="00460EB1"/>
    <w:rsid w:val="00555269"/>
    <w:rsid w:val="005C0327"/>
    <w:rsid w:val="00632511"/>
    <w:rsid w:val="006C794F"/>
    <w:rsid w:val="006E1DDE"/>
    <w:rsid w:val="00707300"/>
    <w:rsid w:val="007736AC"/>
    <w:rsid w:val="0077435A"/>
    <w:rsid w:val="007D0773"/>
    <w:rsid w:val="00924B1A"/>
    <w:rsid w:val="00995A51"/>
    <w:rsid w:val="00A54A4B"/>
    <w:rsid w:val="00A8674B"/>
    <w:rsid w:val="00B65D09"/>
    <w:rsid w:val="00B960EE"/>
    <w:rsid w:val="00BA2991"/>
    <w:rsid w:val="00BB2BFC"/>
    <w:rsid w:val="00C31251"/>
    <w:rsid w:val="00C63EFD"/>
    <w:rsid w:val="00CE2B96"/>
    <w:rsid w:val="00D17B00"/>
    <w:rsid w:val="00E61D9B"/>
    <w:rsid w:val="00EF0AB0"/>
    <w:rsid w:val="00FB7834"/>
    <w:rsid w:val="20297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D9F26"/>
  <w15:docId w15:val="{2EC21252-E226-4E59-9566-283793494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ZW" w:eastAsia="en-Z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000FF"/>
      <w:u w:val="single"/>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customStyle="1" w:styleId="Default">
    <w:name w:val="Default"/>
    <w:pPr>
      <w:autoSpaceDE w:val="0"/>
      <w:autoSpaceDN w:val="0"/>
      <w:adjustRightInd w:val="0"/>
    </w:pPr>
    <w:rPr>
      <w:rFonts w:ascii="Calibri" w:hAnsi="Calibri" w:cs="Calibri"/>
      <w:color w:val="000000"/>
      <w:sz w:val="24"/>
      <w:szCs w:val="24"/>
      <w:lang w:val="en-US"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customStyle="1" w:styleId="Bibliography1">
    <w:name w:val="Bibliography1"/>
    <w:basedOn w:val="Normal"/>
    <w:next w:val="Normal"/>
    <w:uiPriority w:val="37"/>
    <w:unhideWhenUsed/>
  </w:style>
  <w:style w:type="paragraph" w:customStyle="1" w:styleId="msonormal0">
    <w:name w:val="msonormal"/>
    <w:basedOn w:val="Normal"/>
    <w:rsid w:val="00460EB1"/>
    <w:pPr>
      <w:spacing w:before="100" w:beforeAutospacing="1" w:after="100" w:afterAutospacing="1" w:line="240" w:lineRule="auto"/>
    </w:pPr>
    <w:rPr>
      <w:rFonts w:ascii="Times New Roman" w:eastAsia="Times New Roman" w:hAnsi="Times New Roman" w:cs="Times New Roman"/>
      <w:sz w:val="24"/>
      <w:szCs w:val="24"/>
      <w:lang w:val="en-ZW" w:eastAsia="en-ZW"/>
    </w:rPr>
  </w:style>
  <w:style w:type="paragraph" w:styleId="ListParagraph">
    <w:name w:val="List Paragraph"/>
    <w:basedOn w:val="Normal"/>
    <w:uiPriority w:val="34"/>
    <w:qFormat/>
    <w:rsid w:val="00460EB1"/>
    <w:pPr>
      <w:spacing w:line="256" w:lineRule="auto"/>
      <w:ind w:left="720"/>
      <w:contextualSpacing/>
    </w:pPr>
  </w:style>
  <w:style w:type="character" w:customStyle="1" w:styleId="mord">
    <w:name w:val="mord"/>
    <w:basedOn w:val="DefaultParagraphFont"/>
    <w:rsid w:val="00460EB1"/>
  </w:style>
  <w:style w:type="character" w:customStyle="1" w:styleId="mrel">
    <w:name w:val="mrel"/>
    <w:basedOn w:val="DefaultParagraphFont"/>
    <w:rsid w:val="00460EB1"/>
  </w:style>
  <w:style w:type="character" w:customStyle="1" w:styleId="delimsizing">
    <w:name w:val="delimsizing"/>
    <w:basedOn w:val="DefaultParagraphFont"/>
    <w:rsid w:val="00460EB1"/>
  </w:style>
  <w:style w:type="character" w:customStyle="1" w:styleId="vlist-s">
    <w:name w:val="vlist-s"/>
    <w:basedOn w:val="DefaultParagraphFont"/>
    <w:rsid w:val="00460EB1"/>
  </w:style>
  <w:style w:type="character" w:customStyle="1" w:styleId="mbin">
    <w:name w:val="mbin"/>
    <w:basedOn w:val="DefaultParagraphFont"/>
    <w:rsid w:val="00460E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3323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Jam21</b:Tag>
    <b:SourceType>Interview</b:SourceType>
    <b:Guid>{1AF2A0C8-1F14-464D-A540-7666904A0419}</b:Guid>
    <b:Title>Cooperatives in Australia</b:Title>
    <b:Year>2021</b:Year>
    <b:Month>March</b:Month>
    <b:Day>25</b:Day>
    <b:Author>
      <b:Interviewee>
        <b:NameList>
          <b:Person>
            <b:Last>Clark</b:Last>
            <b:First>James</b:First>
          </b:Person>
        </b:NameList>
      </b:Interviewee>
      <b:Interviewer>
        <b:NameList>
          <b:Person>
            <b:Last>Mora</b:Last>
            <b:First>William</b:First>
          </b:Person>
        </b:NameList>
      </b:Interviewer>
    </b:Author>
    <b:RefOrder>3</b:RefOrder>
  </b:Source>
  <b:Source>
    <b:Tag>Ang18</b:Tag>
    <b:SourceType>InternetSite</b:SourceType>
    <b:Guid>{EC29D567-A7AB-400B-AD8D-7C5D48262460}</b:Guid>
    <b:Title>Savings Groups</b:Title>
    <b:Year>2018</b:Year>
    <b:Month>July</b:Month>
    <b:Day>15</b:Day>
    <b:Author>
      <b:Author>
        <b:NameList>
          <b:Person>
            <b:Last>Cooperatives</b:Last>
            <b:First>Angolan</b:First>
          </b:Person>
        </b:NameList>
      </b:Author>
    </b:Author>
    <b:InternetSiteTitle>youtube</b:InternetSiteTitle>
    <b:URL>http://www.youtube.com/2827565dj3h58</b:URL>
    <b:RefOrder>4</b:RefOrder>
  </b:Source>
  <b:Source>
    <b:Tag>Sta19</b:Tag>
    <b:SourceType>Book</b:SourceType>
    <b:Guid>{2712E7EA-AED1-401A-8214-D2D262F2815F}</b:Guid>
    <b:Title>Cost Accounting in a Family Business</b:Title>
    <b:Year>2019</b:Year>
    <b:Author>
      <b:Author>
        <b:NameList>
          <b:Person>
            <b:Last>Idehen</b:Last>
            <b:First>Stanley</b:First>
          </b:Person>
        </b:NameList>
      </b:Author>
    </b:Author>
    <b:City>Anywhere</b:City>
    <b:Publisher>Galaxy Press</b:Publisher>
    <b:RefOrder>2</b:RefOrder>
  </b:Source>
  <b:Source>
    <b:Tag>MyG211</b:Tag>
    <b:SourceType>Interview</b:SourceType>
    <b:Guid>{38286766-CDCC-44D4-8BAA-5EBCF753D19C}</b:Guid>
    <b:Title>Inspiration</b:Title>
    <b:Year>2021</b:Year>
    <b:Author>
      <b:Interviewee>
        <b:NameList>
          <b:Person>
            <b:Last>Grandmother</b:Last>
            <b:First>My</b:First>
          </b:Person>
        </b:NameList>
      </b:Interviewee>
      <b:Interviewer>
        <b:NameList>
          <b:Person>
            <b:Last>Mora</b:Last>
            <b:First>William</b:First>
          </b:Person>
        </b:NameList>
      </b:Interviewer>
    </b:Author>
    <b:Month>March</b:Month>
    <b:Day>28</b:Day>
    <b:RefOrder>1</b:RefOrder>
  </b:Source>
  <b:Source>
    <b:Tag>Dra212</b:Tag>
    <b:SourceType>Interview</b:SourceType>
    <b:Guid>{345867A3-246E-4415-AA4F-003FD48FE16D}</b:Guid>
    <b:Title>Trabajo Social y la Salud Mental</b:Title>
    <b:Year>2021</b:Year>
    <b:Month>Febrero</b:Month>
    <b:Day>22</b:Day>
    <b:Author>
      <b:Interviewee>
        <b:NameList>
          <b:Person>
            <b:Last>Rodriguez</b:Last>
            <b:First>Dra.</b:First>
            <b:Middle>Sandra</b:Middle>
          </b:Person>
        </b:NameList>
      </b:Interviewee>
      <b:Interviewer>
        <b:NameList>
          <b:Person>
            <b:Last>Dr</b:Last>
            <b:First>Edward</b:First>
            <b:Middle>Lambert</b:Middle>
          </b:Person>
        </b:NameList>
      </b:Interviewer>
    </b:Author>
    <b:RefOrder>5</b:RefOrder>
  </b:Source>
  <b:Source>
    <b:Tag>IMF18</b:Tag>
    <b:SourceType>InternetSite</b:SourceType>
    <b:Guid>{B4BD6450-6130-450D-9F1C-1B26ECDF608C}</b:Guid>
    <b:Title>IMF Financial Operations: Overview</b:Title>
    <b:Year>2018</b:Year>
    <b:Month>Mayo</b:Month>
    <b:Day>18</b:Day>
    <b:Medium>Video</b:Medium>
    <b:URL>https://www.youtube.com/watch?v=WQdLDMLrYIA</b:URL>
    <b:Author>
      <b:Author>
        <b:NameList>
          <b:Person>
            <b:Last>IMF</b:Last>
          </b:Person>
        </b:NameList>
      </b:Author>
      <b:Editor>
        <b:NameList>
          <b:Person>
            <b:Last>Youtube</b:Last>
          </b:Person>
        </b:NameList>
      </b:Editor>
    </b:Author>
    <b:RefOrder>6</b:RefOrder>
  </b:Source>
  <b:Source>
    <b:Tag>MyG21</b:Tag>
    <b:SourceType>Interview</b:SourceType>
    <b:Guid>{601E92EC-4847-4856-B1D1-441300D71B51}</b:Guid>
    <b:Title>My assignment</b:Title>
    <b:Year>2021</b:Year>
    <b:Month>March</b:Month>
    <b:Day>25</b:Day>
    <b:Author>
      <b:Interviewee>
        <b:NameList>
          <b:Person>
            <b:Last>Grandmother</b:Last>
            <b:First>My</b:First>
          </b:Person>
        </b:NameList>
      </b:Interviewee>
      <b:Interviewer>
        <b:NameList>
          <b:Person>
            <b:Last>Me</b:Last>
          </b:Person>
        </b:NameList>
      </b:Interviewer>
    </b:Author>
    <b:RefOrder>7</b:RefOrder>
  </b:Source>
</b:Sources>
</file>

<file path=customXml/itemProps1.xml><?xml version="1.0" encoding="utf-8"?>
<ds:datastoreItem xmlns:ds="http://schemas.openxmlformats.org/officeDocument/2006/customXml" ds:itemID="{F06B377A-67FA-4ABA-A1E3-2A4BC9FC8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85250</Words>
  <Characters>485928</Characters>
  <Application>Microsoft Office Word</Application>
  <DocSecurity>0</DocSecurity>
  <Lines>4049</Lines>
  <Paragraphs>1140</Paragraphs>
  <ScaleCrop>false</ScaleCrop>
  <Company/>
  <LinksUpToDate>false</LinksUpToDate>
  <CharactersWithSpaces>570038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Lambert</dc:creator>
  <cp:lastModifiedBy>Tonderai Rundu</cp:lastModifiedBy>
  <cp:revision>2</cp:revision>
  <dcterms:created xsi:type="dcterms:W3CDTF">2024-02-12T10:50:00Z</dcterms:created>
  <dcterms:modified xsi:type="dcterms:W3CDTF">2024-02-12T10:50:00Z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727BFCBAB3DC4EAB8469830BA3D5D0CF</vt:lpwstr>
  </property>
</Properties>
</file>