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93595" w14:textId="39502EF4" w:rsidR="003B4DF3" w:rsidRDefault="00E20CB5" w:rsidP="00E20CB5">
      <w:pPr>
        <w:spacing w:line="480" w:lineRule="auto"/>
        <w:jc w:val="both"/>
        <w:rPr>
          <w:sz w:val="24"/>
          <w:szCs w:val="24"/>
          <w:lang w:val="es-419"/>
        </w:rPr>
      </w:pPr>
      <w:r>
        <w:rPr>
          <w:sz w:val="24"/>
          <w:szCs w:val="24"/>
          <w:lang w:val="es-419"/>
        </w:rPr>
        <w:t>Lic. Ana Delia García Restituyo</w:t>
      </w:r>
    </w:p>
    <w:p w14:paraId="486CE31D" w14:textId="77777777" w:rsidR="00E20CB5" w:rsidRPr="00E20CB5" w:rsidRDefault="00E20CB5" w:rsidP="00E20CB5">
      <w:pPr>
        <w:spacing w:line="480" w:lineRule="auto"/>
        <w:jc w:val="both"/>
        <w:rPr>
          <w:sz w:val="24"/>
          <w:szCs w:val="24"/>
        </w:rPr>
      </w:pPr>
      <w:r w:rsidRPr="00E20CB5">
        <w:rPr>
          <w:b/>
          <w:bCs/>
          <w:sz w:val="24"/>
          <w:szCs w:val="24"/>
        </w:rPr>
        <w:t>Título: El Derecho Internacional: Un Marco para la Regulación y Protección Global</w:t>
      </w:r>
    </w:p>
    <w:p w14:paraId="1451B8E3" w14:textId="77777777" w:rsidR="00E20CB5" w:rsidRPr="00E20CB5" w:rsidRDefault="00E20CB5" w:rsidP="00E20CB5">
      <w:pPr>
        <w:spacing w:line="480" w:lineRule="auto"/>
        <w:jc w:val="both"/>
        <w:rPr>
          <w:sz w:val="24"/>
          <w:szCs w:val="24"/>
        </w:rPr>
      </w:pPr>
      <w:r w:rsidRPr="00E20CB5">
        <w:rPr>
          <w:b/>
          <w:bCs/>
          <w:sz w:val="24"/>
          <w:szCs w:val="24"/>
        </w:rPr>
        <w:t>Introducción</w:t>
      </w:r>
    </w:p>
    <w:p w14:paraId="1E2E9EC7" w14:textId="77777777" w:rsidR="00E20CB5" w:rsidRPr="00E20CB5" w:rsidRDefault="00E20CB5" w:rsidP="00E20CB5">
      <w:pPr>
        <w:spacing w:line="480" w:lineRule="auto"/>
        <w:jc w:val="both"/>
        <w:rPr>
          <w:sz w:val="24"/>
          <w:szCs w:val="24"/>
        </w:rPr>
      </w:pPr>
      <w:r w:rsidRPr="00E20CB5">
        <w:rPr>
          <w:sz w:val="24"/>
          <w:szCs w:val="24"/>
        </w:rPr>
        <w:t>El Derecho Internacional es un sistema normativo que regula las relaciones entre estados y actores internacionales en un contexto global. A lo largo de la historia, ha evolucionado para abordar una amplia gama de temas, desde la resolución de conflictos hasta la protección de los derechos humanos. Este ensayo explora las lecciones relacionadas con el Derecho Internacional, su evolución histórica y su impacto en la comunidad internacional.</w:t>
      </w:r>
    </w:p>
    <w:p w14:paraId="7D8E089D" w14:textId="77777777" w:rsidR="00E20CB5" w:rsidRPr="00E20CB5" w:rsidRDefault="00E20CB5" w:rsidP="00E20CB5">
      <w:pPr>
        <w:spacing w:line="480" w:lineRule="auto"/>
        <w:jc w:val="both"/>
        <w:rPr>
          <w:sz w:val="24"/>
          <w:szCs w:val="24"/>
        </w:rPr>
      </w:pPr>
      <w:r w:rsidRPr="00E20CB5">
        <w:rPr>
          <w:b/>
          <w:bCs/>
          <w:sz w:val="24"/>
          <w:szCs w:val="24"/>
        </w:rPr>
        <w:t>Lección 1: Antecedentes y Autores de la Calidad</w:t>
      </w:r>
    </w:p>
    <w:p w14:paraId="4CED6473" w14:textId="77777777" w:rsidR="00E20CB5" w:rsidRPr="00E20CB5" w:rsidRDefault="00E20CB5" w:rsidP="00E20CB5">
      <w:pPr>
        <w:spacing w:line="480" w:lineRule="auto"/>
        <w:jc w:val="both"/>
        <w:rPr>
          <w:sz w:val="24"/>
          <w:szCs w:val="24"/>
        </w:rPr>
      </w:pPr>
      <w:r w:rsidRPr="00E20CB5">
        <w:rPr>
          <w:sz w:val="24"/>
          <w:szCs w:val="24"/>
        </w:rPr>
        <w:t xml:space="preserve">1.1 </w:t>
      </w:r>
      <w:r w:rsidRPr="00E20CB5">
        <w:rPr>
          <w:b/>
          <w:bCs/>
          <w:sz w:val="24"/>
          <w:szCs w:val="24"/>
        </w:rPr>
        <w:t>Desarrollo Histórico</w:t>
      </w:r>
    </w:p>
    <w:p w14:paraId="4A335B88" w14:textId="77777777" w:rsidR="00E20CB5" w:rsidRPr="00E20CB5" w:rsidRDefault="00E20CB5" w:rsidP="00E20CB5">
      <w:pPr>
        <w:spacing w:line="480" w:lineRule="auto"/>
        <w:jc w:val="both"/>
        <w:rPr>
          <w:sz w:val="24"/>
          <w:szCs w:val="24"/>
        </w:rPr>
      </w:pPr>
      <w:r w:rsidRPr="00E20CB5">
        <w:rPr>
          <w:sz w:val="24"/>
          <w:szCs w:val="24"/>
        </w:rPr>
        <w:t xml:space="preserve">El uso del término "Derecho Internacional" se remonta a Jeremías </w:t>
      </w:r>
      <w:proofErr w:type="spellStart"/>
      <w:r w:rsidRPr="00E20CB5">
        <w:rPr>
          <w:sz w:val="24"/>
          <w:szCs w:val="24"/>
        </w:rPr>
        <w:t>Betham</w:t>
      </w:r>
      <w:proofErr w:type="spellEnd"/>
      <w:r w:rsidRPr="00E20CB5">
        <w:rPr>
          <w:sz w:val="24"/>
          <w:szCs w:val="24"/>
        </w:rPr>
        <w:t xml:space="preserve"> en 1789. En países de habla hispana, también se conoce como "Derecho de Gentes". El término "Derecho de Gentes" se ha utilizado desde el siglo XVI y se ha convertido en sinónimo de "Derecho Internacional".</w:t>
      </w:r>
    </w:p>
    <w:p w14:paraId="2F4B3C63" w14:textId="77777777" w:rsidR="00E20CB5" w:rsidRPr="00E20CB5" w:rsidRDefault="00E20CB5" w:rsidP="00E20CB5">
      <w:pPr>
        <w:spacing w:line="480" w:lineRule="auto"/>
        <w:jc w:val="both"/>
        <w:rPr>
          <w:sz w:val="24"/>
          <w:szCs w:val="24"/>
        </w:rPr>
      </w:pPr>
      <w:r w:rsidRPr="00E20CB5">
        <w:rPr>
          <w:b/>
          <w:bCs/>
          <w:sz w:val="24"/>
          <w:szCs w:val="24"/>
        </w:rPr>
        <w:t>Lección 2: Organización de la Comunidad Internacional</w:t>
      </w:r>
    </w:p>
    <w:p w14:paraId="74585C7B" w14:textId="77777777" w:rsidR="00E20CB5" w:rsidRPr="00E20CB5" w:rsidRDefault="00E20CB5" w:rsidP="00E20CB5">
      <w:pPr>
        <w:spacing w:line="480" w:lineRule="auto"/>
        <w:jc w:val="both"/>
        <w:rPr>
          <w:sz w:val="24"/>
          <w:szCs w:val="24"/>
        </w:rPr>
      </w:pPr>
      <w:r w:rsidRPr="00E20CB5">
        <w:rPr>
          <w:sz w:val="24"/>
          <w:szCs w:val="24"/>
        </w:rPr>
        <w:t xml:space="preserve">2.1 </w:t>
      </w:r>
      <w:r w:rsidRPr="00E20CB5">
        <w:rPr>
          <w:b/>
          <w:bCs/>
          <w:sz w:val="24"/>
          <w:szCs w:val="24"/>
        </w:rPr>
        <w:t>Origen, Evolución y Filosofía de la Calidad Total</w:t>
      </w:r>
    </w:p>
    <w:p w14:paraId="7CE0D590" w14:textId="77777777" w:rsidR="00E20CB5" w:rsidRPr="00E20CB5" w:rsidRDefault="00E20CB5" w:rsidP="00E20CB5">
      <w:pPr>
        <w:spacing w:line="480" w:lineRule="auto"/>
        <w:jc w:val="both"/>
        <w:rPr>
          <w:sz w:val="24"/>
          <w:szCs w:val="24"/>
        </w:rPr>
      </w:pPr>
      <w:r w:rsidRPr="00E20CB5">
        <w:rPr>
          <w:sz w:val="24"/>
          <w:szCs w:val="24"/>
        </w:rPr>
        <w:t>La organización internacional busca suprimir la anarquía y el desorden que resultan cuando los estados actúan de manera aislada. La interdependencia armoniosa de los estados y la protección de la libertad y la dignidad humanas son objetivos fundamentales de la comunidad internacional.</w:t>
      </w:r>
    </w:p>
    <w:p w14:paraId="586DF151" w14:textId="77777777" w:rsidR="00E20CB5" w:rsidRPr="00E20CB5" w:rsidRDefault="00E20CB5" w:rsidP="00E20CB5">
      <w:pPr>
        <w:spacing w:line="480" w:lineRule="auto"/>
        <w:jc w:val="both"/>
        <w:rPr>
          <w:sz w:val="24"/>
          <w:szCs w:val="24"/>
        </w:rPr>
      </w:pPr>
      <w:r w:rsidRPr="00E20CB5">
        <w:rPr>
          <w:b/>
          <w:bCs/>
          <w:sz w:val="24"/>
          <w:szCs w:val="24"/>
        </w:rPr>
        <w:lastRenderedPageBreak/>
        <w:t>Lección 3: Derecho Internacional de los Derechos Humanos</w:t>
      </w:r>
    </w:p>
    <w:p w14:paraId="0CCFA1F2" w14:textId="77777777" w:rsidR="00E20CB5" w:rsidRPr="00E20CB5" w:rsidRDefault="00E20CB5" w:rsidP="00E20CB5">
      <w:pPr>
        <w:spacing w:line="480" w:lineRule="auto"/>
        <w:jc w:val="both"/>
        <w:rPr>
          <w:sz w:val="24"/>
          <w:szCs w:val="24"/>
        </w:rPr>
      </w:pPr>
      <w:r w:rsidRPr="00E20CB5">
        <w:rPr>
          <w:sz w:val="24"/>
          <w:szCs w:val="24"/>
        </w:rPr>
        <w:t>Los derechos humanos son fundamentales y esenciales para los individuos, y el Derecho Internacional de los Derechos Humanos busca proteger a las personas contra actos que lesionen estos valores fundamentales.</w:t>
      </w:r>
    </w:p>
    <w:p w14:paraId="14847B83" w14:textId="77777777" w:rsidR="00E20CB5" w:rsidRPr="00E20CB5" w:rsidRDefault="00E20CB5" w:rsidP="00E20CB5">
      <w:pPr>
        <w:spacing w:line="480" w:lineRule="auto"/>
        <w:jc w:val="both"/>
        <w:rPr>
          <w:sz w:val="24"/>
          <w:szCs w:val="24"/>
        </w:rPr>
      </w:pPr>
      <w:r w:rsidRPr="00E20CB5">
        <w:rPr>
          <w:b/>
          <w:bCs/>
          <w:sz w:val="24"/>
          <w:szCs w:val="24"/>
        </w:rPr>
        <w:t>Lección 4: Derecho Internacional y Derecho Internacional Humanitario</w:t>
      </w:r>
    </w:p>
    <w:p w14:paraId="398305B7" w14:textId="77777777" w:rsidR="00E20CB5" w:rsidRPr="00E20CB5" w:rsidRDefault="00E20CB5" w:rsidP="00E20CB5">
      <w:pPr>
        <w:spacing w:line="480" w:lineRule="auto"/>
        <w:jc w:val="both"/>
        <w:rPr>
          <w:sz w:val="24"/>
          <w:szCs w:val="24"/>
        </w:rPr>
      </w:pPr>
      <w:r w:rsidRPr="00E20CB5">
        <w:rPr>
          <w:sz w:val="24"/>
          <w:szCs w:val="24"/>
        </w:rPr>
        <w:t>El Derecho Internacional y el Derecho Internacional Humanitario se centran en prevenir abusos y violaciones de los derechos humanos en conflictos internacionales. La ONU desempeña un papel crucial en este contexto.</w:t>
      </w:r>
    </w:p>
    <w:p w14:paraId="727F0F00" w14:textId="77777777" w:rsidR="00E20CB5" w:rsidRPr="00E20CB5" w:rsidRDefault="00E20CB5" w:rsidP="00E20CB5">
      <w:pPr>
        <w:spacing w:line="480" w:lineRule="auto"/>
        <w:jc w:val="both"/>
        <w:rPr>
          <w:sz w:val="24"/>
          <w:szCs w:val="24"/>
        </w:rPr>
      </w:pPr>
      <w:r w:rsidRPr="00E20CB5">
        <w:rPr>
          <w:b/>
          <w:bCs/>
          <w:sz w:val="24"/>
          <w:szCs w:val="24"/>
        </w:rPr>
        <w:t>Lección 5: Derecho Internacional Humanitario</w:t>
      </w:r>
    </w:p>
    <w:p w14:paraId="0F6F64D2" w14:textId="77777777" w:rsidR="00E20CB5" w:rsidRPr="00E20CB5" w:rsidRDefault="00E20CB5" w:rsidP="00E20CB5">
      <w:pPr>
        <w:spacing w:line="480" w:lineRule="auto"/>
        <w:jc w:val="both"/>
        <w:rPr>
          <w:sz w:val="24"/>
          <w:szCs w:val="24"/>
        </w:rPr>
      </w:pPr>
      <w:r w:rsidRPr="00E20CB5">
        <w:rPr>
          <w:sz w:val="24"/>
          <w:szCs w:val="24"/>
        </w:rPr>
        <w:t>El Derecho Internacional Humanitario establece normas que limitan el derecho de las partes en conflicto a elegir libremente los métodos y medios de la guerra, con el propósito de proteger a las personas y los bienes afectados.</w:t>
      </w:r>
    </w:p>
    <w:p w14:paraId="3F7B7C78" w14:textId="77777777" w:rsidR="00E20CB5" w:rsidRPr="00E20CB5" w:rsidRDefault="00E20CB5" w:rsidP="00E20CB5">
      <w:pPr>
        <w:spacing w:line="480" w:lineRule="auto"/>
        <w:jc w:val="both"/>
        <w:rPr>
          <w:sz w:val="24"/>
          <w:szCs w:val="24"/>
        </w:rPr>
      </w:pPr>
      <w:r w:rsidRPr="00E20CB5">
        <w:rPr>
          <w:b/>
          <w:bCs/>
          <w:sz w:val="24"/>
          <w:szCs w:val="24"/>
        </w:rPr>
        <w:t>Lección 6: Derecho de la Guerra</w:t>
      </w:r>
    </w:p>
    <w:p w14:paraId="7F62D990" w14:textId="77777777" w:rsidR="00E20CB5" w:rsidRPr="00E20CB5" w:rsidRDefault="00E20CB5" w:rsidP="00E20CB5">
      <w:pPr>
        <w:spacing w:line="480" w:lineRule="auto"/>
        <w:jc w:val="both"/>
        <w:rPr>
          <w:sz w:val="24"/>
          <w:szCs w:val="24"/>
        </w:rPr>
      </w:pPr>
      <w:r w:rsidRPr="00E20CB5">
        <w:rPr>
          <w:sz w:val="24"/>
          <w:szCs w:val="24"/>
        </w:rPr>
        <w:t>La guerra se ha transformado a lo largo del tiempo, y es esencial distinguir entre actos de violencia extrema penalmente castigados y actos de guerra.</w:t>
      </w:r>
    </w:p>
    <w:p w14:paraId="0E415E94" w14:textId="77777777" w:rsidR="00E20CB5" w:rsidRPr="00E20CB5" w:rsidRDefault="00E20CB5" w:rsidP="00E20CB5">
      <w:pPr>
        <w:spacing w:line="480" w:lineRule="auto"/>
        <w:jc w:val="both"/>
        <w:rPr>
          <w:sz w:val="24"/>
          <w:szCs w:val="24"/>
        </w:rPr>
      </w:pPr>
      <w:r w:rsidRPr="00E20CB5">
        <w:rPr>
          <w:b/>
          <w:bCs/>
          <w:sz w:val="24"/>
          <w:szCs w:val="24"/>
        </w:rPr>
        <w:t>Lección 7: Conducción de las Hostilidades</w:t>
      </w:r>
    </w:p>
    <w:p w14:paraId="7CD61194" w14:textId="77777777" w:rsidR="00E20CB5" w:rsidRPr="00E20CB5" w:rsidRDefault="00E20CB5" w:rsidP="00E20CB5">
      <w:pPr>
        <w:spacing w:line="480" w:lineRule="auto"/>
        <w:jc w:val="both"/>
        <w:rPr>
          <w:sz w:val="24"/>
          <w:szCs w:val="24"/>
        </w:rPr>
      </w:pPr>
      <w:r w:rsidRPr="00E20CB5">
        <w:rPr>
          <w:sz w:val="24"/>
          <w:szCs w:val="24"/>
        </w:rPr>
        <w:t>En los conflictos bélicos, se exige que los actos de guerra se dirijan solo contra combatientes y objetivos militares, evitando daños innecesarios a la población civil.</w:t>
      </w:r>
    </w:p>
    <w:p w14:paraId="3B6D5559" w14:textId="77777777" w:rsidR="00E20CB5" w:rsidRPr="00E20CB5" w:rsidRDefault="00E20CB5" w:rsidP="00E20CB5">
      <w:pPr>
        <w:spacing w:line="480" w:lineRule="auto"/>
        <w:jc w:val="both"/>
        <w:rPr>
          <w:sz w:val="24"/>
          <w:szCs w:val="24"/>
        </w:rPr>
      </w:pPr>
      <w:r w:rsidRPr="00E20CB5">
        <w:rPr>
          <w:b/>
          <w:bCs/>
          <w:sz w:val="24"/>
          <w:szCs w:val="24"/>
        </w:rPr>
        <w:t>Lección 8: El Derecho Internacional Humanitario en México</w:t>
      </w:r>
    </w:p>
    <w:p w14:paraId="6C701776" w14:textId="77777777" w:rsidR="00E20CB5" w:rsidRPr="00E20CB5" w:rsidRDefault="00E20CB5" w:rsidP="00E20CB5">
      <w:pPr>
        <w:spacing w:line="480" w:lineRule="auto"/>
        <w:jc w:val="both"/>
        <w:rPr>
          <w:sz w:val="24"/>
          <w:szCs w:val="24"/>
        </w:rPr>
      </w:pPr>
      <w:r w:rsidRPr="00E20CB5">
        <w:rPr>
          <w:sz w:val="24"/>
          <w:szCs w:val="24"/>
        </w:rPr>
        <w:lastRenderedPageBreak/>
        <w:t>El Derecho Internacional Humanitario se aplica en México a través de la Secretaría de Relaciones Exteriores (SER), que tiene la responsabilidad de coordinar las acciones internacionales y promover la política exterior.</w:t>
      </w:r>
    </w:p>
    <w:p w14:paraId="23410BCC" w14:textId="77777777" w:rsidR="00E20CB5" w:rsidRPr="00E20CB5" w:rsidRDefault="00E20CB5" w:rsidP="00E20CB5">
      <w:pPr>
        <w:spacing w:line="480" w:lineRule="auto"/>
        <w:jc w:val="both"/>
        <w:rPr>
          <w:sz w:val="24"/>
          <w:szCs w:val="24"/>
        </w:rPr>
      </w:pPr>
      <w:r w:rsidRPr="00E20CB5">
        <w:rPr>
          <w:b/>
          <w:bCs/>
          <w:sz w:val="24"/>
          <w:szCs w:val="24"/>
        </w:rPr>
        <w:t>Lección 9: Tratados y Convenios que Integran el DIH</w:t>
      </w:r>
    </w:p>
    <w:p w14:paraId="116E4364" w14:textId="77777777" w:rsidR="00E20CB5" w:rsidRPr="00E20CB5" w:rsidRDefault="00E20CB5" w:rsidP="00E20CB5">
      <w:pPr>
        <w:spacing w:line="480" w:lineRule="auto"/>
        <w:jc w:val="both"/>
        <w:rPr>
          <w:sz w:val="24"/>
          <w:szCs w:val="24"/>
        </w:rPr>
      </w:pPr>
      <w:r w:rsidRPr="00E20CB5">
        <w:rPr>
          <w:sz w:val="24"/>
          <w:szCs w:val="24"/>
        </w:rPr>
        <w:t>Los tratados internacionales, como los Convenios de Ginebra, establecen normas para la protección de las personas en conflictos armados.</w:t>
      </w:r>
    </w:p>
    <w:p w14:paraId="4E1C023C" w14:textId="77777777" w:rsidR="00E20CB5" w:rsidRPr="00E20CB5" w:rsidRDefault="00E20CB5" w:rsidP="00E20CB5">
      <w:pPr>
        <w:spacing w:line="480" w:lineRule="auto"/>
        <w:jc w:val="both"/>
        <w:rPr>
          <w:sz w:val="24"/>
          <w:szCs w:val="24"/>
        </w:rPr>
      </w:pPr>
      <w:r w:rsidRPr="00E20CB5">
        <w:rPr>
          <w:b/>
          <w:bCs/>
          <w:sz w:val="24"/>
          <w:szCs w:val="24"/>
        </w:rPr>
        <w:t>Lección 10: Organismos Encargados de Impulsar y Promover el DIH</w:t>
      </w:r>
    </w:p>
    <w:p w14:paraId="238E8666" w14:textId="77777777" w:rsidR="00E20CB5" w:rsidRPr="00E20CB5" w:rsidRDefault="00E20CB5" w:rsidP="00E20CB5">
      <w:pPr>
        <w:spacing w:line="480" w:lineRule="auto"/>
        <w:jc w:val="both"/>
        <w:rPr>
          <w:sz w:val="24"/>
          <w:szCs w:val="24"/>
        </w:rPr>
      </w:pPr>
      <w:r w:rsidRPr="00E20CB5">
        <w:rPr>
          <w:sz w:val="24"/>
          <w:szCs w:val="24"/>
        </w:rPr>
        <w:t>El Comité Internacional de la Cruz Roja (CICR) desempeña un papel fundamental en la promoción y protección del Derecho Internacional Humanitario.</w:t>
      </w:r>
    </w:p>
    <w:p w14:paraId="2DC6BF49" w14:textId="77777777" w:rsidR="00E20CB5" w:rsidRPr="00E20CB5" w:rsidRDefault="00E20CB5" w:rsidP="00E20CB5">
      <w:pPr>
        <w:spacing w:line="480" w:lineRule="auto"/>
        <w:jc w:val="both"/>
        <w:rPr>
          <w:sz w:val="24"/>
          <w:szCs w:val="24"/>
        </w:rPr>
      </w:pPr>
      <w:r w:rsidRPr="00E20CB5">
        <w:rPr>
          <w:b/>
          <w:bCs/>
          <w:sz w:val="24"/>
          <w:szCs w:val="24"/>
        </w:rPr>
        <w:t>Bibliografía en formato APA:</w:t>
      </w:r>
    </w:p>
    <w:p w14:paraId="3CA53141" w14:textId="77777777" w:rsidR="00E20CB5" w:rsidRPr="00E20CB5" w:rsidRDefault="00E20CB5" w:rsidP="00E20CB5">
      <w:pPr>
        <w:numPr>
          <w:ilvl w:val="0"/>
          <w:numId w:val="1"/>
        </w:numPr>
        <w:spacing w:line="480" w:lineRule="auto"/>
        <w:jc w:val="both"/>
        <w:rPr>
          <w:sz w:val="24"/>
          <w:szCs w:val="24"/>
        </w:rPr>
      </w:pPr>
      <w:r w:rsidRPr="00E20CB5">
        <w:rPr>
          <w:sz w:val="24"/>
          <w:szCs w:val="24"/>
          <w:lang w:val="en-US"/>
        </w:rPr>
        <w:t xml:space="preserve">Betham, J. (1789). An Introduction to the Principles of Morals and Legislation. </w:t>
      </w:r>
      <w:r w:rsidRPr="00E20CB5">
        <w:rPr>
          <w:sz w:val="24"/>
          <w:szCs w:val="24"/>
        </w:rPr>
        <w:t xml:space="preserve">Clarendon </w:t>
      </w:r>
      <w:proofErr w:type="spellStart"/>
      <w:r w:rsidRPr="00E20CB5">
        <w:rPr>
          <w:sz w:val="24"/>
          <w:szCs w:val="24"/>
        </w:rPr>
        <w:t>Press</w:t>
      </w:r>
      <w:proofErr w:type="spellEnd"/>
      <w:r w:rsidRPr="00E20CB5">
        <w:rPr>
          <w:sz w:val="24"/>
          <w:szCs w:val="24"/>
        </w:rPr>
        <w:t>.</w:t>
      </w:r>
    </w:p>
    <w:p w14:paraId="285F6D5F" w14:textId="77777777" w:rsidR="00E20CB5" w:rsidRPr="00E20CB5" w:rsidRDefault="00E20CB5" w:rsidP="00E20CB5">
      <w:pPr>
        <w:numPr>
          <w:ilvl w:val="0"/>
          <w:numId w:val="1"/>
        </w:numPr>
        <w:spacing w:line="480" w:lineRule="auto"/>
        <w:jc w:val="both"/>
        <w:rPr>
          <w:sz w:val="24"/>
          <w:szCs w:val="24"/>
        </w:rPr>
      </w:pPr>
      <w:r w:rsidRPr="00E20CB5">
        <w:rPr>
          <w:sz w:val="24"/>
          <w:szCs w:val="24"/>
          <w:lang w:val="en-US"/>
        </w:rPr>
        <w:t xml:space="preserve">Cassese, A. (2001). International Law (2nd ed.). </w:t>
      </w:r>
      <w:r w:rsidRPr="00E20CB5">
        <w:rPr>
          <w:sz w:val="24"/>
          <w:szCs w:val="24"/>
        </w:rPr>
        <w:t xml:space="preserve">Oxford </w:t>
      </w:r>
      <w:proofErr w:type="spellStart"/>
      <w:r w:rsidRPr="00E20CB5">
        <w:rPr>
          <w:sz w:val="24"/>
          <w:szCs w:val="24"/>
        </w:rPr>
        <w:t>University</w:t>
      </w:r>
      <w:proofErr w:type="spellEnd"/>
      <w:r w:rsidRPr="00E20CB5">
        <w:rPr>
          <w:sz w:val="24"/>
          <w:szCs w:val="24"/>
        </w:rPr>
        <w:t xml:space="preserve"> </w:t>
      </w:r>
      <w:proofErr w:type="spellStart"/>
      <w:r w:rsidRPr="00E20CB5">
        <w:rPr>
          <w:sz w:val="24"/>
          <w:szCs w:val="24"/>
        </w:rPr>
        <w:t>Press</w:t>
      </w:r>
      <w:proofErr w:type="spellEnd"/>
      <w:r w:rsidRPr="00E20CB5">
        <w:rPr>
          <w:sz w:val="24"/>
          <w:szCs w:val="24"/>
        </w:rPr>
        <w:t>.</w:t>
      </w:r>
    </w:p>
    <w:p w14:paraId="6FF3986C" w14:textId="77777777" w:rsidR="00E20CB5" w:rsidRPr="00E20CB5" w:rsidRDefault="00E20CB5" w:rsidP="00E20CB5">
      <w:pPr>
        <w:numPr>
          <w:ilvl w:val="0"/>
          <w:numId w:val="1"/>
        </w:numPr>
        <w:spacing w:line="480" w:lineRule="auto"/>
        <w:jc w:val="both"/>
        <w:rPr>
          <w:sz w:val="24"/>
          <w:szCs w:val="24"/>
          <w:lang w:val="en-US"/>
        </w:rPr>
      </w:pPr>
      <w:r w:rsidRPr="00E20CB5">
        <w:rPr>
          <w:sz w:val="24"/>
          <w:szCs w:val="24"/>
          <w:lang w:val="en-US"/>
        </w:rPr>
        <w:t>Henckaerts, J. M., &amp; Doswald-Beck, L. (2005). Customary International Humanitarian Law. Cambridge University Press.</w:t>
      </w:r>
    </w:p>
    <w:p w14:paraId="6F2B48F0" w14:textId="77777777" w:rsidR="00E20CB5" w:rsidRPr="00E20CB5" w:rsidRDefault="00E20CB5" w:rsidP="00E20CB5">
      <w:pPr>
        <w:numPr>
          <w:ilvl w:val="0"/>
          <w:numId w:val="1"/>
        </w:numPr>
        <w:spacing w:line="480" w:lineRule="auto"/>
        <w:jc w:val="both"/>
        <w:rPr>
          <w:sz w:val="24"/>
          <w:szCs w:val="24"/>
          <w:lang w:val="en-US"/>
        </w:rPr>
      </w:pPr>
      <w:r w:rsidRPr="00E20CB5">
        <w:rPr>
          <w:sz w:val="24"/>
          <w:szCs w:val="24"/>
          <w:lang w:val="en-US"/>
        </w:rPr>
        <w:t>Meron, T. (2000). The Humanization of Humanitarian Law. American Journal of International Law, 94(2), 239-278.</w:t>
      </w:r>
    </w:p>
    <w:p w14:paraId="6A9A19FE" w14:textId="77777777" w:rsidR="00E20CB5" w:rsidRPr="00E20CB5" w:rsidRDefault="00E20CB5" w:rsidP="00E20CB5">
      <w:pPr>
        <w:numPr>
          <w:ilvl w:val="0"/>
          <w:numId w:val="1"/>
        </w:numPr>
        <w:spacing w:line="480" w:lineRule="auto"/>
        <w:jc w:val="both"/>
        <w:rPr>
          <w:sz w:val="24"/>
          <w:szCs w:val="24"/>
        </w:rPr>
      </w:pPr>
      <w:r w:rsidRPr="00E20CB5">
        <w:rPr>
          <w:sz w:val="24"/>
          <w:szCs w:val="24"/>
          <w:lang w:val="en-US"/>
        </w:rPr>
        <w:t xml:space="preserve">Redmayne, R. (1993). The Golden Age of the International Committee of the Red Cross. </w:t>
      </w:r>
      <w:r w:rsidRPr="00E20CB5">
        <w:rPr>
          <w:sz w:val="24"/>
          <w:szCs w:val="24"/>
        </w:rPr>
        <w:t xml:space="preserve">International </w:t>
      </w:r>
      <w:proofErr w:type="spellStart"/>
      <w:r w:rsidRPr="00E20CB5">
        <w:rPr>
          <w:sz w:val="24"/>
          <w:szCs w:val="24"/>
        </w:rPr>
        <w:t>Review</w:t>
      </w:r>
      <w:proofErr w:type="spellEnd"/>
      <w:r w:rsidRPr="00E20CB5">
        <w:rPr>
          <w:sz w:val="24"/>
          <w:szCs w:val="24"/>
        </w:rPr>
        <w:t xml:space="preserve"> </w:t>
      </w:r>
      <w:proofErr w:type="spellStart"/>
      <w:r w:rsidRPr="00E20CB5">
        <w:rPr>
          <w:sz w:val="24"/>
          <w:szCs w:val="24"/>
        </w:rPr>
        <w:t>of</w:t>
      </w:r>
      <w:proofErr w:type="spellEnd"/>
      <w:r w:rsidRPr="00E20CB5">
        <w:rPr>
          <w:sz w:val="24"/>
          <w:szCs w:val="24"/>
        </w:rPr>
        <w:t xml:space="preserve"> </w:t>
      </w:r>
      <w:proofErr w:type="spellStart"/>
      <w:r w:rsidRPr="00E20CB5">
        <w:rPr>
          <w:sz w:val="24"/>
          <w:szCs w:val="24"/>
        </w:rPr>
        <w:t>the</w:t>
      </w:r>
      <w:proofErr w:type="spellEnd"/>
      <w:r w:rsidRPr="00E20CB5">
        <w:rPr>
          <w:sz w:val="24"/>
          <w:szCs w:val="24"/>
        </w:rPr>
        <w:t xml:space="preserve"> Red Cross, 33(293), 294-314.</w:t>
      </w:r>
    </w:p>
    <w:p w14:paraId="34E41A63" w14:textId="77777777" w:rsidR="00E20CB5" w:rsidRPr="00E20CB5" w:rsidRDefault="00E20CB5" w:rsidP="00E20CB5">
      <w:pPr>
        <w:spacing w:line="480" w:lineRule="auto"/>
        <w:jc w:val="both"/>
        <w:rPr>
          <w:vanish/>
          <w:sz w:val="24"/>
          <w:szCs w:val="24"/>
        </w:rPr>
      </w:pPr>
      <w:r w:rsidRPr="00E20CB5">
        <w:rPr>
          <w:vanish/>
          <w:sz w:val="24"/>
          <w:szCs w:val="24"/>
        </w:rPr>
        <w:t>Principio del formulario</w:t>
      </w:r>
    </w:p>
    <w:p w14:paraId="54E879C5" w14:textId="77777777" w:rsidR="00E20CB5" w:rsidRPr="00E20CB5" w:rsidRDefault="00E20CB5" w:rsidP="00E20CB5">
      <w:pPr>
        <w:spacing w:line="480" w:lineRule="auto"/>
        <w:jc w:val="both"/>
        <w:rPr>
          <w:sz w:val="24"/>
          <w:szCs w:val="24"/>
          <w:lang w:val="es-419"/>
        </w:rPr>
      </w:pPr>
    </w:p>
    <w:sectPr w:rsidR="00E20CB5" w:rsidRPr="00E20C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B46"/>
    <w:multiLevelType w:val="multilevel"/>
    <w:tmpl w:val="A1467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889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A7"/>
    <w:rsid w:val="003B4DF3"/>
    <w:rsid w:val="00990CA7"/>
    <w:rsid w:val="00CA0B74"/>
    <w:rsid w:val="00E20CB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294A"/>
  <w15:chartTrackingRefBased/>
  <w15:docId w15:val="{8092AF01-39CF-43C9-B1DC-06D66A6F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01735">
      <w:bodyDiv w:val="1"/>
      <w:marLeft w:val="0"/>
      <w:marRight w:val="0"/>
      <w:marTop w:val="0"/>
      <w:marBottom w:val="0"/>
      <w:divBdr>
        <w:top w:val="none" w:sz="0" w:space="0" w:color="auto"/>
        <w:left w:val="none" w:sz="0" w:space="0" w:color="auto"/>
        <w:bottom w:val="none" w:sz="0" w:space="0" w:color="auto"/>
        <w:right w:val="none" w:sz="0" w:space="0" w:color="auto"/>
      </w:divBdr>
      <w:divsChild>
        <w:div w:id="1231235779">
          <w:marLeft w:val="0"/>
          <w:marRight w:val="0"/>
          <w:marTop w:val="0"/>
          <w:marBottom w:val="0"/>
          <w:divBdr>
            <w:top w:val="single" w:sz="2" w:space="0" w:color="D9D9E3"/>
            <w:left w:val="single" w:sz="2" w:space="0" w:color="D9D9E3"/>
            <w:bottom w:val="single" w:sz="2" w:space="0" w:color="D9D9E3"/>
            <w:right w:val="single" w:sz="2" w:space="0" w:color="D9D9E3"/>
          </w:divBdr>
          <w:divsChild>
            <w:div w:id="1570265626">
              <w:marLeft w:val="0"/>
              <w:marRight w:val="0"/>
              <w:marTop w:val="0"/>
              <w:marBottom w:val="0"/>
              <w:divBdr>
                <w:top w:val="single" w:sz="2" w:space="0" w:color="D9D9E3"/>
                <w:left w:val="single" w:sz="2" w:space="0" w:color="D9D9E3"/>
                <w:bottom w:val="single" w:sz="2" w:space="0" w:color="D9D9E3"/>
                <w:right w:val="single" w:sz="2" w:space="0" w:color="D9D9E3"/>
              </w:divBdr>
              <w:divsChild>
                <w:div w:id="1380982178">
                  <w:marLeft w:val="0"/>
                  <w:marRight w:val="0"/>
                  <w:marTop w:val="0"/>
                  <w:marBottom w:val="0"/>
                  <w:divBdr>
                    <w:top w:val="single" w:sz="2" w:space="0" w:color="D9D9E3"/>
                    <w:left w:val="single" w:sz="2" w:space="0" w:color="D9D9E3"/>
                    <w:bottom w:val="single" w:sz="2" w:space="0" w:color="D9D9E3"/>
                    <w:right w:val="single" w:sz="2" w:space="0" w:color="D9D9E3"/>
                  </w:divBdr>
                  <w:divsChild>
                    <w:div w:id="803699439">
                      <w:marLeft w:val="0"/>
                      <w:marRight w:val="0"/>
                      <w:marTop w:val="0"/>
                      <w:marBottom w:val="0"/>
                      <w:divBdr>
                        <w:top w:val="single" w:sz="2" w:space="0" w:color="D9D9E3"/>
                        <w:left w:val="single" w:sz="2" w:space="0" w:color="D9D9E3"/>
                        <w:bottom w:val="single" w:sz="2" w:space="0" w:color="D9D9E3"/>
                        <w:right w:val="single" w:sz="2" w:space="0" w:color="D9D9E3"/>
                      </w:divBdr>
                      <w:divsChild>
                        <w:div w:id="510412793">
                          <w:marLeft w:val="0"/>
                          <w:marRight w:val="0"/>
                          <w:marTop w:val="0"/>
                          <w:marBottom w:val="0"/>
                          <w:divBdr>
                            <w:top w:val="single" w:sz="2" w:space="0" w:color="auto"/>
                            <w:left w:val="single" w:sz="2" w:space="0" w:color="auto"/>
                            <w:bottom w:val="single" w:sz="6" w:space="0" w:color="auto"/>
                            <w:right w:val="single" w:sz="2" w:space="0" w:color="auto"/>
                          </w:divBdr>
                          <w:divsChild>
                            <w:div w:id="858928192">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347521">
                                  <w:marLeft w:val="0"/>
                                  <w:marRight w:val="0"/>
                                  <w:marTop w:val="0"/>
                                  <w:marBottom w:val="0"/>
                                  <w:divBdr>
                                    <w:top w:val="single" w:sz="2" w:space="0" w:color="D9D9E3"/>
                                    <w:left w:val="single" w:sz="2" w:space="0" w:color="D9D9E3"/>
                                    <w:bottom w:val="single" w:sz="2" w:space="0" w:color="D9D9E3"/>
                                    <w:right w:val="single" w:sz="2" w:space="0" w:color="D9D9E3"/>
                                  </w:divBdr>
                                  <w:divsChild>
                                    <w:div w:id="1514684629">
                                      <w:marLeft w:val="0"/>
                                      <w:marRight w:val="0"/>
                                      <w:marTop w:val="0"/>
                                      <w:marBottom w:val="0"/>
                                      <w:divBdr>
                                        <w:top w:val="single" w:sz="2" w:space="0" w:color="D9D9E3"/>
                                        <w:left w:val="single" w:sz="2" w:space="0" w:color="D9D9E3"/>
                                        <w:bottom w:val="single" w:sz="2" w:space="0" w:color="D9D9E3"/>
                                        <w:right w:val="single" w:sz="2" w:space="0" w:color="D9D9E3"/>
                                      </w:divBdr>
                                      <w:divsChild>
                                        <w:div w:id="1636334316">
                                          <w:marLeft w:val="0"/>
                                          <w:marRight w:val="0"/>
                                          <w:marTop w:val="0"/>
                                          <w:marBottom w:val="0"/>
                                          <w:divBdr>
                                            <w:top w:val="single" w:sz="2" w:space="0" w:color="D9D9E3"/>
                                            <w:left w:val="single" w:sz="2" w:space="0" w:color="D9D9E3"/>
                                            <w:bottom w:val="single" w:sz="2" w:space="0" w:color="D9D9E3"/>
                                            <w:right w:val="single" w:sz="2" w:space="0" w:color="D9D9E3"/>
                                          </w:divBdr>
                                          <w:divsChild>
                                            <w:div w:id="1798137712">
                                              <w:marLeft w:val="0"/>
                                              <w:marRight w:val="0"/>
                                              <w:marTop w:val="0"/>
                                              <w:marBottom w:val="0"/>
                                              <w:divBdr>
                                                <w:top w:val="single" w:sz="2" w:space="0" w:color="D9D9E3"/>
                                                <w:left w:val="single" w:sz="2" w:space="0" w:color="D9D9E3"/>
                                                <w:bottom w:val="single" w:sz="2" w:space="0" w:color="D9D9E3"/>
                                                <w:right w:val="single" w:sz="2" w:space="0" w:color="D9D9E3"/>
                                              </w:divBdr>
                                              <w:divsChild>
                                                <w:div w:id="632489533">
                                                  <w:marLeft w:val="0"/>
                                                  <w:marRight w:val="0"/>
                                                  <w:marTop w:val="0"/>
                                                  <w:marBottom w:val="0"/>
                                                  <w:divBdr>
                                                    <w:top w:val="single" w:sz="2" w:space="0" w:color="D9D9E3"/>
                                                    <w:left w:val="single" w:sz="2" w:space="0" w:color="D9D9E3"/>
                                                    <w:bottom w:val="single" w:sz="2" w:space="0" w:color="D9D9E3"/>
                                                    <w:right w:val="single" w:sz="2" w:space="0" w:color="D9D9E3"/>
                                                  </w:divBdr>
                                                  <w:divsChild>
                                                    <w:div w:id="2064717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9980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3218</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Dilone (Restauracion)</dc:creator>
  <cp:keywords/>
  <dc:description/>
  <cp:lastModifiedBy>Ernesto Dilone (Restauracion)</cp:lastModifiedBy>
  <cp:revision>2</cp:revision>
  <dcterms:created xsi:type="dcterms:W3CDTF">2023-11-07T23:07:00Z</dcterms:created>
  <dcterms:modified xsi:type="dcterms:W3CDTF">2023-11-07T23:08:00Z</dcterms:modified>
</cp:coreProperties>
</file>