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B208E" w14:textId="77777777" w:rsidR="006E1DDE" w:rsidRPr="006E1DDE" w:rsidRDefault="006E1DDE" w:rsidP="006E1DDE">
      <w:pPr>
        <w:pStyle w:val="Default"/>
        <w:rPr>
          <w:rFonts w:ascii="Arial" w:hAnsi="Arial" w:cs="Arial"/>
        </w:rPr>
      </w:pPr>
    </w:p>
    <w:p w14:paraId="5DECE876" w14:textId="77777777" w:rsidR="006E1DDE" w:rsidRPr="006E1DDE" w:rsidRDefault="006E1DDE" w:rsidP="006E1DDE">
      <w:pPr>
        <w:pStyle w:val="Default"/>
        <w:jc w:val="center"/>
        <w:rPr>
          <w:rFonts w:ascii="Arial" w:hAnsi="Arial" w:cs="Arial"/>
          <w:sz w:val="32"/>
          <w:szCs w:val="32"/>
        </w:rPr>
      </w:pPr>
    </w:p>
    <w:p w14:paraId="649EE0E4" w14:textId="77777777" w:rsidR="006E1DDE" w:rsidRPr="006E1DDE" w:rsidRDefault="006E1DDE" w:rsidP="006E1DDE">
      <w:pPr>
        <w:pStyle w:val="Default"/>
        <w:jc w:val="center"/>
        <w:rPr>
          <w:rFonts w:ascii="Arial" w:hAnsi="Arial" w:cs="Arial"/>
          <w:sz w:val="32"/>
          <w:szCs w:val="32"/>
        </w:rPr>
      </w:pPr>
    </w:p>
    <w:p w14:paraId="3E26657E" w14:textId="77777777" w:rsidR="006E1DDE" w:rsidRPr="006E1DDE" w:rsidRDefault="006E1DDE" w:rsidP="006E1DDE">
      <w:pPr>
        <w:pStyle w:val="Default"/>
        <w:jc w:val="center"/>
        <w:rPr>
          <w:rFonts w:ascii="Arial" w:hAnsi="Arial" w:cs="Arial"/>
          <w:sz w:val="32"/>
          <w:szCs w:val="32"/>
        </w:rPr>
      </w:pPr>
    </w:p>
    <w:p w14:paraId="29E762EF" w14:textId="57259CE6" w:rsidR="006E1DDE" w:rsidRPr="00302254" w:rsidRDefault="00716FCB" w:rsidP="006E1DDE">
      <w:pPr>
        <w:pStyle w:val="Default"/>
        <w:jc w:val="center"/>
        <w:rPr>
          <w:rFonts w:ascii="Arial" w:hAnsi="Arial" w:cs="Arial"/>
          <w:b/>
          <w:sz w:val="40"/>
          <w:szCs w:val="40"/>
        </w:rPr>
      </w:pPr>
      <w:proofErr w:type="spellStart"/>
      <w:r>
        <w:rPr>
          <w:rFonts w:ascii="Arial" w:hAnsi="Arial" w:cs="Arial"/>
          <w:b/>
          <w:sz w:val="40"/>
          <w:szCs w:val="40"/>
        </w:rPr>
        <w:t>Tishau</w:t>
      </w:r>
      <w:r w:rsidR="00D265E8">
        <w:rPr>
          <w:rFonts w:ascii="Arial" w:hAnsi="Arial" w:cs="Arial"/>
          <w:b/>
          <w:sz w:val="40"/>
          <w:szCs w:val="40"/>
        </w:rPr>
        <w:t>n</w:t>
      </w:r>
      <w:r>
        <w:rPr>
          <w:rFonts w:ascii="Arial" w:hAnsi="Arial" w:cs="Arial"/>
          <w:b/>
          <w:sz w:val="40"/>
          <w:szCs w:val="40"/>
        </w:rPr>
        <w:t>na</w:t>
      </w:r>
      <w:proofErr w:type="spellEnd"/>
      <w:r>
        <w:rPr>
          <w:rFonts w:ascii="Arial" w:hAnsi="Arial" w:cs="Arial"/>
          <w:b/>
          <w:sz w:val="40"/>
          <w:szCs w:val="40"/>
        </w:rPr>
        <w:t xml:space="preserve"> Blair</w:t>
      </w:r>
    </w:p>
    <w:p w14:paraId="2CCB3D2C" w14:textId="77777777" w:rsidR="006E1DDE" w:rsidRPr="00302254" w:rsidRDefault="006E1DDE" w:rsidP="006E1DDE">
      <w:pPr>
        <w:pStyle w:val="Default"/>
        <w:jc w:val="center"/>
        <w:rPr>
          <w:rFonts w:ascii="Arial" w:hAnsi="Arial" w:cs="Arial"/>
          <w:b/>
          <w:bCs/>
          <w:sz w:val="40"/>
          <w:szCs w:val="40"/>
        </w:rPr>
      </w:pPr>
      <w:r w:rsidRPr="00302254">
        <w:rPr>
          <w:rFonts w:ascii="Arial" w:hAnsi="Arial" w:cs="Arial"/>
          <w:b/>
          <w:bCs/>
          <w:sz w:val="40"/>
          <w:szCs w:val="40"/>
        </w:rPr>
        <w:t>Your student ID number</w:t>
      </w:r>
    </w:p>
    <w:p w14:paraId="4A190EA5" w14:textId="77777777" w:rsidR="006E1DDE" w:rsidRPr="00302254" w:rsidRDefault="006E1DDE" w:rsidP="006E1DDE">
      <w:pPr>
        <w:pStyle w:val="Default"/>
        <w:jc w:val="center"/>
        <w:rPr>
          <w:rFonts w:ascii="Arial" w:hAnsi="Arial" w:cs="Arial"/>
          <w:b/>
          <w:bCs/>
          <w:sz w:val="40"/>
          <w:szCs w:val="40"/>
        </w:rPr>
      </w:pPr>
    </w:p>
    <w:p w14:paraId="29913BBF" w14:textId="77777777" w:rsidR="006E1DDE" w:rsidRPr="00302254" w:rsidRDefault="006E1DDE" w:rsidP="006E1DDE">
      <w:pPr>
        <w:pStyle w:val="Default"/>
        <w:jc w:val="center"/>
        <w:rPr>
          <w:rFonts w:ascii="Arial" w:hAnsi="Arial" w:cs="Arial"/>
          <w:b/>
          <w:bCs/>
          <w:sz w:val="40"/>
          <w:szCs w:val="40"/>
        </w:rPr>
      </w:pPr>
    </w:p>
    <w:p w14:paraId="43ADCD67" w14:textId="77777777" w:rsidR="006E1DDE" w:rsidRPr="00302254" w:rsidRDefault="006E1DDE" w:rsidP="006E1DDE">
      <w:pPr>
        <w:pStyle w:val="Default"/>
        <w:jc w:val="center"/>
        <w:rPr>
          <w:rFonts w:ascii="Arial" w:hAnsi="Arial" w:cs="Arial"/>
          <w:b/>
          <w:bCs/>
          <w:sz w:val="40"/>
          <w:szCs w:val="40"/>
        </w:rPr>
      </w:pPr>
    </w:p>
    <w:p w14:paraId="7DADB90A" w14:textId="514AC64C" w:rsidR="006E1DDE" w:rsidRDefault="006E1DDE" w:rsidP="006E1DDE">
      <w:pPr>
        <w:pStyle w:val="Default"/>
        <w:jc w:val="center"/>
        <w:rPr>
          <w:rFonts w:ascii="Arial" w:hAnsi="Arial" w:cs="Arial"/>
          <w:b/>
          <w:bCs/>
          <w:sz w:val="40"/>
          <w:szCs w:val="40"/>
        </w:rPr>
      </w:pPr>
    </w:p>
    <w:p w14:paraId="3CA63DE2" w14:textId="77777777" w:rsidR="003D5464" w:rsidRPr="00302254" w:rsidRDefault="003D5464" w:rsidP="006E1DDE">
      <w:pPr>
        <w:pStyle w:val="Default"/>
        <w:jc w:val="center"/>
        <w:rPr>
          <w:rFonts w:ascii="Arial" w:hAnsi="Arial" w:cs="Arial"/>
          <w:b/>
          <w:bCs/>
          <w:sz w:val="40"/>
          <w:szCs w:val="40"/>
        </w:rPr>
      </w:pPr>
    </w:p>
    <w:p w14:paraId="0CA09F8F" w14:textId="77777777" w:rsidR="006E1DDE" w:rsidRPr="00302254" w:rsidRDefault="006E1DDE" w:rsidP="006E1DDE">
      <w:pPr>
        <w:pStyle w:val="Default"/>
        <w:jc w:val="center"/>
        <w:rPr>
          <w:rFonts w:ascii="Arial" w:hAnsi="Arial" w:cs="Arial"/>
          <w:sz w:val="40"/>
          <w:szCs w:val="40"/>
        </w:rPr>
      </w:pPr>
    </w:p>
    <w:p w14:paraId="0915EC39" w14:textId="77777777"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COURSE NAME:</w:t>
      </w:r>
    </w:p>
    <w:p w14:paraId="2913EDD2" w14:textId="2047924D" w:rsidR="006E1DDE" w:rsidRPr="00302254" w:rsidRDefault="003C2045" w:rsidP="006E1DDE">
      <w:pPr>
        <w:pStyle w:val="Default"/>
        <w:jc w:val="center"/>
        <w:rPr>
          <w:rFonts w:ascii="Arial" w:hAnsi="Arial" w:cs="Arial"/>
          <w:b/>
          <w:sz w:val="40"/>
          <w:szCs w:val="40"/>
        </w:rPr>
      </w:pPr>
      <w:r w:rsidRPr="003C2045">
        <w:rPr>
          <w:rFonts w:ascii="Arial" w:hAnsi="Arial" w:cs="Arial"/>
          <w:b/>
          <w:bCs/>
          <w:sz w:val="40"/>
          <w:szCs w:val="40"/>
        </w:rPr>
        <w:t>Educational Leadership and Policy Development</w:t>
      </w:r>
    </w:p>
    <w:p w14:paraId="7C976415" w14:textId="77777777" w:rsidR="006E1DDE" w:rsidRPr="00302254" w:rsidRDefault="006E1DDE" w:rsidP="006E1DDE">
      <w:pPr>
        <w:pStyle w:val="Default"/>
        <w:jc w:val="center"/>
        <w:rPr>
          <w:rFonts w:ascii="Arial" w:hAnsi="Arial" w:cs="Arial"/>
          <w:sz w:val="40"/>
          <w:szCs w:val="40"/>
        </w:rPr>
      </w:pPr>
    </w:p>
    <w:p w14:paraId="202DBFF4" w14:textId="07299823" w:rsidR="006E1DDE" w:rsidRDefault="006E1DDE" w:rsidP="006E1DDE">
      <w:pPr>
        <w:pStyle w:val="Default"/>
        <w:jc w:val="center"/>
        <w:rPr>
          <w:rFonts w:ascii="Arial" w:hAnsi="Arial" w:cs="Arial"/>
          <w:sz w:val="40"/>
          <w:szCs w:val="40"/>
        </w:rPr>
      </w:pPr>
    </w:p>
    <w:p w14:paraId="61BE185B" w14:textId="54B94A40" w:rsidR="003D5464" w:rsidRDefault="003D5464" w:rsidP="006E1DDE">
      <w:pPr>
        <w:pStyle w:val="Default"/>
        <w:jc w:val="center"/>
        <w:rPr>
          <w:rFonts w:ascii="Arial" w:hAnsi="Arial" w:cs="Arial"/>
          <w:sz w:val="40"/>
          <w:szCs w:val="40"/>
        </w:rPr>
      </w:pPr>
    </w:p>
    <w:p w14:paraId="6362685E" w14:textId="77777777" w:rsidR="003D5464" w:rsidRPr="00302254" w:rsidRDefault="003D5464" w:rsidP="006E1DDE">
      <w:pPr>
        <w:pStyle w:val="Default"/>
        <w:jc w:val="center"/>
        <w:rPr>
          <w:rFonts w:ascii="Arial" w:hAnsi="Arial" w:cs="Arial"/>
          <w:sz w:val="40"/>
          <w:szCs w:val="40"/>
        </w:rPr>
      </w:pPr>
    </w:p>
    <w:p w14:paraId="0D1F271B" w14:textId="77777777" w:rsidR="006E1DDE" w:rsidRPr="00302254" w:rsidRDefault="006E1DDE" w:rsidP="006E1DDE">
      <w:pPr>
        <w:pStyle w:val="Default"/>
        <w:jc w:val="center"/>
        <w:rPr>
          <w:rFonts w:ascii="Arial" w:hAnsi="Arial" w:cs="Arial"/>
          <w:sz w:val="40"/>
          <w:szCs w:val="40"/>
        </w:rPr>
      </w:pPr>
    </w:p>
    <w:p w14:paraId="7F2BDFCA" w14:textId="77777777" w:rsidR="006E1DDE" w:rsidRPr="00302254" w:rsidRDefault="006E1DDE" w:rsidP="006E1DDE">
      <w:pPr>
        <w:pStyle w:val="Default"/>
        <w:jc w:val="center"/>
        <w:rPr>
          <w:rFonts w:ascii="Arial" w:hAnsi="Arial" w:cs="Arial"/>
          <w:sz w:val="40"/>
          <w:szCs w:val="40"/>
        </w:rPr>
      </w:pPr>
    </w:p>
    <w:p w14:paraId="5135564C" w14:textId="77777777" w:rsidR="006E1DDE" w:rsidRPr="00302254" w:rsidRDefault="006E1DDE" w:rsidP="006E1DDE">
      <w:pPr>
        <w:pStyle w:val="Default"/>
        <w:jc w:val="center"/>
        <w:rPr>
          <w:rFonts w:ascii="Arial" w:hAnsi="Arial" w:cs="Arial"/>
          <w:sz w:val="40"/>
          <w:szCs w:val="40"/>
        </w:rPr>
      </w:pPr>
    </w:p>
    <w:p w14:paraId="063C7CA7" w14:textId="77777777" w:rsidR="006E1DDE" w:rsidRPr="00302254" w:rsidRDefault="006E1DDE" w:rsidP="006E1DDE">
      <w:pPr>
        <w:pStyle w:val="Default"/>
        <w:jc w:val="center"/>
        <w:rPr>
          <w:rFonts w:ascii="Arial" w:hAnsi="Arial" w:cs="Arial"/>
          <w:sz w:val="40"/>
          <w:szCs w:val="40"/>
        </w:rPr>
      </w:pPr>
    </w:p>
    <w:p w14:paraId="5986BA61" w14:textId="77777777"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14:paraId="20A8FF6B" w14:textId="59F18440" w:rsidR="00437F13" w:rsidRPr="00302254" w:rsidRDefault="00716FCB" w:rsidP="006E1DDE">
      <w:pPr>
        <w:jc w:val="center"/>
        <w:rPr>
          <w:rFonts w:ascii="Arial" w:hAnsi="Arial" w:cs="Arial"/>
          <w:b/>
          <w:bCs/>
          <w:sz w:val="40"/>
          <w:szCs w:val="40"/>
        </w:rPr>
      </w:pPr>
      <w:r>
        <w:rPr>
          <w:rFonts w:ascii="Arial" w:hAnsi="Arial" w:cs="Arial"/>
          <w:b/>
          <w:bCs/>
          <w:sz w:val="40"/>
          <w:szCs w:val="40"/>
        </w:rPr>
        <w:t>December 06,2024</w:t>
      </w:r>
    </w:p>
    <w:p w14:paraId="7E1A1896" w14:textId="77777777" w:rsidR="00302254" w:rsidRDefault="00302254" w:rsidP="006E1DDE">
      <w:pPr>
        <w:rPr>
          <w:rFonts w:ascii="Arial" w:hAnsi="Arial" w:cs="Arial"/>
          <w:b/>
          <w:bCs/>
          <w:sz w:val="24"/>
          <w:szCs w:val="24"/>
        </w:rPr>
      </w:pPr>
    </w:p>
    <w:p w14:paraId="68DD2E19" w14:textId="77777777" w:rsidR="00302254" w:rsidRDefault="00302254" w:rsidP="006E1DDE">
      <w:pPr>
        <w:rPr>
          <w:rFonts w:ascii="Arial" w:hAnsi="Arial" w:cs="Arial"/>
          <w:b/>
          <w:bCs/>
          <w:sz w:val="24"/>
          <w:szCs w:val="24"/>
        </w:rPr>
      </w:pPr>
    </w:p>
    <w:p w14:paraId="3364F348" w14:textId="77777777" w:rsidR="00302254" w:rsidRDefault="00302254" w:rsidP="006E1DDE">
      <w:pPr>
        <w:rPr>
          <w:rFonts w:ascii="Arial" w:hAnsi="Arial" w:cs="Arial"/>
          <w:b/>
          <w:bCs/>
          <w:sz w:val="24"/>
          <w:szCs w:val="24"/>
        </w:rPr>
      </w:pPr>
    </w:p>
    <w:p w14:paraId="2AFA2636" w14:textId="4E419B82" w:rsidR="00A8674B" w:rsidRPr="003D582A" w:rsidRDefault="00A8674B" w:rsidP="006E1DDE">
      <w:pPr>
        <w:rPr>
          <w:rFonts w:ascii="Times New Roman" w:hAnsi="Times New Roman" w:cs="Times New Roman"/>
          <w:b/>
          <w:bCs/>
          <w:sz w:val="24"/>
          <w:szCs w:val="24"/>
          <w:u w:val="single"/>
        </w:rPr>
      </w:pPr>
      <w:bookmarkStart w:id="0" w:name="_Hlk120606123"/>
      <w:r w:rsidRPr="003D582A">
        <w:rPr>
          <w:rFonts w:ascii="Times New Roman" w:hAnsi="Times New Roman" w:cs="Times New Roman"/>
          <w:b/>
          <w:bCs/>
          <w:sz w:val="24"/>
          <w:szCs w:val="24"/>
          <w:u w:val="single"/>
        </w:rPr>
        <w:lastRenderedPageBreak/>
        <w:t>Table of Contents</w:t>
      </w:r>
    </w:p>
    <w:bookmarkEnd w:id="0"/>
    <w:p w14:paraId="33A7D6BA" w14:textId="3036BBC8" w:rsidR="00D731AB" w:rsidRPr="00D731AB" w:rsidRDefault="00D731AB" w:rsidP="00D731AB">
      <w:pPr>
        <w:pStyle w:val="ListParagraph"/>
        <w:numPr>
          <w:ilvl w:val="0"/>
          <w:numId w:val="1"/>
        </w:numPr>
        <w:rPr>
          <w:rFonts w:ascii="Times New Roman" w:hAnsi="Times New Roman" w:cs="Times New Roman"/>
          <w:sz w:val="24"/>
          <w:szCs w:val="24"/>
        </w:rPr>
      </w:pPr>
      <w:r w:rsidRPr="00D731AB">
        <w:rPr>
          <w:rFonts w:ascii="Times New Roman" w:hAnsi="Times New Roman" w:cs="Times New Roman"/>
          <w:sz w:val="24"/>
          <w:szCs w:val="24"/>
        </w:rPr>
        <w:t>Introduction</w:t>
      </w:r>
      <w:r>
        <w:rPr>
          <w:rFonts w:ascii="Times New Roman" w:hAnsi="Times New Roman" w:cs="Times New Roman"/>
          <w:sz w:val="24"/>
          <w:szCs w:val="24"/>
        </w:rPr>
        <w:t xml:space="preserve">……………………………………………………………………...3                                                                                                                 </w:t>
      </w:r>
    </w:p>
    <w:p w14:paraId="6D1DABE3" w14:textId="37197D1D" w:rsid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Core Principles of Effective Leadership in Education</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w:t>
      </w:r>
    </w:p>
    <w:p w14:paraId="5E6D5920" w14:textId="6B7D8EB3"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 xml:space="preserve">Impact of Educational Policies on Achievement and </w:t>
      </w:r>
      <w:r w:rsidR="00EE0BAD" w:rsidRPr="00D731AB">
        <w:rPr>
          <w:rFonts w:ascii="Times New Roman" w:hAnsi="Times New Roman" w:cs="Times New Roman"/>
          <w:sz w:val="24"/>
          <w:szCs w:val="24"/>
        </w:rPr>
        <w:t>Performance</w:t>
      </w:r>
      <w:r w:rsidR="00EE0BAD">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r w:rsidR="00EE0BAD">
        <w:rPr>
          <w:rFonts w:ascii="Times New Roman" w:hAnsi="Times New Roman" w:cs="Times New Roman"/>
          <w:sz w:val="24"/>
          <w:szCs w:val="24"/>
        </w:rPr>
        <w:t>..</w:t>
      </w:r>
      <w:proofErr w:type="gramEnd"/>
      <w:r>
        <w:rPr>
          <w:rFonts w:ascii="Times New Roman" w:hAnsi="Times New Roman" w:cs="Times New Roman"/>
          <w:sz w:val="24"/>
          <w:szCs w:val="24"/>
        </w:rPr>
        <w:t>5</w:t>
      </w:r>
    </w:p>
    <w:p w14:paraId="70D4D5DC" w14:textId="194F20FD"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Managing Resistance to Change</w:t>
      </w:r>
      <w:r w:rsidR="00EE0BAD">
        <w:rPr>
          <w:rFonts w:ascii="Times New Roman" w:hAnsi="Times New Roman" w:cs="Times New Roman"/>
          <w:sz w:val="24"/>
          <w:szCs w:val="24"/>
        </w:rPr>
        <w:t>………………………………………………...5</w:t>
      </w:r>
    </w:p>
    <w:p w14:paraId="3650CFBB" w14:textId="2AE29A03"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Influence of Cultural Diversity on Leadership Practices</w:t>
      </w:r>
      <w:r w:rsidR="00EE0BAD">
        <w:rPr>
          <w:rFonts w:ascii="Times New Roman" w:hAnsi="Times New Roman" w:cs="Times New Roman"/>
          <w:sz w:val="24"/>
          <w:szCs w:val="24"/>
        </w:rPr>
        <w:t>……………………</w:t>
      </w:r>
      <w:proofErr w:type="gramStart"/>
      <w:r w:rsidR="00EE0BAD">
        <w:rPr>
          <w:rFonts w:ascii="Times New Roman" w:hAnsi="Times New Roman" w:cs="Times New Roman"/>
          <w:sz w:val="24"/>
          <w:szCs w:val="24"/>
        </w:rPr>
        <w:t>…..</w:t>
      </w:r>
      <w:proofErr w:type="gramEnd"/>
      <w:r w:rsidR="00EE0BAD">
        <w:rPr>
          <w:rFonts w:ascii="Times New Roman" w:hAnsi="Times New Roman" w:cs="Times New Roman"/>
          <w:sz w:val="24"/>
          <w:szCs w:val="24"/>
        </w:rPr>
        <w:t>6</w:t>
      </w:r>
    </w:p>
    <w:p w14:paraId="2BA7ABF3" w14:textId="32CA1B81"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Ethical Considerations in Educational Policy Development</w:t>
      </w:r>
      <w:r w:rsidR="00EE0BAD">
        <w:rPr>
          <w:rFonts w:ascii="Times New Roman" w:hAnsi="Times New Roman" w:cs="Times New Roman"/>
          <w:sz w:val="24"/>
          <w:szCs w:val="24"/>
        </w:rPr>
        <w:t>……………………7</w:t>
      </w:r>
    </w:p>
    <w:p w14:paraId="61524C64" w14:textId="252A83F3"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Leveraging Technology for Policy Implementation</w:t>
      </w:r>
      <w:r w:rsidR="00EE0BAD">
        <w:rPr>
          <w:rFonts w:ascii="Times New Roman" w:hAnsi="Times New Roman" w:cs="Times New Roman"/>
          <w:sz w:val="24"/>
          <w:szCs w:val="24"/>
        </w:rPr>
        <w:t>…………………………….8</w:t>
      </w:r>
    </w:p>
    <w:p w14:paraId="61AC1B00" w14:textId="5F3A6A23"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Role of Stakeholders in Educational Policies</w:t>
      </w:r>
      <w:r w:rsidR="00EE0BAD">
        <w:rPr>
          <w:rFonts w:ascii="Times New Roman" w:hAnsi="Times New Roman" w:cs="Times New Roman"/>
          <w:sz w:val="24"/>
          <w:szCs w:val="24"/>
        </w:rPr>
        <w:t>…………………………………...9</w:t>
      </w:r>
    </w:p>
    <w:p w14:paraId="1C54A0AC" w14:textId="24DAACBC"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Addressing Disparities in Educational Access and Outcomes</w:t>
      </w:r>
      <w:r w:rsidR="00EE0BAD">
        <w:rPr>
          <w:rFonts w:ascii="Times New Roman" w:hAnsi="Times New Roman" w:cs="Times New Roman"/>
          <w:sz w:val="24"/>
          <w:szCs w:val="24"/>
        </w:rPr>
        <w:t>…………………10</w:t>
      </w:r>
    </w:p>
    <w:p w14:paraId="1DE4CA03" w14:textId="3135BE7A"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Components of Successful Change Management in Education</w:t>
      </w:r>
      <w:r w:rsidR="00EE0BAD">
        <w:rPr>
          <w:rFonts w:ascii="Times New Roman" w:hAnsi="Times New Roman" w:cs="Times New Roman"/>
          <w:sz w:val="24"/>
          <w:szCs w:val="24"/>
        </w:rPr>
        <w:t>……………</w:t>
      </w:r>
      <w:proofErr w:type="gramStart"/>
      <w:r w:rsidR="00EE0BAD">
        <w:rPr>
          <w:rFonts w:ascii="Times New Roman" w:hAnsi="Times New Roman" w:cs="Times New Roman"/>
          <w:sz w:val="24"/>
          <w:szCs w:val="24"/>
        </w:rPr>
        <w:t>…..</w:t>
      </w:r>
      <w:proofErr w:type="gramEnd"/>
      <w:r w:rsidR="00EE0BAD">
        <w:rPr>
          <w:rFonts w:ascii="Times New Roman" w:hAnsi="Times New Roman" w:cs="Times New Roman"/>
          <w:sz w:val="24"/>
          <w:szCs w:val="24"/>
        </w:rPr>
        <w:t>10</w:t>
      </w:r>
    </w:p>
    <w:p w14:paraId="0B0D9581" w14:textId="3F47D1E4"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Global Trends and Local Policy-Making</w:t>
      </w:r>
      <w:r w:rsidR="00EE0BAD">
        <w:rPr>
          <w:rFonts w:ascii="Times New Roman" w:hAnsi="Times New Roman" w:cs="Times New Roman"/>
          <w:sz w:val="24"/>
          <w:szCs w:val="24"/>
        </w:rPr>
        <w:t>……………………………………....11</w:t>
      </w:r>
    </w:p>
    <w:p w14:paraId="232D3B79" w14:textId="71CA286C"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Collaboration Between Leaders and Policymakers</w:t>
      </w:r>
      <w:r w:rsidR="00EE0BAD">
        <w:rPr>
          <w:rFonts w:ascii="Times New Roman" w:hAnsi="Times New Roman" w:cs="Times New Roman"/>
          <w:sz w:val="24"/>
          <w:szCs w:val="24"/>
        </w:rPr>
        <w:t>……………………………12</w:t>
      </w:r>
    </w:p>
    <w:p w14:paraId="194F60FC" w14:textId="3C23FCD4"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Leadership Styles and Organizational Culture</w:t>
      </w:r>
      <w:r w:rsidR="00EE0BAD">
        <w:rPr>
          <w:rFonts w:ascii="Times New Roman" w:hAnsi="Times New Roman" w:cs="Times New Roman"/>
          <w:sz w:val="24"/>
          <w:szCs w:val="24"/>
        </w:rPr>
        <w:t>…………………………………13</w:t>
      </w:r>
    </w:p>
    <w:p w14:paraId="1333D35F" w14:textId="1BEFF956"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Implications of Data-Driven Decision-Making</w:t>
      </w:r>
      <w:r w:rsidR="00EE0BAD">
        <w:rPr>
          <w:rFonts w:ascii="Times New Roman" w:hAnsi="Times New Roman" w:cs="Times New Roman"/>
          <w:sz w:val="24"/>
          <w:szCs w:val="24"/>
        </w:rPr>
        <w:t>………………………………...14</w:t>
      </w:r>
    </w:p>
    <w:p w14:paraId="4640A706" w14:textId="059CF065"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Professional Development for Leadership Growth</w:t>
      </w:r>
      <w:r w:rsidR="00683913">
        <w:rPr>
          <w:rFonts w:ascii="Times New Roman" w:hAnsi="Times New Roman" w:cs="Times New Roman"/>
          <w:sz w:val="24"/>
          <w:szCs w:val="24"/>
        </w:rPr>
        <w:t>…………………………….14</w:t>
      </w:r>
    </w:p>
    <w:p w14:paraId="39545DE8" w14:textId="6B98CE93"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Challenges in Implementing Inclusive Education Policies</w:t>
      </w:r>
      <w:r w:rsidR="00683913">
        <w:rPr>
          <w:rFonts w:ascii="Times New Roman" w:hAnsi="Times New Roman" w:cs="Times New Roman"/>
          <w:sz w:val="24"/>
          <w:szCs w:val="24"/>
        </w:rPr>
        <w:t>…………………….15</w:t>
      </w:r>
    </w:p>
    <w:p w14:paraId="74A3671E" w14:textId="2C545C51"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Conclusion</w:t>
      </w:r>
      <w:r w:rsidR="00683913">
        <w:rPr>
          <w:rFonts w:ascii="Times New Roman" w:hAnsi="Times New Roman" w:cs="Times New Roman"/>
          <w:sz w:val="24"/>
          <w:szCs w:val="24"/>
        </w:rPr>
        <w:t>……………………………………………………………………...16</w:t>
      </w:r>
    </w:p>
    <w:p w14:paraId="3BB7E1EF" w14:textId="38F084DE" w:rsidR="00D731AB" w:rsidRPr="00D731AB" w:rsidRDefault="00D731AB" w:rsidP="00D731AB">
      <w:pPr>
        <w:pStyle w:val="ListParagraph"/>
        <w:numPr>
          <w:ilvl w:val="0"/>
          <w:numId w:val="1"/>
        </w:numPr>
        <w:spacing w:line="360" w:lineRule="auto"/>
        <w:jc w:val="both"/>
        <w:rPr>
          <w:rFonts w:ascii="Times New Roman" w:hAnsi="Times New Roman" w:cs="Times New Roman"/>
          <w:sz w:val="24"/>
          <w:szCs w:val="24"/>
        </w:rPr>
      </w:pPr>
      <w:r w:rsidRPr="00D731AB">
        <w:rPr>
          <w:rFonts w:ascii="Times New Roman" w:hAnsi="Times New Roman" w:cs="Times New Roman"/>
          <w:sz w:val="24"/>
          <w:szCs w:val="24"/>
        </w:rPr>
        <w:t>Bibliography</w:t>
      </w:r>
      <w:r w:rsidR="00683913">
        <w:rPr>
          <w:rFonts w:ascii="Times New Roman" w:hAnsi="Times New Roman" w:cs="Times New Roman"/>
          <w:sz w:val="24"/>
          <w:szCs w:val="24"/>
        </w:rPr>
        <w:t>…………………………………………………………………….17</w:t>
      </w:r>
    </w:p>
    <w:p w14:paraId="66C9F33F" w14:textId="77777777" w:rsidR="00D731AB" w:rsidRPr="00D731AB" w:rsidRDefault="00D731AB" w:rsidP="00D731AB">
      <w:pPr>
        <w:pStyle w:val="ListParagraph"/>
        <w:spacing w:line="360" w:lineRule="auto"/>
        <w:jc w:val="both"/>
        <w:rPr>
          <w:rFonts w:ascii="Times New Roman" w:hAnsi="Times New Roman" w:cs="Times New Roman"/>
          <w:sz w:val="24"/>
          <w:szCs w:val="24"/>
        </w:rPr>
      </w:pPr>
    </w:p>
    <w:p w14:paraId="6F1DD448" w14:textId="77777777" w:rsidR="00BB2BFC" w:rsidRPr="00D731AB" w:rsidRDefault="00BB2BFC" w:rsidP="00D731AB">
      <w:pPr>
        <w:ind w:left="360"/>
        <w:rPr>
          <w:rFonts w:ascii="Arial" w:hAnsi="Arial" w:cs="Arial"/>
          <w:b/>
          <w:bCs/>
          <w:sz w:val="24"/>
          <w:szCs w:val="24"/>
          <w:u w:val="single"/>
        </w:rPr>
      </w:pPr>
    </w:p>
    <w:p w14:paraId="667B8859" w14:textId="77777777" w:rsidR="003C2045" w:rsidRDefault="003C2045" w:rsidP="006E1DDE">
      <w:pPr>
        <w:rPr>
          <w:rFonts w:ascii="Arial" w:hAnsi="Arial" w:cs="Arial"/>
          <w:b/>
          <w:bCs/>
          <w:sz w:val="24"/>
          <w:szCs w:val="24"/>
          <w:u w:val="single"/>
        </w:rPr>
      </w:pPr>
    </w:p>
    <w:p w14:paraId="7B78467F" w14:textId="77777777" w:rsidR="003C2045" w:rsidRDefault="003C2045" w:rsidP="006E1DDE">
      <w:pPr>
        <w:rPr>
          <w:rFonts w:ascii="Arial" w:hAnsi="Arial" w:cs="Arial"/>
          <w:b/>
          <w:bCs/>
          <w:sz w:val="24"/>
          <w:szCs w:val="24"/>
          <w:u w:val="single"/>
        </w:rPr>
      </w:pPr>
    </w:p>
    <w:p w14:paraId="2AC25F1E" w14:textId="77777777" w:rsidR="003C2045" w:rsidRDefault="003C2045" w:rsidP="006E1DDE">
      <w:pPr>
        <w:rPr>
          <w:rFonts w:ascii="Arial" w:hAnsi="Arial" w:cs="Arial"/>
          <w:b/>
          <w:bCs/>
          <w:sz w:val="24"/>
          <w:szCs w:val="24"/>
          <w:u w:val="single"/>
        </w:rPr>
      </w:pPr>
    </w:p>
    <w:p w14:paraId="749C71FB" w14:textId="77777777" w:rsidR="003C2045" w:rsidRDefault="003C2045" w:rsidP="006E1DDE">
      <w:pPr>
        <w:rPr>
          <w:rFonts w:ascii="Arial" w:hAnsi="Arial" w:cs="Arial"/>
          <w:b/>
          <w:bCs/>
          <w:sz w:val="24"/>
          <w:szCs w:val="24"/>
          <w:u w:val="single"/>
        </w:rPr>
      </w:pPr>
    </w:p>
    <w:p w14:paraId="26ECA047" w14:textId="77777777" w:rsidR="003C2045" w:rsidRDefault="003C2045" w:rsidP="006E1DDE">
      <w:pPr>
        <w:rPr>
          <w:rFonts w:ascii="Arial" w:hAnsi="Arial" w:cs="Arial"/>
          <w:b/>
          <w:bCs/>
          <w:sz w:val="24"/>
          <w:szCs w:val="24"/>
          <w:u w:val="single"/>
        </w:rPr>
      </w:pPr>
    </w:p>
    <w:p w14:paraId="6A89C47C" w14:textId="77777777" w:rsidR="00D731AB" w:rsidRDefault="00D731AB" w:rsidP="006E1DDE">
      <w:pPr>
        <w:rPr>
          <w:rFonts w:ascii="Arial" w:hAnsi="Arial" w:cs="Arial"/>
          <w:b/>
          <w:bCs/>
          <w:sz w:val="24"/>
          <w:szCs w:val="24"/>
          <w:u w:val="single"/>
        </w:rPr>
      </w:pPr>
    </w:p>
    <w:p w14:paraId="3B590745" w14:textId="77777777" w:rsidR="00D731AB" w:rsidRDefault="00D731AB" w:rsidP="006E1DDE">
      <w:pPr>
        <w:rPr>
          <w:rFonts w:ascii="Arial" w:hAnsi="Arial" w:cs="Arial"/>
          <w:b/>
          <w:bCs/>
          <w:sz w:val="24"/>
          <w:szCs w:val="24"/>
          <w:u w:val="single"/>
        </w:rPr>
      </w:pPr>
    </w:p>
    <w:p w14:paraId="674DD27D" w14:textId="1FA74564" w:rsidR="006E1DDE" w:rsidRPr="003D582A" w:rsidRDefault="006E1DDE" w:rsidP="006E1DDE">
      <w:pPr>
        <w:rPr>
          <w:rFonts w:ascii="Times New Roman" w:hAnsi="Times New Roman" w:cs="Times New Roman"/>
          <w:b/>
          <w:bCs/>
          <w:sz w:val="24"/>
          <w:szCs w:val="24"/>
          <w:u w:val="single"/>
        </w:rPr>
      </w:pPr>
      <w:r w:rsidRPr="003D582A">
        <w:rPr>
          <w:rFonts w:ascii="Times New Roman" w:hAnsi="Times New Roman" w:cs="Times New Roman"/>
          <w:b/>
          <w:bCs/>
          <w:sz w:val="24"/>
          <w:szCs w:val="24"/>
          <w:u w:val="single"/>
        </w:rPr>
        <w:lastRenderedPageBreak/>
        <w:t>Introduction</w:t>
      </w:r>
    </w:p>
    <w:p w14:paraId="22EDDA89" w14:textId="723F3CAF" w:rsidR="003C2045" w:rsidRDefault="003C2045" w:rsidP="003C2045">
      <w:pPr>
        <w:spacing w:after="0" w:line="360" w:lineRule="auto"/>
        <w:jc w:val="both"/>
        <w:rPr>
          <w:rFonts w:ascii="Times New Roman" w:hAnsi="Times New Roman" w:cs="Times New Roman"/>
          <w:sz w:val="24"/>
          <w:szCs w:val="24"/>
        </w:rPr>
      </w:pPr>
      <w:r w:rsidRPr="003C2045">
        <w:rPr>
          <w:rFonts w:ascii="Times New Roman" w:hAnsi="Times New Roman" w:cs="Times New Roman"/>
          <w:sz w:val="24"/>
          <w:szCs w:val="24"/>
        </w:rPr>
        <w:t>In the rapidly evolving landscape of modern organizations and education systems, the ability to lead effectively and analyze policies critically has become indispensable. Leadership and policy analysis are not only foundational to driving organizational success but also vital for promoting equity and inclusivity. The objective of this essay is to explore and underscore the importance of developing students' leadership capabilities and policy analysis skills, enabling them to design, implement, and evaluate policies that enhance organizational effectiveness and foster equitable educational opportunities.</w:t>
      </w:r>
    </w:p>
    <w:p w14:paraId="1CB6DA27" w14:textId="77777777" w:rsidR="00761D8D" w:rsidRPr="003C2045" w:rsidRDefault="00761D8D" w:rsidP="003C2045">
      <w:pPr>
        <w:spacing w:after="0" w:line="360" w:lineRule="auto"/>
        <w:jc w:val="both"/>
        <w:rPr>
          <w:rFonts w:ascii="Times New Roman" w:hAnsi="Times New Roman" w:cs="Times New Roman"/>
          <w:sz w:val="24"/>
          <w:szCs w:val="24"/>
        </w:rPr>
      </w:pPr>
    </w:p>
    <w:p w14:paraId="11CDB95D" w14:textId="3F6E6A32" w:rsidR="003C2045" w:rsidRDefault="003C2045" w:rsidP="003C2045">
      <w:pPr>
        <w:spacing w:after="0" w:line="360" w:lineRule="auto"/>
        <w:jc w:val="both"/>
        <w:rPr>
          <w:rFonts w:ascii="Times New Roman" w:hAnsi="Times New Roman" w:cs="Times New Roman"/>
          <w:sz w:val="24"/>
          <w:szCs w:val="24"/>
        </w:rPr>
      </w:pPr>
      <w:r w:rsidRPr="003C2045">
        <w:rPr>
          <w:rFonts w:ascii="Times New Roman" w:hAnsi="Times New Roman" w:cs="Times New Roman"/>
          <w:sz w:val="24"/>
          <w:szCs w:val="24"/>
        </w:rPr>
        <w:t xml:space="preserve">Leadership capabilities equip individuals with the tools to inspire, guide, and manage teams toward shared goals, while policy analysis skills provide a framework for assessing, crafting, and refining strategies that address systemic challenges. Together, these competencies empower </w:t>
      </w:r>
      <w:r w:rsidR="003D582A">
        <w:rPr>
          <w:rFonts w:ascii="Times New Roman" w:hAnsi="Times New Roman" w:cs="Times New Roman"/>
          <w:sz w:val="24"/>
          <w:szCs w:val="24"/>
        </w:rPr>
        <w:t>individuals</w:t>
      </w:r>
      <w:r w:rsidRPr="003C2045">
        <w:rPr>
          <w:rFonts w:ascii="Times New Roman" w:hAnsi="Times New Roman" w:cs="Times New Roman"/>
          <w:sz w:val="24"/>
          <w:szCs w:val="24"/>
        </w:rPr>
        <w:t xml:space="preserve"> to become agents of change, capable of making informed decisions that benefit diverse populations and advance social and organizational objectives.</w:t>
      </w:r>
    </w:p>
    <w:p w14:paraId="6309E8F9" w14:textId="77777777" w:rsidR="00761D8D" w:rsidRPr="003C2045" w:rsidRDefault="00761D8D" w:rsidP="003C2045">
      <w:pPr>
        <w:spacing w:after="0" w:line="360" w:lineRule="auto"/>
        <w:jc w:val="both"/>
        <w:rPr>
          <w:rFonts w:ascii="Times New Roman" w:hAnsi="Times New Roman" w:cs="Times New Roman"/>
          <w:sz w:val="24"/>
          <w:szCs w:val="24"/>
        </w:rPr>
      </w:pPr>
    </w:p>
    <w:p w14:paraId="1A52CBD6" w14:textId="1C4CDE7C" w:rsidR="00D265E8" w:rsidRPr="003C2045" w:rsidRDefault="003C2045" w:rsidP="003C2045">
      <w:pPr>
        <w:spacing w:after="0" w:line="360" w:lineRule="auto"/>
        <w:jc w:val="both"/>
        <w:rPr>
          <w:rFonts w:ascii="Times New Roman" w:hAnsi="Times New Roman" w:cs="Times New Roman"/>
          <w:sz w:val="24"/>
          <w:szCs w:val="24"/>
        </w:rPr>
      </w:pPr>
      <w:r w:rsidRPr="003C2045">
        <w:rPr>
          <w:rFonts w:ascii="Times New Roman" w:hAnsi="Times New Roman" w:cs="Times New Roman"/>
          <w:sz w:val="24"/>
          <w:szCs w:val="24"/>
        </w:rPr>
        <w:t>This essay will delve into the theoretical underpinnings of leadership and policy-making, while also emphasizing the practical applications of these skills. It will highlight how fostering these competencies in students contributes to creating a workforce that is not only adept at navigating complex organizational dynamics but also committed to promoting fairness and access in educational opportunities. By linking leadership development with policy analysis, this essay aims to provide insights into how these dual focuses can drive both individual and collective success in a wide range of contexts.</w:t>
      </w:r>
    </w:p>
    <w:p w14:paraId="5E94143B" w14:textId="77777777" w:rsidR="00D265E8" w:rsidRDefault="00D265E8" w:rsidP="006E1DDE">
      <w:pPr>
        <w:rPr>
          <w:rFonts w:ascii="Arial" w:hAnsi="Arial" w:cs="Arial"/>
          <w:b/>
          <w:bCs/>
          <w:sz w:val="24"/>
          <w:szCs w:val="24"/>
          <w:u w:val="single"/>
        </w:rPr>
      </w:pPr>
    </w:p>
    <w:p w14:paraId="2E03B08C" w14:textId="77777777" w:rsidR="00D265E8" w:rsidRDefault="00D265E8" w:rsidP="006E1DDE">
      <w:pPr>
        <w:rPr>
          <w:rFonts w:ascii="Arial" w:hAnsi="Arial" w:cs="Arial"/>
          <w:b/>
          <w:bCs/>
          <w:sz w:val="24"/>
          <w:szCs w:val="24"/>
          <w:u w:val="single"/>
        </w:rPr>
      </w:pPr>
    </w:p>
    <w:p w14:paraId="247CE730" w14:textId="77777777" w:rsidR="00D265E8" w:rsidRDefault="00D265E8" w:rsidP="006E1DDE">
      <w:pPr>
        <w:rPr>
          <w:rFonts w:ascii="Arial" w:hAnsi="Arial" w:cs="Arial"/>
          <w:b/>
          <w:bCs/>
          <w:sz w:val="24"/>
          <w:szCs w:val="24"/>
          <w:u w:val="single"/>
        </w:rPr>
      </w:pPr>
    </w:p>
    <w:p w14:paraId="0D902AC8" w14:textId="77777777" w:rsidR="003C2045" w:rsidRDefault="003C2045" w:rsidP="006E1DDE">
      <w:pPr>
        <w:rPr>
          <w:rFonts w:ascii="Arial" w:hAnsi="Arial" w:cs="Arial"/>
          <w:b/>
          <w:bCs/>
          <w:sz w:val="24"/>
          <w:szCs w:val="24"/>
          <w:u w:val="single"/>
        </w:rPr>
      </w:pPr>
    </w:p>
    <w:p w14:paraId="3BC5EF15" w14:textId="77777777" w:rsidR="003C2045" w:rsidRDefault="003C2045" w:rsidP="006E1DDE">
      <w:pPr>
        <w:rPr>
          <w:rFonts w:ascii="Arial" w:hAnsi="Arial" w:cs="Arial"/>
          <w:b/>
          <w:bCs/>
          <w:sz w:val="24"/>
          <w:szCs w:val="24"/>
          <w:u w:val="single"/>
        </w:rPr>
      </w:pPr>
    </w:p>
    <w:p w14:paraId="302B5CB3" w14:textId="77777777" w:rsidR="003C2045" w:rsidRDefault="003C2045" w:rsidP="006E1DDE">
      <w:pPr>
        <w:rPr>
          <w:rFonts w:ascii="Arial" w:hAnsi="Arial" w:cs="Arial"/>
          <w:b/>
          <w:bCs/>
          <w:sz w:val="24"/>
          <w:szCs w:val="24"/>
          <w:u w:val="single"/>
        </w:rPr>
      </w:pPr>
    </w:p>
    <w:p w14:paraId="1AFAD464" w14:textId="77777777" w:rsidR="00D265E8" w:rsidRDefault="00D265E8" w:rsidP="006E1DDE">
      <w:pPr>
        <w:rPr>
          <w:rFonts w:ascii="Arial" w:hAnsi="Arial" w:cs="Arial"/>
          <w:b/>
          <w:bCs/>
          <w:sz w:val="24"/>
          <w:szCs w:val="24"/>
          <w:u w:val="single"/>
        </w:rPr>
      </w:pPr>
    </w:p>
    <w:p w14:paraId="6ECFE5B3" w14:textId="77777777" w:rsidR="00D265E8" w:rsidRDefault="00D265E8" w:rsidP="006E1DDE">
      <w:pPr>
        <w:rPr>
          <w:rFonts w:ascii="Arial" w:hAnsi="Arial" w:cs="Arial"/>
          <w:b/>
          <w:bCs/>
          <w:sz w:val="24"/>
          <w:szCs w:val="24"/>
          <w:u w:val="single"/>
        </w:rPr>
      </w:pPr>
    </w:p>
    <w:p w14:paraId="546DDCED"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Core Principles of Effective Leadership in Education</w:t>
      </w:r>
    </w:p>
    <w:p w14:paraId="15C15BEC" w14:textId="20524397"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Leadership in education is pivotal to fostering academic success and institutional efficiency. Effective educational leaders embody principles such as vision, collaboration, integrity, adaptability, and a commitment to equity (</w:t>
      </w:r>
      <w:proofErr w:type="spellStart"/>
      <w:r w:rsidRPr="004D2A1A">
        <w:rPr>
          <w:rFonts w:ascii="Times New Roman" w:hAnsi="Times New Roman" w:cs="Times New Roman"/>
          <w:sz w:val="24"/>
          <w:szCs w:val="24"/>
        </w:rPr>
        <w:t>Leithwood</w:t>
      </w:r>
      <w:proofErr w:type="spellEnd"/>
      <w:r w:rsidRPr="004D2A1A">
        <w:rPr>
          <w:rFonts w:ascii="Times New Roman" w:hAnsi="Times New Roman" w:cs="Times New Roman"/>
          <w:sz w:val="24"/>
          <w:szCs w:val="24"/>
        </w:rPr>
        <w:t xml:space="preserve"> et al., 2020). By setting a clear vision, leaders align stakeholders toward shared goals. </w:t>
      </w:r>
      <w:r w:rsidR="002A11E4" w:rsidRPr="002A11E4">
        <w:rPr>
          <w:rFonts w:ascii="Times New Roman" w:hAnsi="Times New Roman" w:cs="Times New Roman"/>
          <w:sz w:val="24"/>
          <w:szCs w:val="24"/>
        </w:rPr>
        <w:t>Collaborative techniques empower instructors, students, and parents, creating a sense of shared responsibility</w:t>
      </w:r>
      <w:r w:rsidR="002A11E4" w:rsidRPr="002A11E4">
        <w:rPr>
          <w:rFonts w:ascii="Times New Roman" w:hAnsi="Times New Roman" w:cs="Times New Roman"/>
          <w:sz w:val="24"/>
          <w:szCs w:val="24"/>
        </w:rPr>
        <w:t xml:space="preserve">. </w:t>
      </w:r>
      <w:r w:rsidRPr="004D2A1A">
        <w:rPr>
          <w:rFonts w:ascii="Times New Roman" w:hAnsi="Times New Roman" w:cs="Times New Roman"/>
          <w:sz w:val="24"/>
          <w:szCs w:val="24"/>
        </w:rPr>
        <w:t>Ethical integrity ensures trust and consistency in decision-making, while adaptability helps leaders navigate the ever-changing landscape of education.</w:t>
      </w:r>
      <w:r w:rsidR="002B0A15">
        <w:rPr>
          <w:rFonts w:ascii="Times New Roman" w:hAnsi="Times New Roman" w:cs="Times New Roman"/>
          <w:sz w:val="24"/>
          <w:szCs w:val="24"/>
        </w:rPr>
        <w:t xml:space="preserve"> Below is a table showing the core principles and description</w:t>
      </w:r>
      <w:r w:rsidR="00852565">
        <w:rPr>
          <w:rFonts w:ascii="Times New Roman" w:hAnsi="Times New Roman" w:cs="Times New Roman"/>
          <w:sz w:val="24"/>
          <w:szCs w:val="24"/>
        </w:rPr>
        <w:t xml:space="preserve"> of effective leadership in Education.</w:t>
      </w:r>
      <w:r w:rsidR="00F92906">
        <w:rPr>
          <w:rFonts w:ascii="Times New Roman" w:hAnsi="Times New Roman" w:cs="Times New Roman"/>
          <w:sz w:val="24"/>
          <w:szCs w:val="24"/>
        </w:rPr>
        <w:t xml:space="preserve"> </w:t>
      </w:r>
    </w:p>
    <w:p w14:paraId="4C65F1BE" w14:textId="5E7FEDB0" w:rsidR="00B5317D" w:rsidRDefault="004743D1" w:rsidP="00793CFD">
      <w:pPr>
        <w:spacing w:line="360" w:lineRule="auto"/>
        <w:jc w:val="center"/>
        <w:rPr>
          <w:rFonts w:ascii="Times New Roman" w:hAnsi="Times New Roman" w:cs="Times New Roman"/>
          <w:sz w:val="24"/>
          <w:szCs w:val="24"/>
        </w:rPr>
      </w:pPr>
      <w:r>
        <w:rPr>
          <w:noProof/>
        </w:rPr>
        <w:drawing>
          <wp:inline distT="0" distB="0" distL="0" distR="0" wp14:anchorId="6CCE5DA4" wp14:editId="571346C7">
            <wp:extent cx="6042660" cy="4221480"/>
            <wp:effectExtent l="0" t="0" r="0" b="7620"/>
            <wp:docPr id="129839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9887" name=""/>
                    <pic:cNvPicPr/>
                  </pic:nvPicPr>
                  <pic:blipFill>
                    <a:blip r:embed="rId8"/>
                    <a:stretch>
                      <a:fillRect/>
                    </a:stretch>
                  </pic:blipFill>
                  <pic:spPr>
                    <a:xfrm>
                      <a:off x="0" y="0"/>
                      <a:ext cx="6072108" cy="4242053"/>
                    </a:xfrm>
                    <a:prstGeom prst="rect">
                      <a:avLst/>
                    </a:prstGeom>
                  </pic:spPr>
                </pic:pic>
              </a:graphicData>
            </a:graphic>
          </wp:inline>
        </w:drawing>
      </w:r>
    </w:p>
    <w:p w14:paraId="35F02ED2" w14:textId="3D62201E" w:rsidR="00716FCB" w:rsidRPr="004D2A1A" w:rsidRDefault="004743D1" w:rsidP="00716FCB">
      <w:pPr>
        <w:spacing w:line="360" w:lineRule="auto"/>
        <w:jc w:val="both"/>
        <w:rPr>
          <w:rFonts w:ascii="Times New Roman" w:hAnsi="Times New Roman" w:cs="Times New Roman"/>
          <w:sz w:val="24"/>
          <w:szCs w:val="24"/>
        </w:rPr>
      </w:pPr>
      <w:proofErr w:type="spellStart"/>
      <w:r w:rsidRPr="004743D1">
        <w:rPr>
          <w:rFonts w:ascii="Times New Roman" w:hAnsi="Times New Roman" w:cs="Times New Roman"/>
          <w:sz w:val="24"/>
          <w:szCs w:val="24"/>
        </w:rPr>
        <w:t>Leithwood</w:t>
      </w:r>
      <w:proofErr w:type="spellEnd"/>
      <w:r w:rsidRPr="004743D1">
        <w:rPr>
          <w:rFonts w:ascii="Times New Roman" w:hAnsi="Times New Roman" w:cs="Times New Roman"/>
          <w:sz w:val="24"/>
          <w:szCs w:val="24"/>
        </w:rPr>
        <w:t xml:space="preserve"> et al., 2020</w:t>
      </w:r>
      <w:r>
        <w:rPr>
          <w:rFonts w:ascii="Times New Roman" w:hAnsi="Times New Roman" w:cs="Times New Roman"/>
          <w:sz w:val="24"/>
          <w:szCs w:val="24"/>
        </w:rPr>
        <w:t xml:space="preserve">, </w:t>
      </w:r>
      <w:r w:rsidRPr="004743D1">
        <w:rPr>
          <w:rFonts w:ascii="Times New Roman" w:hAnsi="Times New Roman" w:cs="Times New Roman"/>
          <w:sz w:val="24"/>
          <w:szCs w:val="24"/>
        </w:rPr>
        <w:t>Robinson et al., 2008</w:t>
      </w:r>
      <w:r>
        <w:rPr>
          <w:rFonts w:ascii="Times New Roman" w:hAnsi="Times New Roman" w:cs="Times New Roman"/>
          <w:sz w:val="24"/>
          <w:szCs w:val="24"/>
        </w:rPr>
        <w:t xml:space="preserve">, </w:t>
      </w:r>
      <w:r w:rsidRPr="004743D1">
        <w:rPr>
          <w:rFonts w:ascii="Times New Roman" w:hAnsi="Times New Roman" w:cs="Times New Roman"/>
          <w:sz w:val="24"/>
          <w:szCs w:val="24"/>
        </w:rPr>
        <w:t>Fullan, 2014</w:t>
      </w:r>
      <w:r>
        <w:rPr>
          <w:rFonts w:ascii="Times New Roman" w:hAnsi="Times New Roman" w:cs="Times New Roman"/>
          <w:sz w:val="24"/>
          <w:szCs w:val="24"/>
        </w:rPr>
        <w:t xml:space="preserve">, </w:t>
      </w:r>
      <w:r w:rsidRPr="004743D1">
        <w:rPr>
          <w:rFonts w:ascii="Times New Roman" w:hAnsi="Times New Roman" w:cs="Times New Roman"/>
          <w:sz w:val="24"/>
          <w:szCs w:val="24"/>
        </w:rPr>
        <w:t>Theoharis, 2009</w:t>
      </w:r>
      <w:r>
        <w:rPr>
          <w:rFonts w:ascii="Times New Roman" w:hAnsi="Times New Roman" w:cs="Times New Roman"/>
          <w:sz w:val="24"/>
          <w:szCs w:val="24"/>
        </w:rPr>
        <w:t xml:space="preserve">, </w:t>
      </w:r>
      <w:proofErr w:type="spellStart"/>
      <w:r w:rsidRPr="004743D1">
        <w:rPr>
          <w:rFonts w:ascii="Times New Roman" w:hAnsi="Times New Roman" w:cs="Times New Roman"/>
          <w:sz w:val="24"/>
          <w:szCs w:val="24"/>
        </w:rPr>
        <w:t>Schildkamp</w:t>
      </w:r>
      <w:proofErr w:type="spellEnd"/>
      <w:r w:rsidRPr="004743D1">
        <w:rPr>
          <w:rFonts w:ascii="Times New Roman" w:hAnsi="Times New Roman" w:cs="Times New Roman"/>
          <w:sz w:val="24"/>
          <w:szCs w:val="24"/>
        </w:rPr>
        <w:t xml:space="preserve"> et al., 2017</w:t>
      </w:r>
      <w:r>
        <w:rPr>
          <w:rFonts w:ascii="Times New Roman" w:hAnsi="Times New Roman" w:cs="Times New Roman"/>
          <w:sz w:val="24"/>
          <w:szCs w:val="24"/>
        </w:rPr>
        <w:t xml:space="preserve">, </w:t>
      </w:r>
      <w:r w:rsidRPr="004743D1">
        <w:rPr>
          <w:rFonts w:ascii="Times New Roman" w:hAnsi="Times New Roman" w:cs="Times New Roman"/>
          <w:sz w:val="24"/>
          <w:szCs w:val="24"/>
        </w:rPr>
        <w:t>DuFour et al., 2016</w:t>
      </w:r>
      <w:r>
        <w:rPr>
          <w:rFonts w:ascii="Times New Roman" w:hAnsi="Times New Roman" w:cs="Times New Roman"/>
          <w:sz w:val="24"/>
          <w:szCs w:val="24"/>
        </w:rPr>
        <w:t xml:space="preserve">, </w:t>
      </w:r>
      <w:r w:rsidR="002B0A15" w:rsidRPr="002B0A15">
        <w:rPr>
          <w:rFonts w:ascii="Times New Roman" w:hAnsi="Times New Roman" w:cs="Times New Roman"/>
          <w:sz w:val="24"/>
          <w:szCs w:val="24"/>
        </w:rPr>
        <w:t>Spillane, 2005</w:t>
      </w:r>
      <w:r w:rsidR="002B0A15">
        <w:rPr>
          <w:rFonts w:ascii="Times New Roman" w:hAnsi="Times New Roman" w:cs="Times New Roman"/>
          <w:sz w:val="24"/>
          <w:szCs w:val="24"/>
        </w:rPr>
        <w:t xml:space="preserve">, </w:t>
      </w:r>
      <w:r w:rsidR="002B0A15" w:rsidRPr="002B0A15">
        <w:rPr>
          <w:rFonts w:ascii="Times New Roman" w:hAnsi="Times New Roman" w:cs="Times New Roman"/>
          <w:sz w:val="24"/>
          <w:szCs w:val="24"/>
        </w:rPr>
        <w:t>Day &amp; Gu, 2014</w:t>
      </w:r>
      <w:r w:rsidR="002B0A15">
        <w:rPr>
          <w:rFonts w:ascii="Times New Roman" w:hAnsi="Times New Roman" w:cs="Times New Roman"/>
          <w:sz w:val="24"/>
          <w:szCs w:val="24"/>
        </w:rPr>
        <w:t xml:space="preserve">, </w:t>
      </w:r>
      <w:r w:rsidR="002B0A15" w:rsidRPr="002B0A15">
        <w:rPr>
          <w:rFonts w:ascii="Times New Roman" w:hAnsi="Times New Roman" w:cs="Times New Roman"/>
          <w:sz w:val="24"/>
          <w:szCs w:val="24"/>
        </w:rPr>
        <w:t>Starratt, 2004</w:t>
      </w:r>
      <w:r w:rsidR="002B0A15">
        <w:rPr>
          <w:rFonts w:ascii="Times New Roman" w:hAnsi="Times New Roman" w:cs="Times New Roman"/>
          <w:sz w:val="24"/>
          <w:szCs w:val="24"/>
        </w:rPr>
        <w:t xml:space="preserve">, </w:t>
      </w:r>
      <w:r w:rsidR="002B0A15" w:rsidRPr="002B0A15">
        <w:rPr>
          <w:rFonts w:ascii="Times New Roman" w:hAnsi="Times New Roman" w:cs="Times New Roman"/>
          <w:sz w:val="24"/>
          <w:szCs w:val="24"/>
        </w:rPr>
        <w:t>Epstein, 2011</w:t>
      </w:r>
    </w:p>
    <w:p w14:paraId="5A411012"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lastRenderedPageBreak/>
        <w:t>Impact of Educational Policies on Achievement and Performance</w:t>
      </w:r>
    </w:p>
    <w:p w14:paraId="0D125DF4" w14:textId="661BB7A8"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Educational policies significantly affect student outcomes and institutional success. Policies that promote equitable access to resources, teacher training, and inclusive curricula often correlate with improved academic achievement (Darling-Hammond, 2019). Conversely, poorly conceived policies can exacerbate disparities and undermine institutional performance.</w:t>
      </w:r>
      <w:r w:rsidR="00166243">
        <w:rPr>
          <w:rFonts w:ascii="Times New Roman" w:hAnsi="Times New Roman" w:cs="Times New Roman"/>
          <w:sz w:val="24"/>
          <w:szCs w:val="24"/>
        </w:rPr>
        <w:t xml:space="preserve"> Below is a graph showing the impact of educational policies on achievement and performance.</w:t>
      </w:r>
    </w:p>
    <w:p w14:paraId="14AB2432" w14:textId="2525AD0F" w:rsidR="00716FCB" w:rsidRPr="004D2A1A" w:rsidRDefault="00166243" w:rsidP="00793CFD">
      <w:pPr>
        <w:spacing w:line="360" w:lineRule="auto"/>
        <w:jc w:val="center"/>
        <w:rPr>
          <w:rFonts w:ascii="Times New Roman" w:hAnsi="Times New Roman" w:cs="Times New Roman"/>
          <w:sz w:val="24"/>
          <w:szCs w:val="24"/>
        </w:rPr>
      </w:pPr>
      <w:r>
        <w:rPr>
          <w:noProof/>
        </w:rPr>
        <w:drawing>
          <wp:inline distT="0" distB="0" distL="0" distR="0" wp14:anchorId="599AF4B4" wp14:editId="04D053AC">
            <wp:extent cx="6100445" cy="3413359"/>
            <wp:effectExtent l="0" t="0" r="0" b="0"/>
            <wp:docPr id="195403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8009" name=""/>
                    <pic:cNvPicPr/>
                  </pic:nvPicPr>
                  <pic:blipFill>
                    <a:blip r:embed="rId9"/>
                    <a:stretch>
                      <a:fillRect/>
                    </a:stretch>
                  </pic:blipFill>
                  <pic:spPr>
                    <a:xfrm>
                      <a:off x="0" y="0"/>
                      <a:ext cx="6157086" cy="3445051"/>
                    </a:xfrm>
                    <a:prstGeom prst="rect">
                      <a:avLst/>
                    </a:prstGeom>
                  </pic:spPr>
                </pic:pic>
              </a:graphicData>
            </a:graphic>
          </wp:inline>
        </w:drawing>
      </w:r>
    </w:p>
    <w:p w14:paraId="049861BE"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Managing Resistance to Change</w:t>
      </w:r>
    </w:p>
    <w:p w14:paraId="64EA65C0" w14:textId="7A385871" w:rsidR="00716FCB" w:rsidRDefault="00865E6B" w:rsidP="00716FCB">
      <w:pPr>
        <w:spacing w:line="360" w:lineRule="auto"/>
        <w:jc w:val="both"/>
        <w:rPr>
          <w:rFonts w:ascii="Times New Roman" w:hAnsi="Times New Roman" w:cs="Times New Roman"/>
          <w:sz w:val="24"/>
          <w:szCs w:val="24"/>
        </w:rPr>
      </w:pPr>
      <w:r w:rsidRPr="00865E6B">
        <w:rPr>
          <w:rFonts w:ascii="Times New Roman" w:hAnsi="Times New Roman" w:cs="Times New Roman"/>
          <w:sz w:val="24"/>
          <w:szCs w:val="24"/>
        </w:rPr>
        <w:t>Resistance to change is a typical issue in educational environments.</w:t>
      </w:r>
      <w:r w:rsidR="00716FCB" w:rsidRPr="004D2A1A">
        <w:rPr>
          <w:rFonts w:ascii="Times New Roman" w:hAnsi="Times New Roman" w:cs="Times New Roman"/>
          <w:sz w:val="24"/>
          <w:szCs w:val="24"/>
        </w:rPr>
        <w:t xml:space="preserve"> Leaders can manage this by communicating the rationale behind changes, involving stakeholders in decision-making, and providing professional development to ease transitions (Kotter, 2014). Active listening and empathy are also critical in addressing concerns and fostering buy-in.</w:t>
      </w:r>
      <w:r w:rsidR="00166243">
        <w:rPr>
          <w:rFonts w:ascii="Times New Roman" w:hAnsi="Times New Roman" w:cs="Times New Roman"/>
          <w:sz w:val="24"/>
          <w:szCs w:val="24"/>
        </w:rPr>
        <w:t xml:space="preserve"> Pie chart highlighting strategies for managing resistance to change.</w:t>
      </w:r>
    </w:p>
    <w:p w14:paraId="0CB8A363" w14:textId="23EBC2FA" w:rsidR="00793CFD" w:rsidRDefault="00166243" w:rsidP="00AB493E">
      <w:pPr>
        <w:spacing w:line="360" w:lineRule="auto"/>
        <w:jc w:val="center"/>
        <w:rPr>
          <w:rFonts w:ascii="Times New Roman" w:hAnsi="Times New Roman" w:cs="Times New Roman"/>
          <w:sz w:val="24"/>
          <w:szCs w:val="24"/>
        </w:rPr>
      </w:pPr>
      <w:r>
        <w:rPr>
          <w:noProof/>
        </w:rPr>
        <w:lastRenderedPageBreak/>
        <w:drawing>
          <wp:inline distT="0" distB="0" distL="0" distR="0" wp14:anchorId="5A6E1DE0" wp14:editId="0A58B3EA">
            <wp:extent cx="5844540" cy="4137660"/>
            <wp:effectExtent l="0" t="0" r="3810" b="0"/>
            <wp:docPr id="189193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32190" name=""/>
                    <pic:cNvPicPr/>
                  </pic:nvPicPr>
                  <pic:blipFill>
                    <a:blip r:embed="rId10"/>
                    <a:stretch>
                      <a:fillRect/>
                    </a:stretch>
                  </pic:blipFill>
                  <pic:spPr>
                    <a:xfrm>
                      <a:off x="0" y="0"/>
                      <a:ext cx="5844540" cy="4137660"/>
                    </a:xfrm>
                    <a:prstGeom prst="rect">
                      <a:avLst/>
                    </a:prstGeom>
                  </pic:spPr>
                </pic:pic>
              </a:graphicData>
            </a:graphic>
          </wp:inline>
        </w:drawing>
      </w:r>
    </w:p>
    <w:p w14:paraId="78BCDFBF" w14:textId="546A4A7E"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Influence of Cultural Diversity on Leadership Practices</w:t>
      </w:r>
    </w:p>
    <w:p w14:paraId="41E1CE06" w14:textId="13727190"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Cultural diversity enriches leadership practices by encouraging inclusivity and broadening perspectives. Leaders who embrace cultural competence can better understand and meet the needs of diverse student populations, fostering a more equitable learning environment (Banks, 2015). Celebrating diversity also enhances institutional culture and promotes innovation.</w:t>
      </w:r>
      <w:r w:rsidR="00683913">
        <w:rPr>
          <w:rFonts w:ascii="Times New Roman" w:hAnsi="Times New Roman" w:cs="Times New Roman"/>
          <w:sz w:val="24"/>
          <w:szCs w:val="24"/>
        </w:rPr>
        <w:t xml:space="preserve"> The table below outline some aspects of leadership.</w:t>
      </w:r>
    </w:p>
    <w:p w14:paraId="2F9783B0" w14:textId="567D9D61" w:rsidR="00CB23B3" w:rsidRDefault="00CB23B3" w:rsidP="00716FCB">
      <w:pPr>
        <w:spacing w:line="360" w:lineRule="auto"/>
        <w:jc w:val="both"/>
        <w:rPr>
          <w:rFonts w:ascii="Times New Roman" w:hAnsi="Times New Roman" w:cs="Times New Roman"/>
          <w:sz w:val="24"/>
          <w:szCs w:val="24"/>
        </w:rPr>
      </w:pPr>
      <w:r>
        <w:rPr>
          <w:noProof/>
        </w:rPr>
        <w:lastRenderedPageBreak/>
        <w:drawing>
          <wp:inline distT="0" distB="0" distL="0" distR="0" wp14:anchorId="2C0B6C61" wp14:editId="702B27D0">
            <wp:extent cx="6019740" cy="4096385"/>
            <wp:effectExtent l="0" t="0" r="635" b="0"/>
            <wp:docPr id="75465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50084" name=""/>
                    <pic:cNvPicPr/>
                  </pic:nvPicPr>
                  <pic:blipFill>
                    <a:blip r:embed="rId11"/>
                    <a:stretch>
                      <a:fillRect/>
                    </a:stretch>
                  </pic:blipFill>
                  <pic:spPr>
                    <a:xfrm>
                      <a:off x="0" y="0"/>
                      <a:ext cx="6030539" cy="4103734"/>
                    </a:xfrm>
                    <a:prstGeom prst="rect">
                      <a:avLst/>
                    </a:prstGeom>
                  </pic:spPr>
                </pic:pic>
              </a:graphicData>
            </a:graphic>
          </wp:inline>
        </w:drawing>
      </w:r>
    </w:p>
    <w:p w14:paraId="005D5017" w14:textId="2260B7C0" w:rsidR="00CB23B3" w:rsidRPr="00EE0BAD" w:rsidRDefault="00CB23B3" w:rsidP="00716FCB">
      <w:pPr>
        <w:spacing w:line="360" w:lineRule="auto"/>
        <w:jc w:val="both"/>
        <w:rPr>
          <w:rFonts w:ascii="Times New Roman" w:hAnsi="Times New Roman" w:cs="Times New Roman"/>
          <w:sz w:val="24"/>
          <w:szCs w:val="24"/>
        </w:rPr>
      </w:pPr>
      <w:r w:rsidRPr="00EE0BAD">
        <w:rPr>
          <w:rFonts w:ascii="Times New Roman" w:hAnsi="Times New Roman" w:cs="Times New Roman"/>
          <w:sz w:val="24"/>
          <w:szCs w:val="24"/>
        </w:rPr>
        <w:t>Gelfand et al., 2007, House et al., 2004,</w:t>
      </w:r>
    </w:p>
    <w:p w14:paraId="683BF891" w14:textId="77777777" w:rsidR="00793CFD" w:rsidRDefault="00793CFD" w:rsidP="00716FCB">
      <w:pPr>
        <w:spacing w:line="360" w:lineRule="auto"/>
        <w:jc w:val="both"/>
        <w:rPr>
          <w:rFonts w:ascii="Times New Roman" w:hAnsi="Times New Roman" w:cs="Times New Roman"/>
          <w:sz w:val="24"/>
          <w:szCs w:val="24"/>
        </w:rPr>
      </w:pPr>
    </w:p>
    <w:p w14:paraId="0EA98EC1" w14:textId="5BFF325D"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Ethical Considerations in Educational Policy Development</w:t>
      </w:r>
    </w:p>
    <w:p w14:paraId="19D64780" w14:textId="77777777"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Ethical considerations in policy development revolve around fairness, transparency, and the prioritization of student welfare. Policymakers must ensure that decisions do not disproportionately disadvantage marginalized groups and that they align with broader societal values (Strike &amp; Soltis, 2009).</w:t>
      </w:r>
    </w:p>
    <w:p w14:paraId="0776393B" w14:textId="111A6D40" w:rsidR="001739D2" w:rsidRPr="004D2A1A" w:rsidRDefault="00CB23B3" w:rsidP="00447A0F">
      <w:pPr>
        <w:spacing w:line="360" w:lineRule="auto"/>
        <w:jc w:val="center"/>
        <w:rPr>
          <w:rFonts w:ascii="Times New Roman" w:hAnsi="Times New Roman" w:cs="Times New Roman"/>
          <w:sz w:val="24"/>
          <w:szCs w:val="24"/>
        </w:rPr>
      </w:pPr>
      <w:r>
        <w:rPr>
          <w:noProof/>
        </w:rPr>
        <w:lastRenderedPageBreak/>
        <w:drawing>
          <wp:inline distT="0" distB="0" distL="0" distR="0" wp14:anchorId="492C4D8F" wp14:editId="6324AD54">
            <wp:extent cx="6233160" cy="2849880"/>
            <wp:effectExtent l="0" t="0" r="0" b="7620"/>
            <wp:docPr id="31045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54272" name=""/>
                    <pic:cNvPicPr/>
                  </pic:nvPicPr>
                  <pic:blipFill>
                    <a:blip r:embed="rId12"/>
                    <a:stretch>
                      <a:fillRect/>
                    </a:stretch>
                  </pic:blipFill>
                  <pic:spPr>
                    <a:xfrm>
                      <a:off x="0" y="0"/>
                      <a:ext cx="6233160" cy="2849880"/>
                    </a:xfrm>
                    <a:prstGeom prst="rect">
                      <a:avLst/>
                    </a:prstGeom>
                  </pic:spPr>
                </pic:pic>
              </a:graphicData>
            </a:graphic>
          </wp:inline>
        </w:drawing>
      </w:r>
    </w:p>
    <w:p w14:paraId="26FAF74E"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Leveraging Technology for Policy Implementation</w:t>
      </w:r>
    </w:p>
    <w:p w14:paraId="3E4EE12A" w14:textId="63074930"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Technology can enhance policy implementation through data analytics, communication tools, and e-learning platforms. Digital dashboards, for instance, provide real-time insights into policy outcomes, enabling leaders to make informed adjustments (Fullan, 2021). However, technology must be used equitably to avoid widening existing gaps.</w:t>
      </w:r>
    </w:p>
    <w:p w14:paraId="552AF095" w14:textId="2A64B57C" w:rsidR="00CB23B3" w:rsidRPr="004D2A1A" w:rsidRDefault="00CB23B3" w:rsidP="00716FCB">
      <w:pPr>
        <w:spacing w:line="360" w:lineRule="auto"/>
        <w:jc w:val="both"/>
        <w:rPr>
          <w:rFonts w:ascii="Times New Roman" w:hAnsi="Times New Roman" w:cs="Times New Roman"/>
          <w:sz w:val="24"/>
          <w:szCs w:val="24"/>
        </w:rPr>
      </w:pPr>
      <w:r>
        <w:rPr>
          <w:noProof/>
        </w:rPr>
        <w:drawing>
          <wp:inline distT="0" distB="0" distL="0" distR="0" wp14:anchorId="74932ACA" wp14:editId="1E39934B">
            <wp:extent cx="5943600" cy="2735580"/>
            <wp:effectExtent l="0" t="0" r="0" b="7620"/>
            <wp:docPr id="8824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6621" name=""/>
                    <pic:cNvPicPr/>
                  </pic:nvPicPr>
                  <pic:blipFill>
                    <a:blip r:embed="rId13"/>
                    <a:stretch>
                      <a:fillRect/>
                    </a:stretch>
                  </pic:blipFill>
                  <pic:spPr>
                    <a:xfrm>
                      <a:off x="0" y="0"/>
                      <a:ext cx="5943600" cy="2735580"/>
                    </a:xfrm>
                    <a:prstGeom prst="rect">
                      <a:avLst/>
                    </a:prstGeom>
                  </pic:spPr>
                </pic:pic>
              </a:graphicData>
            </a:graphic>
          </wp:inline>
        </w:drawing>
      </w:r>
    </w:p>
    <w:p w14:paraId="6BFC5171" w14:textId="77777777" w:rsidR="00447A0F" w:rsidRDefault="00447A0F" w:rsidP="00716FCB">
      <w:pPr>
        <w:spacing w:line="360" w:lineRule="auto"/>
        <w:jc w:val="both"/>
        <w:rPr>
          <w:rFonts w:ascii="Times New Roman" w:hAnsi="Times New Roman" w:cs="Times New Roman"/>
          <w:sz w:val="24"/>
          <w:szCs w:val="24"/>
        </w:rPr>
      </w:pPr>
    </w:p>
    <w:p w14:paraId="7320EC6F" w14:textId="21D46390"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lastRenderedPageBreak/>
        <w:t>Role of Stakeholders in Educational Policies</w:t>
      </w:r>
    </w:p>
    <w:p w14:paraId="212E9C6B" w14:textId="6312CB1F"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Stakeholders, including educators, parents, students, and policymakers, play a crucial role in shaping and implementing educational policies. Engaging stakeholders ensures policies are practical, contextually relevant, and widely supported (Bryk et al., 2010). Stakeholder feedback can also inform continuous improvement.</w:t>
      </w:r>
    </w:p>
    <w:p w14:paraId="12298809" w14:textId="59934E60" w:rsidR="00CB23B3" w:rsidRPr="004D2A1A" w:rsidRDefault="00CB23B3" w:rsidP="00716FCB">
      <w:pPr>
        <w:spacing w:line="360" w:lineRule="auto"/>
        <w:jc w:val="both"/>
        <w:rPr>
          <w:rFonts w:ascii="Times New Roman" w:hAnsi="Times New Roman" w:cs="Times New Roman"/>
          <w:sz w:val="24"/>
          <w:szCs w:val="24"/>
        </w:rPr>
      </w:pPr>
      <w:r>
        <w:rPr>
          <w:noProof/>
        </w:rPr>
        <w:drawing>
          <wp:inline distT="0" distB="0" distL="0" distR="0" wp14:anchorId="0332944B" wp14:editId="7E0DE4D3">
            <wp:extent cx="5943600" cy="5715635"/>
            <wp:effectExtent l="0" t="0" r="0" b="0"/>
            <wp:docPr id="111324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1998" name=""/>
                    <pic:cNvPicPr/>
                  </pic:nvPicPr>
                  <pic:blipFill>
                    <a:blip r:embed="rId14"/>
                    <a:stretch>
                      <a:fillRect/>
                    </a:stretch>
                  </pic:blipFill>
                  <pic:spPr>
                    <a:xfrm>
                      <a:off x="0" y="0"/>
                      <a:ext cx="5943600" cy="5715635"/>
                    </a:xfrm>
                    <a:prstGeom prst="rect">
                      <a:avLst/>
                    </a:prstGeom>
                  </pic:spPr>
                </pic:pic>
              </a:graphicData>
            </a:graphic>
          </wp:inline>
        </w:drawing>
      </w:r>
    </w:p>
    <w:p w14:paraId="666FFA53" w14:textId="77777777" w:rsidR="00447A0F" w:rsidRDefault="00447A0F" w:rsidP="00716FCB">
      <w:pPr>
        <w:spacing w:line="360" w:lineRule="auto"/>
        <w:jc w:val="both"/>
        <w:rPr>
          <w:rFonts w:ascii="Times New Roman" w:hAnsi="Times New Roman" w:cs="Times New Roman"/>
          <w:sz w:val="24"/>
          <w:szCs w:val="24"/>
        </w:rPr>
      </w:pPr>
    </w:p>
    <w:p w14:paraId="14336A13" w14:textId="49CD5CDA"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lastRenderedPageBreak/>
        <w:t>Addressing Disparities in Educational Access and Outcomes</w:t>
      </w:r>
    </w:p>
    <w:p w14:paraId="25F5B33D" w14:textId="7E0A0FF3"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Educational leaders must address disparities through targeted interventions such as equitable funding, culturally responsive teaching, and community engagement. Programs like early childhood education and after-school tutoring can help bridge achievement gaps (Reardon, 2013).</w:t>
      </w:r>
    </w:p>
    <w:p w14:paraId="6C8C75E9" w14:textId="51E9F735" w:rsidR="00CB23B3" w:rsidRPr="004D2A1A" w:rsidRDefault="00CB23B3" w:rsidP="00716FCB">
      <w:pPr>
        <w:spacing w:line="360" w:lineRule="auto"/>
        <w:jc w:val="both"/>
        <w:rPr>
          <w:rFonts w:ascii="Times New Roman" w:hAnsi="Times New Roman" w:cs="Times New Roman"/>
          <w:sz w:val="24"/>
          <w:szCs w:val="24"/>
        </w:rPr>
      </w:pPr>
      <w:r>
        <w:rPr>
          <w:noProof/>
        </w:rPr>
        <w:drawing>
          <wp:inline distT="0" distB="0" distL="0" distR="0" wp14:anchorId="17BD7AEE" wp14:editId="7CC0CFB3">
            <wp:extent cx="5943600" cy="4403725"/>
            <wp:effectExtent l="0" t="0" r="0" b="0"/>
            <wp:docPr id="11154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84452" name=""/>
                    <pic:cNvPicPr/>
                  </pic:nvPicPr>
                  <pic:blipFill>
                    <a:blip r:embed="rId15"/>
                    <a:stretch>
                      <a:fillRect/>
                    </a:stretch>
                  </pic:blipFill>
                  <pic:spPr>
                    <a:xfrm>
                      <a:off x="0" y="0"/>
                      <a:ext cx="5943600" cy="4403725"/>
                    </a:xfrm>
                    <a:prstGeom prst="rect">
                      <a:avLst/>
                    </a:prstGeom>
                  </pic:spPr>
                </pic:pic>
              </a:graphicData>
            </a:graphic>
          </wp:inline>
        </w:drawing>
      </w:r>
    </w:p>
    <w:p w14:paraId="5DEA0200" w14:textId="77777777" w:rsidR="00716FCB" w:rsidRPr="004D2A1A" w:rsidRDefault="00716FCB" w:rsidP="00716FCB">
      <w:pPr>
        <w:spacing w:line="360" w:lineRule="auto"/>
        <w:jc w:val="both"/>
        <w:rPr>
          <w:rFonts w:ascii="Times New Roman" w:hAnsi="Times New Roman" w:cs="Times New Roman"/>
          <w:sz w:val="24"/>
          <w:szCs w:val="24"/>
        </w:rPr>
      </w:pPr>
      <w:bookmarkStart w:id="1" w:name="_Hlk185241648"/>
      <w:r w:rsidRPr="004D2A1A">
        <w:rPr>
          <w:rFonts w:ascii="Times New Roman" w:hAnsi="Times New Roman" w:cs="Times New Roman"/>
          <w:sz w:val="24"/>
          <w:szCs w:val="24"/>
        </w:rPr>
        <w:t>Components of Successful Change Management in Education</w:t>
      </w:r>
    </w:p>
    <w:bookmarkEnd w:id="1"/>
    <w:p w14:paraId="5842EE3F" w14:textId="1C40D3CD"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Successful change management involves clear communication, stakeholder involvement, professional development, and ongoing evaluation. Leaders must articulate the need for change, provide resources for implementation, and celebrate milestones to sustain momentum (Kotter, 2014).</w:t>
      </w:r>
    </w:p>
    <w:p w14:paraId="1EAD5BD7" w14:textId="2630CF27" w:rsidR="00CB23B3" w:rsidRPr="004D2A1A" w:rsidRDefault="00CB23B3" w:rsidP="00FC0208">
      <w:pPr>
        <w:spacing w:line="360" w:lineRule="auto"/>
        <w:jc w:val="center"/>
        <w:rPr>
          <w:rFonts w:ascii="Times New Roman" w:hAnsi="Times New Roman" w:cs="Times New Roman"/>
          <w:sz w:val="24"/>
          <w:szCs w:val="24"/>
        </w:rPr>
      </w:pPr>
      <w:r>
        <w:rPr>
          <w:noProof/>
        </w:rPr>
        <w:lastRenderedPageBreak/>
        <w:drawing>
          <wp:inline distT="0" distB="0" distL="0" distR="0" wp14:anchorId="3987C251" wp14:editId="4E81FF71">
            <wp:extent cx="4236720" cy="3009900"/>
            <wp:effectExtent l="0" t="0" r="0" b="0"/>
            <wp:docPr id="26247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71132" name=""/>
                    <pic:cNvPicPr/>
                  </pic:nvPicPr>
                  <pic:blipFill>
                    <a:blip r:embed="rId16"/>
                    <a:stretch>
                      <a:fillRect/>
                    </a:stretch>
                  </pic:blipFill>
                  <pic:spPr>
                    <a:xfrm>
                      <a:off x="0" y="0"/>
                      <a:ext cx="4236720" cy="3009900"/>
                    </a:xfrm>
                    <a:prstGeom prst="rect">
                      <a:avLst/>
                    </a:prstGeom>
                  </pic:spPr>
                </pic:pic>
              </a:graphicData>
            </a:graphic>
          </wp:inline>
        </w:drawing>
      </w:r>
    </w:p>
    <w:p w14:paraId="31BD59F2" w14:textId="77777777" w:rsidR="00FC0208" w:rsidRDefault="00FC0208" w:rsidP="00716FCB">
      <w:pPr>
        <w:spacing w:line="360" w:lineRule="auto"/>
        <w:jc w:val="both"/>
        <w:rPr>
          <w:rFonts w:ascii="Times New Roman" w:hAnsi="Times New Roman" w:cs="Times New Roman"/>
          <w:sz w:val="24"/>
          <w:szCs w:val="24"/>
        </w:rPr>
      </w:pPr>
    </w:p>
    <w:p w14:paraId="1ABACC91" w14:textId="76A4F7A5"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Global Trends and Local Policy-Making</w:t>
      </w:r>
    </w:p>
    <w:p w14:paraId="5CCBCF45" w14:textId="7BFFB7F3"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Global educational trends, such as the emphasis on STEM education and digital literacy, influence local policymaking by highlighting best practices and innovative approaches. However, local leaders must adapt these trends to their unique cultural and socioeconomic contexts (Sahlberg, 2011).</w:t>
      </w:r>
    </w:p>
    <w:p w14:paraId="0D6940E1" w14:textId="58FD0F87" w:rsidR="00FC0208" w:rsidRDefault="00793CFD" w:rsidP="00716FCB">
      <w:pPr>
        <w:spacing w:line="360" w:lineRule="auto"/>
        <w:jc w:val="both"/>
        <w:rPr>
          <w:rFonts w:ascii="Times New Roman" w:hAnsi="Times New Roman" w:cs="Times New Roman"/>
          <w:sz w:val="24"/>
          <w:szCs w:val="24"/>
        </w:rPr>
      </w:pPr>
      <w:r>
        <w:rPr>
          <w:noProof/>
        </w:rPr>
        <w:lastRenderedPageBreak/>
        <w:drawing>
          <wp:inline distT="0" distB="0" distL="0" distR="0" wp14:anchorId="5361132F" wp14:editId="473BD352">
            <wp:extent cx="5943600" cy="2872740"/>
            <wp:effectExtent l="0" t="0" r="0" b="3810"/>
            <wp:docPr id="148134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42969" name=""/>
                    <pic:cNvPicPr/>
                  </pic:nvPicPr>
                  <pic:blipFill>
                    <a:blip r:embed="rId17"/>
                    <a:stretch>
                      <a:fillRect/>
                    </a:stretch>
                  </pic:blipFill>
                  <pic:spPr>
                    <a:xfrm>
                      <a:off x="0" y="0"/>
                      <a:ext cx="5943600" cy="2872740"/>
                    </a:xfrm>
                    <a:prstGeom prst="rect">
                      <a:avLst/>
                    </a:prstGeom>
                  </pic:spPr>
                </pic:pic>
              </a:graphicData>
            </a:graphic>
          </wp:inline>
        </w:drawing>
      </w:r>
    </w:p>
    <w:p w14:paraId="11DB68DB" w14:textId="32BCBB46"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Collaboration Between Leaders and Policymakers</w:t>
      </w:r>
    </w:p>
    <w:p w14:paraId="541792D0" w14:textId="410830BC"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Collaboration between educational leaders and policymakers is critical for aligning institutional goals with policy frameworks. Joint task forces, regular consultations, and shared accountability mechanisms can foster productive partnerships (Fullan, 2021).</w:t>
      </w:r>
    </w:p>
    <w:p w14:paraId="1ED39324" w14:textId="02122B99" w:rsidR="00793CFD" w:rsidRPr="004D2A1A" w:rsidRDefault="00793CFD" w:rsidP="00716FCB">
      <w:pPr>
        <w:spacing w:line="360" w:lineRule="auto"/>
        <w:jc w:val="both"/>
        <w:rPr>
          <w:rFonts w:ascii="Times New Roman" w:hAnsi="Times New Roman" w:cs="Times New Roman"/>
          <w:sz w:val="24"/>
          <w:szCs w:val="24"/>
        </w:rPr>
      </w:pPr>
      <w:r>
        <w:rPr>
          <w:noProof/>
        </w:rPr>
        <w:drawing>
          <wp:inline distT="0" distB="0" distL="0" distR="0" wp14:anchorId="0E1F2D67" wp14:editId="3618302D">
            <wp:extent cx="5943600" cy="3307080"/>
            <wp:effectExtent l="0" t="0" r="0" b="7620"/>
            <wp:docPr id="87906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60502" name=""/>
                    <pic:cNvPicPr/>
                  </pic:nvPicPr>
                  <pic:blipFill>
                    <a:blip r:embed="rId18"/>
                    <a:stretch>
                      <a:fillRect/>
                    </a:stretch>
                  </pic:blipFill>
                  <pic:spPr>
                    <a:xfrm>
                      <a:off x="0" y="0"/>
                      <a:ext cx="5943600" cy="3307080"/>
                    </a:xfrm>
                    <a:prstGeom prst="rect">
                      <a:avLst/>
                    </a:prstGeom>
                  </pic:spPr>
                </pic:pic>
              </a:graphicData>
            </a:graphic>
          </wp:inline>
        </w:drawing>
      </w:r>
    </w:p>
    <w:p w14:paraId="27681C84"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lastRenderedPageBreak/>
        <w:t>Leadership Styles and Organizational Culture</w:t>
      </w:r>
    </w:p>
    <w:p w14:paraId="7CE3129C" w14:textId="3AC56032"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Leadership styles significantly impact organizational culture. Transformational leaders inspire innovation and collaboration, while transactional leaders emphasize efficiency and compliance. A balance of both styles can create a dynamic and adaptable educational environment (Bass &amp; Riggio, 2006).</w:t>
      </w:r>
    </w:p>
    <w:p w14:paraId="67510103" w14:textId="61F6828D" w:rsidR="00793CFD" w:rsidRDefault="00793CFD" w:rsidP="00716FCB">
      <w:pPr>
        <w:spacing w:line="360" w:lineRule="auto"/>
        <w:jc w:val="both"/>
        <w:rPr>
          <w:rFonts w:ascii="Times New Roman" w:hAnsi="Times New Roman" w:cs="Times New Roman"/>
          <w:sz w:val="24"/>
          <w:szCs w:val="24"/>
        </w:rPr>
      </w:pPr>
      <w:r>
        <w:rPr>
          <w:noProof/>
        </w:rPr>
        <w:drawing>
          <wp:inline distT="0" distB="0" distL="0" distR="0" wp14:anchorId="48FB3E47" wp14:editId="17678C6A">
            <wp:extent cx="6103620" cy="5606415"/>
            <wp:effectExtent l="0" t="0" r="0" b="0"/>
            <wp:docPr id="104419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99039" name=""/>
                    <pic:cNvPicPr/>
                  </pic:nvPicPr>
                  <pic:blipFill>
                    <a:blip r:embed="rId19"/>
                    <a:stretch>
                      <a:fillRect/>
                    </a:stretch>
                  </pic:blipFill>
                  <pic:spPr>
                    <a:xfrm>
                      <a:off x="0" y="0"/>
                      <a:ext cx="6103620" cy="5606415"/>
                    </a:xfrm>
                    <a:prstGeom prst="rect">
                      <a:avLst/>
                    </a:prstGeom>
                  </pic:spPr>
                </pic:pic>
              </a:graphicData>
            </a:graphic>
          </wp:inline>
        </w:drawing>
      </w:r>
    </w:p>
    <w:p w14:paraId="52E8DA2E" w14:textId="77777777" w:rsidR="00793CFD" w:rsidRPr="004D2A1A" w:rsidRDefault="00793CFD" w:rsidP="00716FCB">
      <w:pPr>
        <w:spacing w:line="360" w:lineRule="auto"/>
        <w:jc w:val="both"/>
        <w:rPr>
          <w:rFonts w:ascii="Times New Roman" w:hAnsi="Times New Roman" w:cs="Times New Roman"/>
          <w:sz w:val="24"/>
          <w:szCs w:val="24"/>
        </w:rPr>
      </w:pPr>
    </w:p>
    <w:p w14:paraId="2E4DD419"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lastRenderedPageBreak/>
        <w:t>Implications of Data-Driven Decision-Making</w:t>
      </w:r>
    </w:p>
    <w:p w14:paraId="7ACE8C6F" w14:textId="77777777"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Data-driven decision-making enhances policy development by providing evidence-based insights. However, leaders must balance quantitative metrics with qualitative feedback to ensure policies address complex educational challenges holistically (</w:t>
      </w:r>
      <w:proofErr w:type="spellStart"/>
      <w:r w:rsidRPr="004D2A1A">
        <w:rPr>
          <w:rFonts w:ascii="Times New Roman" w:hAnsi="Times New Roman" w:cs="Times New Roman"/>
          <w:sz w:val="24"/>
          <w:szCs w:val="24"/>
        </w:rPr>
        <w:t>Mandinach</w:t>
      </w:r>
      <w:proofErr w:type="spellEnd"/>
      <w:r w:rsidRPr="004D2A1A">
        <w:rPr>
          <w:rFonts w:ascii="Times New Roman" w:hAnsi="Times New Roman" w:cs="Times New Roman"/>
          <w:sz w:val="24"/>
          <w:szCs w:val="24"/>
        </w:rPr>
        <w:t xml:space="preserve"> &amp; Gummer, 2016).</w:t>
      </w:r>
    </w:p>
    <w:p w14:paraId="014AC250" w14:textId="77777777" w:rsidR="00793CFD" w:rsidRDefault="00793CFD" w:rsidP="00716FCB">
      <w:pPr>
        <w:spacing w:line="360" w:lineRule="auto"/>
        <w:jc w:val="both"/>
        <w:rPr>
          <w:rFonts w:ascii="Times New Roman" w:hAnsi="Times New Roman" w:cs="Times New Roman"/>
          <w:sz w:val="24"/>
          <w:szCs w:val="24"/>
        </w:rPr>
      </w:pPr>
    </w:p>
    <w:p w14:paraId="109B9C82" w14:textId="1B891AB4" w:rsidR="00793CFD" w:rsidRPr="004D2A1A" w:rsidRDefault="00793CFD" w:rsidP="00716FCB">
      <w:pPr>
        <w:spacing w:line="360" w:lineRule="auto"/>
        <w:jc w:val="both"/>
        <w:rPr>
          <w:rFonts w:ascii="Times New Roman" w:hAnsi="Times New Roman" w:cs="Times New Roman"/>
          <w:sz w:val="24"/>
          <w:szCs w:val="24"/>
        </w:rPr>
      </w:pPr>
      <w:r>
        <w:rPr>
          <w:noProof/>
        </w:rPr>
        <w:drawing>
          <wp:inline distT="0" distB="0" distL="0" distR="0" wp14:anchorId="75D226CE" wp14:editId="5DE7FB0C">
            <wp:extent cx="5943600" cy="3943985"/>
            <wp:effectExtent l="0" t="0" r="0" b="0"/>
            <wp:docPr id="112083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32858" name=""/>
                    <pic:cNvPicPr/>
                  </pic:nvPicPr>
                  <pic:blipFill>
                    <a:blip r:embed="rId20"/>
                    <a:stretch>
                      <a:fillRect/>
                    </a:stretch>
                  </pic:blipFill>
                  <pic:spPr>
                    <a:xfrm>
                      <a:off x="0" y="0"/>
                      <a:ext cx="5943600" cy="3943985"/>
                    </a:xfrm>
                    <a:prstGeom prst="rect">
                      <a:avLst/>
                    </a:prstGeom>
                  </pic:spPr>
                </pic:pic>
              </a:graphicData>
            </a:graphic>
          </wp:inline>
        </w:drawing>
      </w:r>
    </w:p>
    <w:p w14:paraId="60EE77DB" w14:textId="77777777" w:rsidR="00716FCB" w:rsidRPr="004D2A1A" w:rsidRDefault="00716FCB" w:rsidP="00716FCB">
      <w:pPr>
        <w:spacing w:line="360" w:lineRule="auto"/>
        <w:jc w:val="both"/>
        <w:rPr>
          <w:rFonts w:ascii="Times New Roman" w:hAnsi="Times New Roman" w:cs="Times New Roman"/>
          <w:sz w:val="24"/>
          <w:szCs w:val="24"/>
        </w:rPr>
      </w:pPr>
    </w:p>
    <w:p w14:paraId="3778FE60"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Professional Development for Leadership Growth</w:t>
      </w:r>
    </w:p>
    <w:p w14:paraId="61F91DF8" w14:textId="5D7E4FCB" w:rsidR="00716FCB"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Professional development programs that focus on emotional intelligence, instructional leadership, and change management are essential for cultivating effective educational leaders. Continuous learning helps leaders stay responsive to emerging challenges and opportunities (</w:t>
      </w:r>
      <w:proofErr w:type="spellStart"/>
      <w:r w:rsidRPr="004D2A1A">
        <w:rPr>
          <w:rFonts w:ascii="Times New Roman" w:hAnsi="Times New Roman" w:cs="Times New Roman"/>
          <w:sz w:val="24"/>
          <w:szCs w:val="24"/>
        </w:rPr>
        <w:t>Leithwood</w:t>
      </w:r>
      <w:proofErr w:type="spellEnd"/>
      <w:r w:rsidRPr="004D2A1A">
        <w:rPr>
          <w:rFonts w:ascii="Times New Roman" w:hAnsi="Times New Roman" w:cs="Times New Roman"/>
          <w:sz w:val="24"/>
          <w:szCs w:val="24"/>
        </w:rPr>
        <w:t xml:space="preserve"> et al., 2020).</w:t>
      </w:r>
    </w:p>
    <w:p w14:paraId="3E6895AE" w14:textId="3A44D592" w:rsidR="00793CFD" w:rsidRPr="004D2A1A" w:rsidRDefault="00793CFD" w:rsidP="00716FCB">
      <w:pPr>
        <w:spacing w:line="360" w:lineRule="auto"/>
        <w:jc w:val="both"/>
        <w:rPr>
          <w:rFonts w:ascii="Times New Roman" w:hAnsi="Times New Roman" w:cs="Times New Roman"/>
          <w:sz w:val="24"/>
          <w:szCs w:val="24"/>
        </w:rPr>
      </w:pPr>
      <w:r>
        <w:rPr>
          <w:noProof/>
        </w:rPr>
        <w:lastRenderedPageBreak/>
        <w:drawing>
          <wp:inline distT="0" distB="0" distL="0" distR="0" wp14:anchorId="7DC21D86" wp14:editId="2AFE94AE">
            <wp:extent cx="6248400" cy="6065520"/>
            <wp:effectExtent l="0" t="0" r="0" b="0"/>
            <wp:docPr id="81489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5806" name=""/>
                    <pic:cNvPicPr/>
                  </pic:nvPicPr>
                  <pic:blipFill>
                    <a:blip r:embed="rId21"/>
                    <a:stretch>
                      <a:fillRect/>
                    </a:stretch>
                  </pic:blipFill>
                  <pic:spPr>
                    <a:xfrm>
                      <a:off x="0" y="0"/>
                      <a:ext cx="6248400" cy="6065520"/>
                    </a:xfrm>
                    <a:prstGeom prst="rect">
                      <a:avLst/>
                    </a:prstGeom>
                  </pic:spPr>
                </pic:pic>
              </a:graphicData>
            </a:graphic>
          </wp:inline>
        </w:drawing>
      </w:r>
    </w:p>
    <w:p w14:paraId="2CFFAC7B"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Challenges in Implementing Inclusive Education Policies</w:t>
      </w:r>
    </w:p>
    <w:p w14:paraId="7773CFF6" w14:textId="7BB22343" w:rsidR="001C38B0" w:rsidRDefault="00716FCB" w:rsidP="001739D2">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Inclusive education policies face challenges such as inadequate resources, resistance from stakeholders, and a lack of trained personnel. Leaders must advocate for funding, provide professional development, and foster a culture of inclusion to overcome these barriers (Ainscow, 2016).</w:t>
      </w:r>
    </w:p>
    <w:p w14:paraId="2340C040" w14:textId="75F79D82" w:rsidR="00793CFD" w:rsidRPr="001739D2" w:rsidRDefault="00793CFD" w:rsidP="001739D2">
      <w:pPr>
        <w:spacing w:line="360" w:lineRule="auto"/>
        <w:jc w:val="both"/>
        <w:rPr>
          <w:rFonts w:ascii="Times New Roman" w:hAnsi="Times New Roman" w:cs="Times New Roman"/>
          <w:sz w:val="24"/>
          <w:szCs w:val="24"/>
        </w:rPr>
      </w:pPr>
      <w:r>
        <w:rPr>
          <w:noProof/>
        </w:rPr>
        <w:lastRenderedPageBreak/>
        <w:drawing>
          <wp:inline distT="0" distB="0" distL="0" distR="0" wp14:anchorId="3762809C" wp14:editId="2CC3895B">
            <wp:extent cx="5943600" cy="4378325"/>
            <wp:effectExtent l="0" t="0" r="0" b="3175"/>
            <wp:docPr id="60339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97872" name=""/>
                    <pic:cNvPicPr/>
                  </pic:nvPicPr>
                  <pic:blipFill>
                    <a:blip r:embed="rId22"/>
                    <a:stretch>
                      <a:fillRect/>
                    </a:stretch>
                  </pic:blipFill>
                  <pic:spPr>
                    <a:xfrm>
                      <a:off x="0" y="0"/>
                      <a:ext cx="5943600" cy="4378325"/>
                    </a:xfrm>
                    <a:prstGeom prst="rect">
                      <a:avLst/>
                    </a:prstGeom>
                  </pic:spPr>
                </pic:pic>
              </a:graphicData>
            </a:graphic>
          </wp:inline>
        </w:drawing>
      </w:r>
    </w:p>
    <w:p w14:paraId="117A190D" w14:textId="5EB59722" w:rsidR="006E1DDE" w:rsidRPr="00EE0BAD" w:rsidRDefault="006E1DDE" w:rsidP="006E1DDE">
      <w:pPr>
        <w:rPr>
          <w:rFonts w:ascii="Times New Roman" w:hAnsi="Times New Roman" w:cs="Times New Roman"/>
          <w:b/>
          <w:bCs/>
          <w:sz w:val="24"/>
          <w:szCs w:val="24"/>
        </w:rPr>
      </w:pPr>
      <w:r w:rsidRPr="00EE0BAD">
        <w:rPr>
          <w:rFonts w:ascii="Times New Roman" w:hAnsi="Times New Roman" w:cs="Times New Roman"/>
          <w:b/>
          <w:bCs/>
          <w:sz w:val="24"/>
          <w:szCs w:val="24"/>
        </w:rPr>
        <w:t>Conclusion</w:t>
      </w:r>
    </w:p>
    <w:p w14:paraId="405A1B9B" w14:textId="77777777" w:rsidR="00424A82" w:rsidRPr="004D2A1A" w:rsidRDefault="00424A82" w:rsidP="00424A82">
      <w:pPr>
        <w:spacing w:after="0" w:line="360" w:lineRule="auto"/>
        <w:jc w:val="both"/>
        <w:rPr>
          <w:rFonts w:ascii="Times New Roman" w:hAnsi="Times New Roman" w:cs="Times New Roman"/>
          <w:sz w:val="24"/>
          <w:szCs w:val="24"/>
        </w:rPr>
      </w:pPr>
      <w:r w:rsidRPr="004D2A1A">
        <w:rPr>
          <w:rFonts w:ascii="Times New Roman" w:hAnsi="Times New Roman" w:cs="Times New Roman"/>
          <w:sz w:val="24"/>
          <w:szCs w:val="24"/>
        </w:rPr>
        <w:t>Educational leadership is a multidimensional endeavor that requires vision, adaptability, and collaboration. By addressing challenges such as resistance to change, cultural diversity, and disparities in access, leaders can foster equitable and effective learning environments. Leveraging technology, engaging stakeholders, and aligning local practices with global trends further enhance policy implementation and institutional performance.</w:t>
      </w:r>
    </w:p>
    <w:p w14:paraId="6CE8B5DC" w14:textId="77777777" w:rsidR="006E1DDE" w:rsidRPr="00302254" w:rsidRDefault="006E1DDE" w:rsidP="006E1DDE">
      <w:pPr>
        <w:rPr>
          <w:rFonts w:ascii="Arial" w:hAnsi="Arial" w:cs="Arial"/>
          <w:sz w:val="24"/>
          <w:szCs w:val="24"/>
        </w:rPr>
      </w:pPr>
    </w:p>
    <w:p w14:paraId="590AE1EC" w14:textId="77777777" w:rsidR="00FC0208" w:rsidRDefault="00FC0208" w:rsidP="006E1DDE">
      <w:pPr>
        <w:rPr>
          <w:rFonts w:ascii="Arial" w:hAnsi="Arial" w:cs="Arial"/>
          <w:b/>
          <w:bCs/>
          <w:sz w:val="24"/>
          <w:szCs w:val="24"/>
          <w:u w:val="single"/>
        </w:rPr>
      </w:pPr>
    </w:p>
    <w:p w14:paraId="746FDD76" w14:textId="77777777" w:rsidR="00FC0208" w:rsidRDefault="00FC0208" w:rsidP="006E1DDE">
      <w:pPr>
        <w:rPr>
          <w:rFonts w:ascii="Arial" w:hAnsi="Arial" w:cs="Arial"/>
          <w:b/>
          <w:bCs/>
          <w:sz w:val="24"/>
          <w:szCs w:val="24"/>
          <w:u w:val="single"/>
        </w:rPr>
      </w:pPr>
    </w:p>
    <w:p w14:paraId="6435EA03" w14:textId="77777777" w:rsidR="00FC0208" w:rsidRDefault="00FC0208" w:rsidP="006E1DDE">
      <w:pPr>
        <w:rPr>
          <w:rFonts w:ascii="Arial" w:hAnsi="Arial" w:cs="Arial"/>
          <w:b/>
          <w:bCs/>
          <w:sz w:val="24"/>
          <w:szCs w:val="24"/>
          <w:u w:val="single"/>
        </w:rPr>
      </w:pPr>
    </w:p>
    <w:p w14:paraId="7BF37728" w14:textId="77777777" w:rsidR="00FC0208" w:rsidRDefault="00FC0208" w:rsidP="006E1DDE">
      <w:pPr>
        <w:rPr>
          <w:rFonts w:ascii="Arial" w:hAnsi="Arial" w:cs="Arial"/>
          <w:b/>
          <w:bCs/>
          <w:sz w:val="24"/>
          <w:szCs w:val="24"/>
          <w:u w:val="single"/>
        </w:rPr>
      </w:pPr>
    </w:p>
    <w:p w14:paraId="1BBE3EF2" w14:textId="77777777" w:rsidR="00FC0208" w:rsidRDefault="00FC0208" w:rsidP="006E1DDE">
      <w:pPr>
        <w:rPr>
          <w:rFonts w:ascii="Arial" w:hAnsi="Arial" w:cs="Arial"/>
          <w:b/>
          <w:bCs/>
          <w:sz w:val="24"/>
          <w:szCs w:val="24"/>
          <w:u w:val="single"/>
        </w:rPr>
      </w:pPr>
    </w:p>
    <w:p w14:paraId="3F01D382" w14:textId="77777777" w:rsidR="00FC0208" w:rsidRDefault="00FC0208" w:rsidP="006E1DDE">
      <w:pPr>
        <w:rPr>
          <w:rFonts w:ascii="Arial" w:hAnsi="Arial" w:cs="Arial"/>
          <w:b/>
          <w:bCs/>
          <w:sz w:val="24"/>
          <w:szCs w:val="24"/>
          <w:u w:val="single"/>
        </w:rPr>
      </w:pPr>
    </w:p>
    <w:p w14:paraId="36959B3B" w14:textId="6C817F69" w:rsidR="006E1DDE" w:rsidRPr="00EE0BAD" w:rsidRDefault="006E1DDE" w:rsidP="006E1DDE">
      <w:pPr>
        <w:rPr>
          <w:rFonts w:ascii="Times New Roman" w:hAnsi="Times New Roman" w:cs="Times New Roman"/>
          <w:b/>
          <w:bCs/>
          <w:sz w:val="24"/>
          <w:szCs w:val="24"/>
        </w:rPr>
      </w:pPr>
      <w:r w:rsidRPr="00EE0BAD">
        <w:rPr>
          <w:rFonts w:ascii="Times New Roman" w:hAnsi="Times New Roman" w:cs="Times New Roman"/>
          <w:b/>
          <w:bCs/>
          <w:sz w:val="24"/>
          <w:szCs w:val="24"/>
        </w:rPr>
        <w:t>Bibliography</w:t>
      </w:r>
    </w:p>
    <w:p w14:paraId="0C32355D"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Ainscow, M. (2016). Struggles for equity in education: The selected works of Mel Ainscow. Routledge.</w:t>
      </w:r>
    </w:p>
    <w:p w14:paraId="7D35EBFA"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Banks, J. A. (2015). Cultural diversity and education: Foundations, curriculum, and teaching. Routledge.</w:t>
      </w:r>
    </w:p>
    <w:p w14:paraId="18AAC2B2"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Bass, B. M., &amp; Riggio, R. E. (2006). Transformational leadership. Psychology Press.</w:t>
      </w:r>
    </w:p>
    <w:p w14:paraId="69FBD74A"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 xml:space="preserve">Bryk, A. S., Sebring, P. B., Allensworth, E., </w:t>
      </w:r>
      <w:proofErr w:type="spellStart"/>
      <w:r w:rsidRPr="004D2A1A">
        <w:rPr>
          <w:rFonts w:ascii="Times New Roman" w:hAnsi="Times New Roman" w:cs="Times New Roman"/>
          <w:sz w:val="24"/>
          <w:szCs w:val="24"/>
        </w:rPr>
        <w:t>Luppescu</w:t>
      </w:r>
      <w:proofErr w:type="spellEnd"/>
      <w:r w:rsidRPr="004D2A1A">
        <w:rPr>
          <w:rFonts w:ascii="Times New Roman" w:hAnsi="Times New Roman" w:cs="Times New Roman"/>
          <w:sz w:val="24"/>
          <w:szCs w:val="24"/>
        </w:rPr>
        <w:t>, S., &amp; Easton, J. Q. (2010). Organizing schools for improvement: Lessons from Chicago. University of Chicago Press.</w:t>
      </w:r>
    </w:p>
    <w:p w14:paraId="7D7F2DA9"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Darling-Hammond, L. (2019). The flat world and education: How America's commitment to equity will determine our future. Teachers College Press.</w:t>
      </w:r>
    </w:p>
    <w:p w14:paraId="1307AF4C"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Fullan, M. (2021). The new meaning of educational change. Teachers College Press.</w:t>
      </w:r>
    </w:p>
    <w:p w14:paraId="28DCB6AD"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Kotter, J. P. (2014). Accelerate: Building strategic agility for a faster-moving world. Harvard Business Review Press.</w:t>
      </w:r>
    </w:p>
    <w:p w14:paraId="3658C9F0" w14:textId="77777777" w:rsidR="00716FCB" w:rsidRPr="004D2A1A" w:rsidRDefault="00716FCB" w:rsidP="00716FCB">
      <w:pPr>
        <w:spacing w:line="360" w:lineRule="auto"/>
        <w:jc w:val="both"/>
        <w:rPr>
          <w:rFonts w:ascii="Times New Roman" w:hAnsi="Times New Roman" w:cs="Times New Roman"/>
          <w:sz w:val="24"/>
          <w:szCs w:val="24"/>
        </w:rPr>
      </w:pPr>
      <w:proofErr w:type="spellStart"/>
      <w:r w:rsidRPr="004D2A1A">
        <w:rPr>
          <w:rFonts w:ascii="Times New Roman" w:hAnsi="Times New Roman" w:cs="Times New Roman"/>
          <w:sz w:val="24"/>
          <w:szCs w:val="24"/>
        </w:rPr>
        <w:t>Leithwood</w:t>
      </w:r>
      <w:proofErr w:type="spellEnd"/>
      <w:r w:rsidRPr="004D2A1A">
        <w:rPr>
          <w:rFonts w:ascii="Times New Roman" w:hAnsi="Times New Roman" w:cs="Times New Roman"/>
          <w:sz w:val="24"/>
          <w:szCs w:val="24"/>
        </w:rPr>
        <w:t>, K., Harris, A., &amp; Hopkins, D. (2020). Seven strong claims about successful school leadership revisited. School Leadership &amp; Management, 40(1), 5-22.</w:t>
      </w:r>
    </w:p>
    <w:p w14:paraId="0747D3C8" w14:textId="77777777" w:rsidR="00716FCB" w:rsidRPr="004D2A1A" w:rsidRDefault="00716FCB" w:rsidP="00716FCB">
      <w:pPr>
        <w:spacing w:line="360" w:lineRule="auto"/>
        <w:jc w:val="both"/>
        <w:rPr>
          <w:rFonts w:ascii="Times New Roman" w:hAnsi="Times New Roman" w:cs="Times New Roman"/>
          <w:sz w:val="24"/>
          <w:szCs w:val="24"/>
        </w:rPr>
      </w:pPr>
      <w:proofErr w:type="spellStart"/>
      <w:r w:rsidRPr="004D2A1A">
        <w:rPr>
          <w:rFonts w:ascii="Times New Roman" w:hAnsi="Times New Roman" w:cs="Times New Roman"/>
          <w:sz w:val="24"/>
          <w:szCs w:val="24"/>
        </w:rPr>
        <w:t>Mandinach</w:t>
      </w:r>
      <w:proofErr w:type="spellEnd"/>
      <w:r w:rsidRPr="004D2A1A">
        <w:rPr>
          <w:rFonts w:ascii="Times New Roman" w:hAnsi="Times New Roman" w:cs="Times New Roman"/>
          <w:sz w:val="24"/>
          <w:szCs w:val="24"/>
        </w:rPr>
        <w:t>, E. B., &amp; Gummer, E. S. (2016). Data literacy for educators: Making it count in teacher preparation and practice. Teachers College Press.</w:t>
      </w:r>
    </w:p>
    <w:p w14:paraId="69946018"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Reardon, S. F. (2013). The widening academic achievement gap between the rich and the poor: New evidence and possible explanations. Whither Opportunity? 91-116.</w:t>
      </w:r>
    </w:p>
    <w:p w14:paraId="7C375AA6"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Sahlberg, P. (2011). Finnish lessons: What can the world learn from educational change in Finland? Teachers College Press.</w:t>
      </w:r>
    </w:p>
    <w:p w14:paraId="729D7BA7" w14:textId="77777777" w:rsidR="00716FCB" w:rsidRPr="004D2A1A" w:rsidRDefault="00716FCB" w:rsidP="00716FCB">
      <w:pPr>
        <w:spacing w:line="360" w:lineRule="auto"/>
        <w:jc w:val="both"/>
        <w:rPr>
          <w:rFonts w:ascii="Times New Roman" w:hAnsi="Times New Roman" w:cs="Times New Roman"/>
          <w:sz w:val="24"/>
          <w:szCs w:val="24"/>
        </w:rPr>
      </w:pPr>
      <w:r w:rsidRPr="004D2A1A">
        <w:rPr>
          <w:rFonts w:ascii="Times New Roman" w:hAnsi="Times New Roman" w:cs="Times New Roman"/>
          <w:sz w:val="24"/>
          <w:szCs w:val="24"/>
        </w:rPr>
        <w:t>Strike, K. A., &amp; Soltis, J. F. (2009). The ethics of teaching. Teachers College Press.</w:t>
      </w:r>
    </w:p>
    <w:p w14:paraId="61F4CF11" w14:textId="77777777" w:rsidR="00A8674B" w:rsidRPr="00302254" w:rsidRDefault="00A8674B" w:rsidP="006E1DDE">
      <w:pPr>
        <w:rPr>
          <w:rFonts w:ascii="Arial" w:hAnsi="Arial" w:cs="Arial"/>
          <w:sz w:val="24"/>
          <w:szCs w:val="24"/>
        </w:rPr>
      </w:pPr>
    </w:p>
    <w:sectPr w:rsidR="00A8674B" w:rsidRPr="00302254">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A26B3" w14:textId="77777777" w:rsidR="007F7D42" w:rsidRDefault="007F7D42" w:rsidP="006E1DDE">
      <w:pPr>
        <w:spacing w:after="0" w:line="240" w:lineRule="auto"/>
      </w:pPr>
      <w:r>
        <w:separator/>
      </w:r>
    </w:p>
  </w:endnote>
  <w:endnote w:type="continuationSeparator" w:id="0">
    <w:p w14:paraId="09A91FD8" w14:textId="77777777" w:rsidR="007F7D42" w:rsidRDefault="007F7D42"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714CA" w14:textId="77777777" w:rsidR="007F7D42" w:rsidRDefault="007F7D42" w:rsidP="006E1DDE">
      <w:pPr>
        <w:spacing w:after="0" w:line="240" w:lineRule="auto"/>
      </w:pPr>
      <w:r>
        <w:separator/>
      </w:r>
    </w:p>
  </w:footnote>
  <w:footnote w:type="continuationSeparator" w:id="0">
    <w:p w14:paraId="022E3018" w14:textId="77777777" w:rsidR="007F7D42" w:rsidRDefault="007F7D42" w:rsidP="006E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7449917"/>
      <w:docPartObj>
        <w:docPartGallery w:val="Page Numbers (Top of Page)"/>
        <w:docPartUnique/>
      </w:docPartObj>
    </w:sdtPr>
    <w:sdtEndPr>
      <w:rPr>
        <w:noProof/>
      </w:rPr>
    </w:sdtEndPr>
    <w:sdtContent>
      <w:p w14:paraId="2B6D6982" w14:textId="5E9F4F64" w:rsidR="00716FCB" w:rsidRDefault="003D582A">
        <w:pPr>
          <w:pStyle w:val="Header"/>
          <w:jc w:val="right"/>
        </w:pPr>
        <w:r>
          <w:rPr>
            <w:noProof/>
          </w:rPr>
          <w:drawing>
            <wp:inline distT="0" distB="0" distL="0" distR="0" wp14:anchorId="20B597DB" wp14:editId="1BCCD102">
              <wp:extent cx="5943600" cy="572135"/>
              <wp:effectExtent l="0" t="0" r="0" b="0"/>
              <wp:docPr id="191449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94399" name=""/>
                      <pic:cNvPicPr/>
                    </pic:nvPicPr>
                    <pic:blipFill>
                      <a:blip r:embed="rId1"/>
                      <a:stretch>
                        <a:fillRect/>
                      </a:stretch>
                    </pic:blipFill>
                    <pic:spPr>
                      <a:xfrm>
                        <a:off x="0" y="0"/>
                        <a:ext cx="5943600" cy="572135"/>
                      </a:xfrm>
                      <a:prstGeom prst="rect">
                        <a:avLst/>
                      </a:prstGeom>
                    </pic:spPr>
                  </pic:pic>
                </a:graphicData>
              </a:graphic>
            </wp:inline>
          </w:drawing>
        </w:r>
        <w:r w:rsidR="00716FCB">
          <w:fldChar w:fldCharType="begin"/>
        </w:r>
        <w:r w:rsidR="00716FCB">
          <w:instrText xml:space="preserve"> PAGE   \* MERGEFORMAT </w:instrText>
        </w:r>
        <w:r w:rsidR="00716FCB">
          <w:fldChar w:fldCharType="separate"/>
        </w:r>
        <w:r w:rsidR="00716FCB">
          <w:rPr>
            <w:noProof/>
          </w:rPr>
          <w:t>2</w:t>
        </w:r>
        <w:r w:rsidR="00716FCB">
          <w:rPr>
            <w:noProof/>
          </w:rPr>
          <w:fldChar w:fldCharType="end"/>
        </w:r>
      </w:p>
    </w:sdtContent>
  </w:sdt>
  <w:p w14:paraId="6FC27653" w14:textId="77777777" w:rsidR="006E1DDE" w:rsidRDefault="006E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71BCE"/>
    <w:multiLevelType w:val="hybridMultilevel"/>
    <w:tmpl w:val="C0D673C4"/>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16cid:durableId="1851139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17567"/>
    <w:rsid w:val="000377CF"/>
    <w:rsid w:val="00050B32"/>
    <w:rsid w:val="00087410"/>
    <w:rsid w:val="00087C14"/>
    <w:rsid w:val="001135F2"/>
    <w:rsid w:val="00144865"/>
    <w:rsid w:val="00166243"/>
    <w:rsid w:val="001739D2"/>
    <w:rsid w:val="001A7CE1"/>
    <w:rsid w:val="001C38B0"/>
    <w:rsid w:val="001D1702"/>
    <w:rsid w:val="0029547E"/>
    <w:rsid w:val="002A11E4"/>
    <w:rsid w:val="002B0A15"/>
    <w:rsid w:val="00302254"/>
    <w:rsid w:val="003029DA"/>
    <w:rsid w:val="00327BBC"/>
    <w:rsid w:val="003725C0"/>
    <w:rsid w:val="003C2045"/>
    <w:rsid w:val="003D1601"/>
    <w:rsid w:val="003D5464"/>
    <w:rsid w:val="003D582A"/>
    <w:rsid w:val="00424A82"/>
    <w:rsid w:val="00437F13"/>
    <w:rsid w:val="00447A0F"/>
    <w:rsid w:val="004743D1"/>
    <w:rsid w:val="00483868"/>
    <w:rsid w:val="004D5029"/>
    <w:rsid w:val="00537B88"/>
    <w:rsid w:val="00555269"/>
    <w:rsid w:val="00572DB1"/>
    <w:rsid w:val="005C0327"/>
    <w:rsid w:val="005D1C5C"/>
    <w:rsid w:val="005D4E20"/>
    <w:rsid w:val="00632511"/>
    <w:rsid w:val="00652352"/>
    <w:rsid w:val="00683913"/>
    <w:rsid w:val="006C794F"/>
    <w:rsid w:val="006E1DDE"/>
    <w:rsid w:val="00707300"/>
    <w:rsid w:val="00711F24"/>
    <w:rsid w:val="00716FCB"/>
    <w:rsid w:val="00761D8D"/>
    <w:rsid w:val="007736AC"/>
    <w:rsid w:val="0077435A"/>
    <w:rsid w:val="00793CFD"/>
    <w:rsid w:val="007D0773"/>
    <w:rsid w:val="007F7D42"/>
    <w:rsid w:val="008145AD"/>
    <w:rsid w:val="00845315"/>
    <w:rsid w:val="00852565"/>
    <w:rsid w:val="00865E6B"/>
    <w:rsid w:val="008B66B7"/>
    <w:rsid w:val="00924B1A"/>
    <w:rsid w:val="00995A51"/>
    <w:rsid w:val="009A1664"/>
    <w:rsid w:val="009B12F3"/>
    <w:rsid w:val="00A54A4B"/>
    <w:rsid w:val="00A6412F"/>
    <w:rsid w:val="00A8674B"/>
    <w:rsid w:val="00AB493E"/>
    <w:rsid w:val="00AE5355"/>
    <w:rsid w:val="00B23E38"/>
    <w:rsid w:val="00B5317D"/>
    <w:rsid w:val="00B7168E"/>
    <w:rsid w:val="00B960EE"/>
    <w:rsid w:val="00BA2991"/>
    <w:rsid w:val="00BB2BFC"/>
    <w:rsid w:val="00BF4246"/>
    <w:rsid w:val="00C31251"/>
    <w:rsid w:val="00C63EFD"/>
    <w:rsid w:val="00CB23B3"/>
    <w:rsid w:val="00CE2B96"/>
    <w:rsid w:val="00D034BF"/>
    <w:rsid w:val="00D265E8"/>
    <w:rsid w:val="00D731AB"/>
    <w:rsid w:val="00DB4A71"/>
    <w:rsid w:val="00E61D9B"/>
    <w:rsid w:val="00EE0BAD"/>
    <w:rsid w:val="00EF0AB0"/>
    <w:rsid w:val="00EF16CE"/>
    <w:rsid w:val="00F92906"/>
    <w:rsid w:val="00FA5E2B"/>
    <w:rsid w:val="00FB0E98"/>
    <w:rsid w:val="00FB7834"/>
    <w:rsid w:val="00FC0208"/>
    <w:rsid w:val="00FE1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A6832"/>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D73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Darryl Joseph</cp:lastModifiedBy>
  <cp:revision>16</cp:revision>
  <cp:lastPrinted>2024-12-06T15:23:00Z</cp:lastPrinted>
  <dcterms:created xsi:type="dcterms:W3CDTF">2024-12-05T00:20:00Z</dcterms:created>
  <dcterms:modified xsi:type="dcterms:W3CDTF">2024-12-16T18:31:00Z</dcterms:modified>
</cp:coreProperties>
</file>