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69C0" w:rsidRDefault="00C269C0" w:rsidP="008272F2">
      <w:pPr>
        <w:pStyle w:val="NormalWeb"/>
        <w:spacing w:after="0" w:afterAutospacing="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t>ERIN FREDERICK</w:t>
      </w:r>
    </w:p>
    <w:p w:rsidR="00C269C0" w:rsidRPr="00C269C0" w:rsidRDefault="00C269C0" w:rsidP="00C269C0">
      <w:pPr>
        <w:pStyle w:val="NormalWeb"/>
        <w:spacing w:after="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t>ID: UB862839U95504</w:t>
      </w:r>
    </w:p>
    <w:p w:rsidR="00C269C0" w:rsidRPr="00C269C0" w:rsidRDefault="00C269C0" w:rsidP="00C269C0">
      <w:pPr>
        <w:pStyle w:val="NormalWeb"/>
        <w:spacing w:after="0" w:line="480" w:lineRule="auto"/>
        <w:jc w:val="center"/>
        <w:rPr>
          <w:rStyle w:val="Strong"/>
        </w:rPr>
      </w:pPr>
      <w:r w:rsidRPr="00C269C0">
        <w:rPr>
          <w:rStyle w:val="Strong"/>
        </w:rPr>
        <w:t>COMPARATIVE PUBLIC POLICY AND SECURITY</w:t>
      </w:r>
    </w:p>
    <w:p w:rsidR="00C269C0" w:rsidRPr="00C269C0" w:rsidRDefault="00C269C0" w:rsidP="00C269C0">
      <w:pPr>
        <w:pStyle w:val="NormalWeb"/>
        <w:spacing w:after="0" w:line="480" w:lineRule="auto"/>
        <w:jc w:val="center"/>
        <w:rPr>
          <w:rStyle w:val="Strong"/>
          <w:b w:val="0"/>
          <w:bCs w:val="0"/>
        </w:rPr>
      </w:pPr>
      <w:r w:rsidRPr="00C269C0">
        <w:rPr>
          <w:rStyle w:val="Strong"/>
          <w:b w:val="0"/>
          <w:bCs w:val="0"/>
        </w:rPr>
        <w:t>The Role of Cultural and Political Contexts in Shaping Effective Public Security Policies</w:t>
      </w:r>
    </w:p>
    <w:p w:rsidR="00C269C0" w:rsidRPr="00C269C0" w:rsidRDefault="00C269C0" w:rsidP="00C269C0">
      <w:pPr>
        <w:pStyle w:val="NormalWeb"/>
        <w:spacing w:after="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t>ATLANTIC INTERNATIONAL UNIVERSITY</w:t>
      </w:r>
    </w:p>
    <w:p w:rsidR="00C269C0" w:rsidRPr="00C269C0" w:rsidRDefault="00C269C0" w:rsidP="00C269C0">
      <w:pPr>
        <w:pStyle w:val="NormalWeb"/>
        <w:spacing w:after="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t>HONOLULU, HAWAII</w:t>
      </w:r>
    </w:p>
    <w:p w:rsidR="00C269C0" w:rsidRDefault="00C269C0" w:rsidP="00C269C0">
      <w:pPr>
        <w:pStyle w:val="NormalWeb"/>
        <w:spacing w:after="0" w:afterAutospacing="0" w:line="480" w:lineRule="auto"/>
        <w:jc w:val="center"/>
        <w:rPr>
          <w:rStyle w:val="Strong"/>
        </w:rPr>
      </w:pPr>
      <w:r w:rsidRPr="00C269C0">
        <w:rPr>
          <w:rStyle w:val="Strong"/>
        </w:rPr>
        <w:t>FALL 2024</w:t>
      </w: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lastRenderedPageBreak/>
        <w:t>Table of Contents</w:t>
      </w:r>
    </w:p>
    <w:p w:rsidR="00C269C0" w:rsidRPr="00C269C0" w:rsidRDefault="00C269C0" w:rsidP="00C269C0">
      <w:pPr>
        <w:pStyle w:val="NormalWeb"/>
        <w:spacing w:after="0" w:line="480" w:lineRule="auto"/>
        <w:jc w:val="center"/>
        <w:rPr>
          <w:rStyle w:val="Strong"/>
        </w:rPr>
      </w:pPr>
    </w:p>
    <w:p w:rsidR="00C269C0" w:rsidRPr="00C269C0" w:rsidRDefault="00C269C0" w:rsidP="00C269C0">
      <w:pPr>
        <w:pStyle w:val="NormalWeb"/>
        <w:spacing w:after="0" w:line="480" w:lineRule="auto"/>
        <w:jc w:val="center"/>
        <w:rPr>
          <w:rStyle w:val="Strong"/>
        </w:rPr>
      </w:pPr>
      <w:r w:rsidRPr="00C269C0">
        <w:rPr>
          <w:rStyle w:val="Strong"/>
        </w:rPr>
        <w:t>Introduction:……………………………………………………………………………………..3</w:t>
      </w:r>
    </w:p>
    <w:p w:rsidR="00C269C0" w:rsidRPr="00C269C0" w:rsidRDefault="00C269C0" w:rsidP="00C269C0">
      <w:pPr>
        <w:pStyle w:val="NormalWeb"/>
        <w:spacing w:after="0" w:line="480" w:lineRule="auto"/>
        <w:jc w:val="center"/>
        <w:rPr>
          <w:rStyle w:val="Strong"/>
        </w:rPr>
      </w:pPr>
      <w:r w:rsidRPr="00C269C0">
        <w:rPr>
          <w:rStyle w:val="Strong"/>
        </w:rPr>
        <w:t>Discussions………………………………………………………………………………………..</w:t>
      </w:r>
      <w:r>
        <w:rPr>
          <w:rStyle w:val="Strong"/>
        </w:rPr>
        <w:t>4</w:t>
      </w:r>
    </w:p>
    <w:p w:rsidR="00C269C0" w:rsidRPr="00C269C0" w:rsidRDefault="00C269C0" w:rsidP="00C269C0">
      <w:pPr>
        <w:pStyle w:val="NormalWeb"/>
        <w:spacing w:after="0" w:line="480" w:lineRule="auto"/>
        <w:jc w:val="center"/>
        <w:rPr>
          <w:rStyle w:val="Strong"/>
        </w:rPr>
      </w:pPr>
      <w:r w:rsidRPr="00C269C0">
        <w:rPr>
          <w:rStyle w:val="Strong"/>
        </w:rPr>
        <w:t>Conclusion.……………………………………………………………………………………...1</w:t>
      </w:r>
      <w:r w:rsidR="007D3B5B">
        <w:rPr>
          <w:rStyle w:val="Strong"/>
        </w:rPr>
        <w:t>7</w:t>
      </w:r>
    </w:p>
    <w:p w:rsidR="00C269C0" w:rsidRDefault="00C269C0" w:rsidP="00C269C0">
      <w:pPr>
        <w:pStyle w:val="NormalWeb"/>
        <w:spacing w:after="0" w:afterAutospacing="0" w:line="480" w:lineRule="auto"/>
        <w:jc w:val="center"/>
        <w:rPr>
          <w:rStyle w:val="Strong"/>
        </w:rPr>
      </w:pPr>
      <w:r w:rsidRPr="00C269C0">
        <w:rPr>
          <w:rStyle w:val="Strong"/>
        </w:rPr>
        <w:t>Reference</w:t>
      </w:r>
      <w:r w:rsidR="007D3B5B">
        <w:rPr>
          <w:rStyle w:val="Strong"/>
        </w:rPr>
        <w:t>s</w:t>
      </w:r>
      <w:r w:rsidRPr="00C269C0">
        <w:rPr>
          <w:rStyle w:val="Strong"/>
        </w:rPr>
        <w:t>:</w:t>
      </w:r>
      <w:r w:rsidR="007D3B5B">
        <w:rPr>
          <w:rStyle w:val="Strong"/>
        </w:rPr>
        <w:t>..</w:t>
      </w:r>
      <w:r w:rsidRPr="00C269C0">
        <w:rPr>
          <w:rStyle w:val="Strong"/>
        </w:rPr>
        <w:t>………………………………...………………………………………...…...........</w:t>
      </w:r>
      <w:r w:rsidR="007D3B5B">
        <w:rPr>
          <w:rStyle w:val="Strong"/>
        </w:rPr>
        <w:t>19</w:t>
      </w: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C269C0" w:rsidRDefault="00C269C0" w:rsidP="008272F2">
      <w:pPr>
        <w:pStyle w:val="NormalWeb"/>
        <w:spacing w:after="0" w:afterAutospacing="0" w:line="480" w:lineRule="auto"/>
        <w:jc w:val="center"/>
        <w:rPr>
          <w:rStyle w:val="Strong"/>
        </w:rPr>
      </w:pPr>
    </w:p>
    <w:p w:rsidR="008272F2" w:rsidRDefault="008272F2" w:rsidP="008272F2">
      <w:pPr>
        <w:pStyle w:val="NormalWeb"/>
        <w:spacing w:after="0" w:afterAutospacing="0" w:line="480" w:lineRule="auto"/>
        <w:jc w:val="center"/>
      </w:pPr>
      <w:r>
        <w:rPr>
          <w:rStyle w:val="Strong"/>
        </w:rPr>
        <w:lastRenderedPageBreak/>
        <w:t>Introduction</w:t>
      </w:r>
    </w:p>
    <w:p w:rsidR="008272F2" w:rsidRDefault="008272F2" w:rsidP="008272F2">
      <w:pPr>
        <w:pStyle w:val="NormalWeb"/>
        <w:spacing w:after="0" w:afterAutospacing="0" w:line="480" w:lineRule="auto"/>
        <w:ind w:firstLine="720"/>
      </w:pPr>
      <w:r>
        <w:t>As countries face complex security challenges, understanding the variations in public policy approaches to crime prevention and safety is crucial. Comparative Public Policy and Security provides a comprehensive framework for analyzing how different nations address public safety, shaped by unique cultural, social, and political contexts. This paper examines international security practices, focusing on crime prevention strategies tailored to regional needs, and evaluates the effectiveness of diverse policy models.</w:t>
      </w:r>
    </w:p>
    <w:p w:rsidR="008272F2" w:rsidRDefault="008272F2" w:rsidP="008272F2">
      <w:pPr>
        <w:pStyle w:val="NormalWeb"/>
        <w:spacing w:after="0" w:afterAutospacing="0" w:line="480" w:lineRule="auto"/>
        <w:ind w:firstLine="720"/>
      </w:pPr>
      <w:r>
        <w:t>The aim is to identify best practices in security policy that not only enhance public safety but also respect and adapt to the cultural dynamics of each society. By examining these global approaches, I hope to highlight adaptable, context-sensitive strategies that could contribute to more resilient security measures worldwide.</w:t>
      </w: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ind w:firstLine="720"/>
      </w:pPr>
    </w:p>
    <w:p w:rsidR="008272F2" w:rsidRDefault="008272F2" w:rsidP="008272F2">
      <w:pPr>
        <w:pStyle w:val="NormalWeb"/>
        <w:spacing w:after="0" w:afterAutospacing="0" w:line="480" w:lineRule="auto"/>
      </w:pPr>
    </w:p>
    <w:p w:rsidR="00C269C0" w:rsidRDefault="00C269C0" w:rsidP="008272F2">
      <w:pPr>
        <w:pStyle w:val="NormalWeb"/>
        <w:spacing w:after="0" w:afterAutospacing="0" w:line="480" w:lineRule="auto"/>
      </w:pPr>
    </w:p>
    <w:p w:rsidR="008272F2" w:rsidRPr="008272F2" w:rsidRDefault="008272F2" w:rsidP="008272F2">
      <w:pPr>
        <w:pStyle w:val="NormalWeb"/>
        <w:spacing w:after="0" w:afterAutospacing="0" w:line="480" w:lineRule="auto"/>
        <w:ind w:firstLine="720"/>
        <w:jc w:val="center"/>
        <w:rPr>
          <w:b/>
          <w:bCs/>
        </w:rPr>
      </w:pPr>
      <w:r w:rsidRPr="008272F2">
        <w:rPr>
          <w:b/>
          <w:bCs/>
        </w:rPr>
        <w:t>General Discussions</w:t>
      </w:r>
    </w:p>
    <w:p w:rsidR="00932AAB" w:rsidRDefault="00932AAB" w:rsidP="003C486E">
      <w:pPr>
        <w:pStyle w:val="NormalWeb"/>
        <w:spacing w:after="0" w:afterAutospacing="0" w:line="480" w:lineRule="auto"/>
      </w:pPr>
      <w:r>
        <w:rPr>
          <w:rStyle w:val="Strong"/>
        </w:rPr>
        <w:t>Impact of Cultural Context on Security Policies</w:t>
      </w:r>
    </w:p>
    <w:p w:rsidR="008272F2" w:rsidRDefault="008272F2" w:rsidP="008272F2">
      <w:pPr>
        <w:pStyle w:val="NormalWeb"/>
        <w:spacing w:after="0" w:afterAutospacing="0" w:line="480" w:lineRule="auto"/>
        <w:ind w:firstLine="720"/>
      </w:pPr>
      <w:r>
        <w:t>Security policies are often deeply rooted in the cultural values and norms of the societies they serve. Culture influences public expectations, social trust, and collective attitudes toward law enforcement, impacting the effectiveness of security strategies. According to Bayley (1994), community-based policing models are particularly effective in societies where trust and social cohesion are integral to the cultural fabric. In these contexts, policing that focuses on building relationships within communities rather than strictly enforcing laws can result in higher levels of public trust and cooperation. As a result, community-oriented policies may be more successful in environments where citizens are inclined to view police as allies rather than as authoritative figures imposing external control.</w:t>
      </w:r>
    </w:p>
    <w:p w:rsidR="008272F2" w:rsidRDefault="008272F2" w:rsidP="008272F2">
      <w:pPr>
        <w:pStyle w:val="NormalWeb"/>
        <w:spacing w:after="0" w:afterAutospacing="0" w:line="480" w:lineRule="auto"/>
        <w:ind w:firstLine="720"/>
      </w:pPr>
      <w:r>
        <w:t xml:space="preserve">The Japanese model of community policing, known as </w:t>
      </w:r>
      <w:proofErr w:type="spellStart"/>
      <w:r>
        <w:rPr>
          <w:rStyle w:val="Emphasis"/>
        </w:rPr>
        <w:t>kōban</w:t>
      </w:r>
      <w:proofErr w:type="spellEnd"/>
      <w:r>
        <w:t xml:space="preserve"> (neighborhood policing), is a notable example of culturally adapted security policy. In Japan, where social harmony and cooperation are highly valued, </w:t>
      </w:r>
      <w:proofErr w:type="spellStart"/>
      <w:r>
        <w:rPr>
          <w:rStyle w:val="Emphasis"/>
        </w:rPr>
        <w:t>kōban</w:t>
      </w:r>
      <w:proofErr w:type="spellEnd"/>
      <w:r>
        <w:t xml:space="preserve"> stations operate within neighborhoods to foster close relationships between officers and residents. According to Kawashima (2012), this model emphasizes trust-building and routine interaction, allowing officers to understand community needs and gain insight into local dynamics. This approach aligns with Japan’s collectivist values, reinforcing societal norms that prioritize group cohesion and reducing the likelihood of conflict between law enforcement and citizens. By emphasizing relationship-building, Japanese community policing contributes to a safer environment through mutual respect and trust.</w:t>
      </w:r>
    </w:p>
    <w:p w:rsidR="008272F2" w:rsidRDefault="008272F2" w:rsidP="008272F2">
      <w:pPr>
        <w:pStyle w:val="NormalWeb"/>
        <w:spacing w:after="0" w:afterAutospacing="0" w:line="480" w:lineRule="auto"/>
        <w:ind w:firstLine="720"/>
      </w:pPr>
      <w:r>
        <w:lastRenderedPageBreak/>
        <w:t>In contrast, law enforcement in the United States often adopts a more enforcement-oriented approach, rooted in a more individualistic cultural context. According to Reiss (1992), American policing has traditionally focused on crime control and deterrence, emphasizing a clear authority-subject dynamic. This approach aligns with cultural values that prioritize individual rights and personal responsibility but can create tension between law enforcement and the community. While enforcement-oriented policies may be effective in addressing serious crimes, they may lack the community integration necessary to foster strong relationships and trust. This divergence from community-focused policing can hinder public cooperation and limit the effectiveness of security policies in certain contexts.</w:t>
      </w:r>
    </w:p>
    <w:p w:rsidR="008272F2" w:rsidRDefault="008272F2" w:rsidP="008272F2">
      <w:pPr>
        <w:pStyle w:val="NormalWeb"/>
        <w:spacing w:after="0" w:afterAutospacing="0" w:line="480" w:lineRule="auto"/>
        <w:ind w:firstLine="720"/>
      </w:pPr>
      <w:r>
        <w:t xml:space="preserve">Research suggests that adapting security policies to reflect local cultural norms can enhance policy effectiveness and public reception. Bayley and Shearing (2001) argue that culturally sensitive security policies are more likely to be accepted and respected by the public, as they align with societal expectations and values. For instance, community policing models like Japan’s </w:t>
      </w:r>
      <w:proofErr w:type="spellStart"/>
      <w:r>
        <w:rPr>
          <w:rStyle w:val="Emphasis"/>
        </w:rPr>
        <w:t>kōban</w:t>
      </w:r>
      <w:proofErr w:type="spellEnd"/>
      <w:r>
        <w:t xml:space="preserve"> station model emphasize collaborative problem-solving and align with local norms, making citizens more willing to participate in maintaining public order. In societies with different cultural values, such as those that prioritize law enforcement authority, similar models might require adjustments to be effective.</w:t>
      </w:r>
    </w:p>
    <w:p w:rsidR="008272F2" w:rsidRDefault="008272F2" w:rsidP="008272F2">
      <w:pPr>
        <w:pStyle w:val="NormalWeb"/>
        <w:spacing w:after="0" w:afterAutospacing="0" w:line="480" w:lineRule="auto"/>
        <w:ind w:firstLine="720"/>
      </w:pPr>
      <w:r>
        <w:t xml:space="preserve">The contrasting approaches of Japan and the United States underscore the importance of cultural adaptability in security policy. While Japan’s community policing model fosters social cohesion and trust, the U.S. enforcement-focused model reflects a different set of cultural values and societal expectations. According to Kawashima (2012), the effectiveness of security policies depends not only on the structure of the policies themselves but also on how well they align with </w:t>
      </w:r>
      <w:r>
        <w:lastRenderedPageBreak/>
        <w:t>the cultural values of the society. Policymakers must recognize the significance of cultural context when designing and implementing security measures to ensure that they resonate with the people they serve.</w:t>
      </w:r>
    </w:p>
    <w:p w:rsidR="004E586A" w:rsidRPr="003C486E" w:rsidRDefault="004E586A" w:rsidP="004E586A">
      <w:pPr>
        <w:pStyle w:val="NormalWeb"/>
        <w:spacing w:after="0" w:afterAutospacing="0" w:line="480" w:lineRule="auto"/>
        <w:rPr>
          <w:b/>
          <w:bCs/>
        </w:rPr>
      </w:pPr>
      <w:r w:rsidRPr="003C486E">
        <w:rPr>
          <w:b/>
          <w:bCs/>
        </w:rPr>
        <w:t>Comparative Analysis of Crime Prevention Strategies</w:t>
      </w:r>
    </w:p>
    <w:p w:rsidR="004E586A" w:rsidRDefault="004E586A" w:rsidP="00872221">
      <w:pPr>
        <w:pStyle w:val="NormalWeb"/>
        <w:spacing w:after="0" w:afterAutospacing="0" w:line="480" w:lineRule="auto"/>
        <w:ind w:firstLine="720"/>
      </w:pPr>
      <w:r>
        <w:t>Crime prevention strategies vary widely across countries, reflecting diverse cultural and social values around punishment, rehabilitation, and public safety. Community policing, deterrence-based models, and rehabilitation-focused approaches are three primary frameworks that illustrate these differences. According to Garland (2001), crime prevention strategies often reflect underlying societal attitudes toward offenders, justice, and community involvement. While community policing focuses on fostering trust and cooperation between law enforcement and residents, deterrence models emphasize punitive measures to discourage criminal behavior. Rehabilitation approaches, on the other hand, prioritize addressing the underlying causes of criminal behavior with the goal of reducing recidivism. Each approach offers unique advantages and challenges that are often shaped by the social context in which they are implemented.</w:t>
      </w:r>
    </w:p>
    <w:p w:rsidR="004E586A" w:rsidRDefault="004E586A" w:rsidP="00872221">
      <w:pPr>
        <w:pStyle w:val="NormalWeb"/>
        <w:spacing w:after="0" w:afterAutospacing="0" w:line="480" w:lineRule="auto"/>
        <w:ind w:firstLine="720"/>
      </w:pPr>
      <w:r>
        <w:t xml:space="preserve">Community policing is a crime prevention strategy that emphasizes building relationships and collaboration between law enforcement and the communities they serve. This model has been widely adopted in regions with strong communal values, where mutual trust and social cohesion are highly prioritized. According to </w:t>
      </w:r>
      <w:proofErr w:type="spellStart"/>
      <w:r>
        <w:t>Skogan</w:t>
      </w:r>
      <w:proofErr w:type="spellEnd"/>
      <w:r>
        <w:t xml:space="preserve"> (2006), community policing aims to reduce crime by involving local citizens in identifying and addressing issues that contribute to crime, thereby fostering a sense of shared responsibility. This model has proven effective in regions such as Japan and certain parts of Europe, where social cooperation and community welfare are core cultural values. However, </w:t>
      </w:r>
      <w:proofErr w:type="spellStart"/>
      <w:r>
        <w:t>Skogan</w:t>
      </w:r>
      <w:proofErr w:type="spellEnd"/>
      <w:r>
        <w:t xml:space="preserve"> notes that community policing may be less effective in </w:t>
      </w:r>
      <w:r>
        <w:lastRenderedPageBreak/>
        <w:t>areas with high levels of mistrust between law enforcement and the public, as successful implementation relies heavily on positive police-community relationships.</w:t>
      </w:r>
    </w:p>
    <w:p w:rsidR="004E586A" w:rsidRDefault="004E586A" w:rsidP="00872221">
      <w:pPr>
        <w:pStyle w:val="NormalWeb"/>
        <w:spacing w:after="0" w:afterAutospacing="0" w:line="480" w:lineRule="auto"/>
        <w:ind w:firstLine="720"/>
      </w:pPr>
      <w:r>
        <w:t>Deterrence-based models are commonly employed in countries where the emphasis is on strict law enforcement and punishment as crime deterrents. In the United States, for example, the “tough on crime” approach has led to policies that focus on harsh sentencing, mandatory minimums, and “three-strikes” laws (Clear, 2007). These measures are designed to discourage criminal behavior by increasing the perceived risks and consequences of committing crimes. According to Clear (2007), deterrence models can be effective in reducing certain types of violent crime but often lead to increased incarceration rates, creating challenges for social reintegration and exacerbating issues like prison overcrowding. Moreover, these policies reflect a cultural orientation toward personal accountability and justice as retribution, which differs significantly from rehabilitative models found in other parts of the world.</w:t>
      </w:r>
    </w:p>
    <w:p w:rsidR="004E586A" w:rsidRDefault="004E586A" w:rsidP="00872221">
      <w:pPr>
        <w:pStyle w:val="NormalWeb"/>
        <w:spacing w:after="0" w:afterAutospacing="0" w:line="480" w:lineRule="auto"/>
        <w:ind w:firstLine="720"/>
      </w:pPr>
      <w:r>
        <w:t>In contrast, Scandinavian countries, particularly Norway and Sweden, adopt a rehabilitation-focused approach, aiming to address the root causes of criminal behavior and reduce recidivism through education, therapy, and job training (Pratt, 2008). Scandinavian rehabilitation models are built on the belief that offenders can be reintegrated into society if provided with the proper support, and these countries have significantly lower incarceration rates compared to nations like the United States (Pratt, 2008). This approach aligns with the cultural values in Scandinavian societies, which emphasize social welfare, equality, and collective responsibility. According to Pratt, rehabilitation-focused policies have been shown to reduce recidivism rates and foster more sustainable public safety outcomes, as offenders are less likely to reoffend when equipped with the skills and resources needed for reintegration.</w:t>
      </w:r>
    </w:p>
    <w:p w:rsidR="004E586A" w:rsidRDefault="004E586A" w:rsidP="00872221">
      <w:pPr>
        <w:pStyle w:val="NormalWeb"/>
        <w:spacing w:after="0" w:afterAutospacing="0" w:line="480" w:lineRule="auto"/>
        <w:ind w:firstLine="720"/>
      </w:pPr>
      <w:r>
        <w:lastRenderedPageBreak/>
        <w:t>The effectiveness of these crime prevention models is highly context-dependent, as strategies must resonate with local cultural attitudes and values to achieve optimal outcomes. For example, Garland (2001) suggests that rehabilitation-focused approaches, like those in Scandinavia, may face resistance in societies where the public perceives crime as a moral failing rather than a social issue to be addressed through support and treatment. In contrast, deterrence models may achieve limited success in societies that prioritize restorative justice and view excessive punishment as inhumane or counterproductive. The social acceptance of a model greatly influences its effectiveness, as public support and cooperation are essential components in maintaining public safety and reducing crime.</w:t>
      </w:r>
    </w:p>
    <w:p w:rsidR="004E586A" w:rsidRDefault="004E586A" w:rsidP="00872221">
      <w:pPr>
        <w:pStyle w:val="NormalWeb"/>
        <w:spacing w:after="0" w:afterAutospacing="0" w:line="480" w:lineRule="auto"/>
        <w:ind w:firstLine="720"/>
      </w:pPr>
      <w:r>
        <w:t>A comparative analysis of crime rates and public safety outcomes in regions with differing approaches reveals a clear influence of cultural attitudes on crime prevention efficacy. Scandinavian countries, with their emphasis on rehabilitation and reintegration, generally report lower recidivism and crime rates, suggesting a more sustainable approach to public safety (Pratt, 2008). Meanwhile, the United States, with its more punitive approach, experiences high incarceration and recidivism rates, reflecting challenges in maintaining public safety through deterrence alone (Clear, 2007). As Garland (2001) notes, societies may benefit from adopting a hybrid approach that incorporates aspects of deterrence, community engagement, and rehabilitation to address crime comprehensively, adapted to local values and social dynamics.</w:t>
      </w:r>
    </w:p>
    <w:p w:rsidR="008272F2" w:rsidRPr="006062EF" w:rsidRDefault="003C486E" w:rsidP="006062EF">
      <w:pPr>
        <w:pStyle w:val="NormalWeb"/>
        <w:spacing w:after="0" w:afterAutospacing="0" w:line="480" w:lineRule="auto"/>
        <w:rPr>
          <w:b/>
          <w:bCs/>
        </w:rPr>
      </w:pPr>
      <w:r w:rsidRPr="006062EF">
        <w:rPr>
          <w:b/>
          <w:bCs/>
        </w:rPr>
        <w:t>Challenges and Adaptations in International Security Policy</w:t>
      </w:r>
    </w:p>
    <w:p w:rsidR="003C486E" w:rsidRDefault="003C486E" w:rsidP="006062EF">
      <w:pPr>
        <w:pStyle w:val="NormalWeb"/>
        <w:spacing w:after="0" w:line="480" w:lineRule="auto"/>
        <w:ind w:firstLine="720"/>
      </w:pPr>
      <w:r>
        <w:t xml:space="preserve">Implementing security policies in an international context presents numerous challenges, with resource limitations being one of the most significant. Many countries face constraints in funding, personnel, and technology, which can hinder the effective implementation of security </w:t>
      </w:r>
      <w:r>
        <w:lastRenderedPageBreak/>
        <w:t xml:space="preserve">measures. According to </w:t>
      </w:r>
      <w:proofErr w:type="spellStart"/>
      <w:r>
        <w:t>Bigo</w:t>
      </w:r>
      <w:proofErr w:type="spellEnd"/>
      <w:r>
        <w:t xml:space="preserve"> (2006), resource limitations often lead to a disparity in the ability of nations to protect against both domestic and international threats, creating vulnerabilities that adversaries can exploit. In lower-resourced nations, limited budgets mean that critical infrastructure, personnel training, and advanced technologies may be unavailable, leaving them reliant on international partnerships and aid to fill these gaps. This reliance can impact sovereignty, as resource-strapped countries may need to prioritize the interests of donor countries over their own.</w:t>
      </w:r>
    </w:p>
    <w:p w:rsidR="003C486E" w:rsidRDefault="003C486E" w:rsidP="006062EF">
      <w:pPr>
        <w:pStyle w:val="NormalWeb"/>
        <w:spacing w:after="0" w:line="480" w:lineRule="auto"/>
        <w:ind w:firstLine="720"/>
      </w:pPr>
      <w:r>
        <w:t>Balancing civil liberties with the need for security is another significant challenge in the formation of security policies. Policies designed to protect public safety, especially those targeting terrorism, often risk infringing on personal freedoms and privacy rights. In the aftermath of 9/11, countries around the world tightened security measures, implementing policies that increased surveillance and allowed for broader government powers to monitor and detain individuals suspected of terrorist activities (Loader &amp; Walker, 2007). While these measures have arguably enhanced public safety, they have also sparked debates on the ethical implications of sacrificing civil liberties for security. Many critics argue that such policies disproportionately target minority communities and can lead to social alienation, ultimately undermining the very security they aim to protect.</w:t>
      </w:r>
    </w:p>
    <w:p w:rsidR="003C486E" w:rsidRDefault="003C486E" w:rsidP="006062EF">
      <w:pPr>
        <w:pStyle w:val="NormalWeb"/>
        <w:spacing w:after="0" w:line="480" w:lineRule="auto"/>
        <w:ind w:firstLine="720"/>
      </w:pPr>
      <w:r>
        <w:t xml:space="preserve">The emergence of cybercrime and terrorism as prominent threats in the 21st century has forced nations to adapt their security policies significantly. Traditional security frameworks, which often focused on physical and conventional threats, are now inadequate to address the evolving landscape of cyber threats and transnational terrorism. According to Brown (2015), cybercrime poses unique challenges, as it requires highly specialized skills and resources to </w:t>
      </w:r>
      <w:r>
        <w:lastRenderedPageBreak/>
        <w:t>combat, with the added difficulty of tracing perpetrators across borders. Terrorism, similarly, has become increasingly complex, with decentralized networks and radicalization occurring through digital platforms. Many countries have responded by developing cyber defense units and anti-radicalization programs, though these adaptations require ongoing international collaboration and significant investment in technological infrastructure.</w:t>
      </w:r>
    </w:p>
    <w:p w:rsidR="003C486E" w:rsidRDefault="003C486E" w:rsidP="006062EF">
      <w:pPr>
        <w:pStyle w:val="NormalWeb"/>
        <w:spacing w:after="0" w:line="480" w:lineRule="auto"/>
        <w:ind w:firstLine="720"/>
      </w:pPr>
      <w:r>
        <w:t>The European Union (EU) offers a compelling example of how countries can adapt security policies in response to new threats, particularly in the area of anti-terrorism. Post-9/11, the EU enhanced its collective anti-terrorism framework, enacting measures like the European Arrest Warrant and expanding intelligence-sharing among member states (</w:t>
      </w:r>
      <w:proofErr w:type="spellStart"/>
      <w:r>
        <w:t>Fijnaut</w:t>
      </w:r>
      <w:proofErr w:type="spellEnd"/>
      <w:r>
        <w:t xml:space="preserve">, 2013). These adaptations were designed to facilitate faster responses to cross-border threats and improve coordination among nations. However, as </w:t>
      </w:r>
      <w:proofErr w:type="spellStart"/>
      <w:r>
        <w:t>Fijnaut</w:t>
      </w:r>
      <w:proofErr w:type="spellEnd"/>
      <w:r>
        <w:t xml:space="preserve"> (2013) notes, this collective approach has also raised questions about state sovereignty, as EU-wide policies sometimes supersede national policies. Balancing national autonomy with regional security goals remains a key challenge, with member states striving to maintain public trust by ensuring that these measures respect democratic principles.</w:t>
      </w:r>
    </w:p>
    <w:p w:rsidR="003C486E" w:rsidRDefault="003C486E" w:rsidP="003C486E">
      <w:pPr>
        <w:pStyle w:val="NormalWeb"/>
        <w:spacing w:after="0" w:afterAutospacing="0" w:line="480" w:lineRule="auto"/>
        <w:ind w:firstLine="720"/>
      </w:pPr>
      <w:r>
        <w:t xml:space="preserve">Adaptations in international security policy must consider public trust and cooperation, as the effectiveness of security measures often depends on public buy-in. Loader and Walker (2007) argue that policies perceived as overly invasive or discriminatory can lead to public discontent and reduce the willingness of communities to cooperate with law enforcement. The EU’s anti-terrorism measures, for instance, have been met with mixed reactions, with some citizens viewing these policies as essential for public safety, while others see them as a threat to civil liberties. Maintaining public trust requires that governments communicate the necessity of these </w:t>
      </w:r>
      <w:r>
        <w:lastRenderedPageBreak/>
        <w:t>measures transparently and ensure that they are applied fairly. Failure to do so can result in social division, reducing the effectiveness of security policies in the long term.</w:t>
      </w:r>
    </w:p>
    <w:p w:rsidR="00DA080A" w:rsidRPr="00DA080A" w:rsidRDefault="00DA080A" w:rsidP="00DA080A">
      <w:pPr>
        <w:pStyle w:val="NormalWeb"/>
        <w:spacing w:after="0" w:afterAutospacing="0" w:line="480" w:lineRule="auto"/>
        <w:rPr>
          <w:b/>
          <w:bCs/>
        </w:rPr>
      </w:pPr>
      <w:r w:rsidRPr="00DA080A">
        <w:rPr>
          <w:b/>
          <w:bCs/>
        </w:rPr>
        <w:t>Role of Social and Political Factors in Shaping Security Policies</w:t>
      </w:r>
    </w:p>
    <w:p w:rsidR="00DA080A" w:rsidRDefault="00DA080A" w:rsidP="00DA080A">
      <w:pPr>
        <w:pStyle w:val="NormalWeb"/>
        <w:spacing w:after="0" w:line="480" w:lineRule="auto"/>
        <w:ind w:firstLine="720"/>
      </w:pPr>
      <w:r>
        <w:t>Social and political factors play a pivotal role in shaping security policies across nations, influencing their design, implementation, and public reception. Security policies are inherently linked to the values, priorities, and power dynamics within a society, which can vary widely based on the country’s political structure and social norms (Weiss, 2013). For instance, in democratic systems, there is often an emphasis on transparency, accountability, and protecting civil liberties, as these values align with the democratic principles of individual rights and freedoms. In contrast, authoritarian regimes may prioritize state control and stability over transparency, leading to security measures that are more restrictive and less accountable to the public. These differing political systems result in unique approaches to security that reflect underlying social and political priorities.</w:t>
      </w:r>
    </w:p>
    <w:p w:rsidR="00DA080A" w:rsidRDefault="00DA080A" w:rsidP="00DA080A">
      <w:pPr>
        <w:pStyle w:val="NormalWeb"/>
        <w:spacing w:after="0" w:line="480" w:lineRule="auto"/>
        <w:ind w:firstLine="720"/>
      </w:pPr>
      <w:r>
        <w:t xml:space="preserve">The nature of a political system—whether democratic or authoritarian—profoundly impacts the level of public trust in security policies and the government’s role in enforcing them. In democratic societies, security policies are generally subject to public scrutiny, and governments often strive to maintain trust by demonstrating accountability and openness. According to Roberts (2006), transparency in democratic states helps to build public trust, as citizens feel more informed and secure in knowing the purpose and scope of security measures. This transparency is essential for fostering public cooperation with law enforcement, which is often necessary for the effectiveness of security policies. Conversely, authoritarian regimes may </w:t>
      </w:r>
      <w:r>
        <w:lastRenderedPageBreak/>
        <w:t>not prioritize transparency, which can lead to public distrust and a perception that policies are primarily intended to consolidate state power rather than ensure public safety.</w:t>
      </w:r>
    </w:p>
    <w:p w:rsidR="00DA080A" w:rsidRDefault="00DA080A" w:rsidP="00DA080A">
      <w:pPr>
        <w:pStyle w:val="NormalWeb"/>
        <w:spacing w:after="0" w:line="480" w:lineRule="auto"/>
        <w:ind w:firstLine="720"/>
      </w:pPr>
      <w:r>
        <w:t>Political systems also shape the enforcement practices of security policies, particularly in terms of surveillance and control measures. In democratic countries, enforcement is generally regulated by a system of checks and balances designed to prevent overreach and protect citizens’ rights. However, in authoritarian regimes, enforcement practices are often more direct and pervasive, allowing for extensive surveillance and control with fewer legal constraints. A prominent example is China’s use of mass surveillance, facial recognition, and social credit systems as part of its national security strategy (Creemers, 2018). These tools allow the government to monitor and control the population extensively, aiming to prevent dissent and enhance social stability. While such measures may be effective in achieving state-defined security objectives, they often come at the expense of individual freedoms, raising ethical and human rights concerns.</w:t>
      </w:r>
    </w:p>
    <w:p w:rsidR="00DA080A" w:rsidRDefault="00DA080A" w:rsidP="00DA080A">
      <w:pPr>
        <w:pStyle w:val="NormalWeb"/>
        <w:spacing w:after="0" w:line="480" w:lineRule="auto"/>
        <w:ind w:firstLine="720"/>
      </w:pPr>
      <w:r>
        <w:t xml:space="preserve">Public perception of security policies varies significantly between democratic and authoritarian regimes, often influenced by the level of individual freedoms protected within each system. In democracies, citizens typically expect a balance between security and personal privacy, which can lead to resistance against policies perceived as too invasive. For example, surveillance programs in the United States, such as those revealed by the Edward Snowden leaks, sparked widespread public backlash and calls for reform (Greenwald, 2014). In contrast, in authoritarian systems like China, where government authority is more absolute, public dissent against security policies is often suppressed, and individuals may be less likely to vocalize </w:t>
      </w:r>
      <w:r>
        <w:lastRenderedPageBreak/>
        <w:t>concerns due to fear of reprisal. This difference highlights how political contexts influence public acceptance of and compliance with security policies.</w:t>
      </w:r>
    </w:p>
    <w:p w:rsidR="00DA080A" w:rsidRDefault="00DA080A" w:rsidP="00DA080A">
      <w:pPr>
        <w:pStyle w:val="NormalWeb"/>
        <w:spacing w:after="0" w:afterAutospacing="0" w:line="480" w:lineRule="auto"/>
        <w:ind w:firstLine="720"/>
      </w:pPr>
      <w:r>
        <w:t>The effectiveness of security policies can also be shaped by political factors, as these policies may be more or less efficient depending on public cooperation and the political legitimacy of the enforcing body. In democratic societies, security policies that respect civil liberties and are perceived as legitimate by the public are more likely to receive widespread support and cooperation (Weiss, 2013). This public buy-in can enhance policy effectiveness by encouraging citizens to assist in security efforts, such as reporting suspicious activities or participating in community-based programs. In contrast, in authoritarian regimes, while security policies may achieve immediate compliance through coercion, they may lack genuine public support, which can undermine their long-term effectiveness. As Creemers (2018) points out, policies that do not engage public trust are often less resilient, as they rely heavily on state power and may be vulnerable to social instability.</w:t>
      </w:r>
    </w:p>
    <w:p w:rsidR="00CB61D5" w:rsidRPr="00CB61D5" w:rsidRDefault="00CB61D5" w:rsidP="00CB61D5">
      <w:pPr>
        <w:pStyle w:val="NormalWeb"/>
        <w:spacing w:after="0" w:afterAutospacing="0" w:line="480" w:lineRule="auto"/>
        <w:rPr>
          <w:b/>
          <w:bCs/>
        </w:rPr>
      </w:pPr>
      <w:r w:rsidRPr="00CB61D5">
        <w:rPr>
          <w:b/>
          <w:bCs/>
        </w:rPr>
        <w:t>Technology and Innovation in Comparative Public Security</w:t>
      </w:r>
    </w:p>
    <w:p w:rsidR="00CB61D5" w:rsidRDefault="00CB61D5" w:rsidP="00CB61D5">
      <w:pPr>
        <w:pStyle w:val="NormalWeb"/>
        <w:spacing w:after="0" w:line="480" w:lineRule="auto"/>
        <w:ind w:firstLine="720"/>
      </w:pPr>
      <w:r>
        <w:t xml:space="preserve">Technological advancements have significantly transformed public security strategies worldwide, providing law enforcement agencies with new tools for crime prevention and response. Technologies like predictive policing, which uses data analytics to forecast potential criminal activity, are now widely used across various regions to optimize resource allocation and improve response times. According to Ferguson (2017), predictive policing relies on algorithms that analyze historical crime data, identifying patterns that help police predict where and when future incidents may occur. While this technology has proven effective in some areas, enhancing public safety by allowing proactive measures, it also raises concerns about potential biases in the </w:t>
      </w:r>
      <w:r>
        <w:lastRenderedPageBreak/>
        <w:t>data used, which may reinforce existing inequalities and lead to targeted policing in already marginalized communities.</w:t>
      </w:r>
    </w:p>
    <w:p w:rsidR="00CB61D5" w:rsidRDefault="00CB61D5" w:rsidP="00CB61D5">
      <w:pPr>
        <w:pStyle w:val="NormalWeb"/>
        <w:spacing w:after="0" w:line="480" w:lineRule="auto"/>
        <w:ind w:firstLine="720"/>
      </w:pPr>
      <w:r>
        <w:t>Surveillance technologies, particularly closed-circuit television (CCTV) systems, have become integral to security policies in many urban centers, such as London and Singapore. London is one of the most surveilled cities globally, with thousands of CCTV cameras installed across public areas to deter crime and assist in investigations (Qureshi &amp; Goldsmith, 2020). The extensive use of CCTV has proven beneficial in providing law enforcement with valuable evidence and improving public safety. However, the pervasive presence of surveillance cameras has sparked debates about privacy rights, with critics arguing that constant monitoring infringes upon individuals’ freedom and leads to a culture of surveillance. These ethical concerns are particularly pronounced in democratic societies, where citizens expect a balance between security and personal privacy.</w:t>
      </w:r>
    </w:p>
    <w:p w:rsidR="00CB61D5" w:rsidRDefault="00CB61D5" w:rsidP="00CB61D5">
      <w:pPr>
        <w:pStyle w:val="NormalWeb"/>
        <w:spacing w:after="0" w:line="480" w:lineRule="auto"/>
        <w:ind w:firstLine="720"/>
      </w:pPr>
      <w:r>
        <w:t xml:space="preserve">In Singapore, surveillance technology is also widely deployed, but public reaction differs significantly compared to more democratic societies. Singapore’s government has implemented extensive surveillance measures, including facial recognition and data-gathering sensors, as part of its “Smart Nation” initiative to enhance public safety and urban planning (Lim, 2019). Due to the country’s political structure, which prioritizes state control and stability, these measures have generally received positive reception from the public, who view them as necessary for maintaining order. Lim (2019) notes that Singapore’s citizens tend to place higher trust in government initiatives, partially because of the state’s transparency in communicating the purpose of surveillance technologies. This contrasts with countries where such technologies may </w:t>
      </w:r>
      <w:r>
        <w:lastRenderedPageBreak/>
        <w:t>be met with greater skepticism, highlighting the role of cultural and political factors in shaping public perception.</w:t>
      </w:r>
    </w:p>
    <w:p w:rsidR="00CB61D5" w:rsidRDefault="00CB61D5" w:rsidP="00CB61D5">
      <w:pPr>
        <w:pStyle w:val="NormalWeb"/>
        <w:spacing w:after="0" w:line="480" w:lineRule="auto"/>
        <w:ind w:firstLine="720"/>
      </w:pPr>
      <w:r>
        <w:t>Despite their benefits, the adoption of technologies like predictive policing and surveillance also raises substantial ethical concerns. Critics argue that these technologies can lead to overreach and a loss of personal freedoms, especially when government transparency is limited. For example, predictive policing has been criticized for relying on historical data, which can perpetuate biases against specific demographics and lead to discriminatory enforcement practices (</w:t>
      </w:r>
      <w:proofErr w:type="spellStart"/>
      <w:r>
        <w:t>Brayne</w:t>
      </w:r>
      <w:proofErr w:type="spellEnd"/>
      <w:r>
        <w:t>, 2020). Similarly, surveillance technologies, if unregulated, can give authorities excessive power to monitor and control the population. According to Lyon (2018), without proper oversight, these technologies may enable governments to track individuals’ movements and behavior, raising the risk of abuse and encroaching on civil liberties. Addressing these concerns requires comprehensive policy frameworks that establish boundaries and ensure accountability in the use of these technologies.</w:t>
      </w:r>
    </w:p>
    <w:p w:rsidR="00CB61D5" w:rsidRDefault="00CB61D5" w:rsidP="00CB61D5">
      <w:pPr>
        <w:pStyle w:val="NormalWeb"/>
        <w:spacing w:after="0" w:afterAutospacing="0" w:line="480" w:lineRule="auto"/>
        <w:ind w:firstLine="720"/>
      </w:pPr>
      <w:r>
        <w:t xml:space="preserve">Public reactions to these technologies often vary, shaped by cultural, social, and political factors. In democratic societies, where individual rights are highly valued, the deployment of surveillance and data-driven policing is often met with caution, as citizens demand transparency and accountability. In contrast, in more authoritarian states or those with collectivist values, public safety may be prioritized over privacy concerns, leading to greater acceptance of these innovations (Qureshi &amp; Goldsmith, 2020). The experiences of London and Singapore underscore this difference, illustrating how cultural expectations and government practices influence public trust. For these technologies to be effective and socially accepted, policymakers must carefully </w:t>
      </w:r>
      <w:r>
        <w:lastRenderedPageBreak/>
        <w:t>balance security objectives with ethical considerations, tailoring approaches to fit the unique expectations and values of each society.</w:t>
      </w: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Default="003D2289" w:rsidP="00CB61D5">
      <w:pPr>
        <w:pStyle w:val="NormalWeb"/>
        <w:spacing w:after="0" w:afterAutospacing="0" w:line="480" w:lineRule="auto"/>
        <w:ind w:firstLine="720"/>
      </w:pPr>
    </w:p>
    <w:p w:rsidR="003D2289" w:rsidRPr="003D2289" w:rsidRDefault="003D2289" w:rsidP="003D2289">
      <w:pPr>
        <w:pStyle w:val="NormalWeb"/>
        <w:spacing w:after="0" w:afterAutospacing="0" w:line="480" w:lineRule="auto"/>
        <w:ind w:firstLine="720"/>
        <w:jc w:val="center"/>
        <w:rPr>
          <w:b/>
          <w:bCs/>
        </w:rPr>
      </w:pPr>
      <w:r w:rsidRPr="003D2289">
        <w:rPr>
          <w:b/>
          <w:bCs/>
        </w:rPr>
        <w:lastRenderedPageBreak/>
        <w:t>C</w:t>
      </w:r>
      <w:r w:rsidRPr="003D2289">
        <w:rPr>
          <w:b/>
          <w:bCs/>
        </w:rPr>
        <w:t>onclusion</w:t>
      </w:r>
    </w:p>
    <w:p w:rsidR="003D2289" w:rsidRDefault="003D2289" w:rsidP="003D2289">
      <w:pPr>
        <w:pStyle w:val="NormalWeb"/>
        <w:spacing w:after="0" w:line="480" w:lineRule="auto"/>
        <w:ind w:firstLine="720"/>
      </w:pPr>
      <w:r>
        <w:t>In conclusion, the study of comparative public policy and security reveals the complexity of designing effective security strategies that are responsive to both immediate threats and long-term societal needs. The integration of technological advancements like predictive policing and surveillance has transformed security measures, providing law enforcement agencies with valuable tools for crime prevention and public safety. However, these innovations also introduce significant ethical challenges, particularly concerning privacy, civil liberties, and the potential for data biases. The comparison of different political systems, from democratic to authoritarian regimes, further highlights the critical role that social, political, and cultural contexts play in shaping public security policies. As demonstrated in cities like London and Singapore, the public’s acceptance of security measures is deeply influenced by the degree of transparency, trust in the government, and the overall societal values regarding safety and privacy.</w:t>
      </w:r>
    </w:p>
    <w:p w:rsidR="003D2289" w:rsidRDefault="003D2289" w:rsidP="003D2289">
      <w:pPr>
        <w:pStyle w:val="NormalWeb"/>
        <w:spacing w:after="0" w:line="480" w:lineRule="auto"/>
        <w:ind w:firstLine="720"/>
      </w:pPr>
      <w:r>
        <w:t xml:space="preserve">Looking toward the future, it is clear that the continued evolution of public security policies will be shaped by the ongoing development of technology, as well as by shifting cultural attitudes and global security threats. With emerging challenges such as cybercrime, terrorism, and transnational crime, there will be increasing pressure for international cooperation and the sharing of best practices to maintain security while respecting human rights. The future of public security lies in creating adaptive policies that are not only technologically advanced but also culturally sensitive and ethically sound. Policymakers must continue to innovate while addressing concerns about the potential overreach of security measures, ensuring that the implementation of new technologies does not compromise the trust and liberties of citizens. As we move forward, the horizon is filled with possibilities for a more connected, secure, and just </w:t>
      </w:r>
      <w:r>
        <w:lastRenderedPageBreak/>
        <w:t>world, where technology and policy work hand in hand to create safer, more resilient communities.</w:t>
      </w:r>
    </w:p>
    <w:p w:rsidR="003D2289" w:rsidRDefault="003D2289" w:rsidP="00CB61D5">
      <w:pPr>
        <w:pStyle w:val="NormalWeb"/>
        <w:spacing w:after="0" w:afterAutospacing="0" w:line="480" w:lineRule="auto"/>
        <w:ind w:firstLine="720"/>
      </w:pPr>
    </w:p>
    <w:p w:rsidR="00881D85" w:rsidRDefault="00881D85"/>
    <w:p w:rsidR="006062EF" w:rsidRDefault="006062EF"/>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p w:rsidR="003D2289" w:rsidRDefault="003D2289" w:rsidP="003D2289">
      <w:pPr>
        <w:jc w:val="center"/>
        <w:rPr>
          <w:b/>
          <w:bCs/>
          <w:sz w:val="24"/>
          <w:szCs w:val="24"/>
        </w:rPr>
      </w:pPr>
      <w:r w:rsidRPr="003D2289">
        <w:rPr>
          <w:b/>
          <w:bCs/>
          <w:sz w:val="24"/>
          <w:szCs w:val="24"/>
        </w:rPr>
        <w:lastRenderedPageBreak/>
        <w:t>References</w:t>
      </w:r>
    </w:p>
    <w:p w:rsidR="0004664F" w:rsidRDefault="0004664F" w:rsidP="0004664F">
      <w:pPr>
        <w:rPr>
          <w:b/>
          <w:bCs/>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Bayley, D. H. (2006). Changing the guard: Developing democratic police agencies in transitional societies. Oxford University Press.</w:t>
      </w:r>
      <w:r>
        <w:rPr>
          <w:rFonts w:ascii="Times New Roman" w:hAnsi="Times New Roman" w:cs="Times New Roman"/>
          <w:sz w:val="24"/>
          <w:szCs w:val="24"/>
        </w:rPr>
        <w:br/>
      </w:r>
    </w:p>
    <w:p w:rsidR="0004664F" w:rsidRPr="0004664F" w:rsidRDefault="0004664F" w:rsidP="0004664F">
      <w:pPr>
        <w:spacing w:after="0" w:line="480" w:lineRule="auto"/>
        <w:ind w:left="720" w:hanging="720"/>
        <w:rPr>
          <w:rFonts w:ascii="Times New Roman" w:hAnsi="Times New Roman" w:cs="Times New Roman"/>
          <w:sz w:val="24"/>
          <w:szCs w:val="24"/>
        </w:rPr>
      </w:pPr>
      <w:proofErr w:type="spellStart"/>
      <w:r w:rsidRPr="0004664F">
        <w:rPr>
          <w:rFonts w:ascii="Times New Roman" w:hAnsi="Times New Roman" w:cs="Times New Roman"/>
          <w:sz w:val="24"/>
          <w:szCs w:val="24"/>
        </w:rPr>
        <w:t>Benhabib</w:t>
      </w:r>
      <w:proofErr w:type="spellEnd"/>
      <w:r w:rsidRPr="0004664F">
        <w:rPr>
          <w:rFonts w:ascii="Times New Roman" w:hAnsi="Times New Roman" w:cs="Times New Roman"/>
          <w:sz w:val="24"/>
          <w:szCs w:val="24"/>
        </w:rPr>
        <w:t>, S. (2017). The rights of others: Aliens, residents, and citizens. Cambridge University Press.</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proofErr w:type="spellStart"/>
      <w:r w:rsidRPr="0004664F">
        <w:rPr>
          <w:rFonts w:ascii="Times New Roman" w:hAnsi="Times New Roman" w:cs="Times New Roman"/>
          <w:sz w:val="24"/>
          <w:szCs w:val="24"/>
        </w:rPr>
        <w:t>Bigo</w:t>
      </w:r>
      <w:proofErr w:type="spellEnd"/>
      <w:r w:rsidRPr="0004664F">
        <w:rPr>
          <w:rFonts w:ascii="Times New Roman" w:hAnsi="Times New Roman" w:cs="Times New Roman"/>
          <w:sz w:val="24"/>
          <w:szCs w:val="24"/>
        </w:rPr>
        <w:t>, D., &amp; Tsoukala, A. (2008). Understanding the “war on terror” in Europe. Comparative European Politics, 6(3), 370-387. https://doi.org/10.1057/cep.2008.16</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Bullock, K., &amp; Johnson, R. R. (2019). Crime prevention and security policies in comparative perspective. Routledge.</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Caplan, J. M. (2018). Surveillance technologies and civil liberties in comparative policy. International Journal of Public Administration, 41(6), 513-523. https://doi.org/10.1080/01900692.2017.1361674</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Coleman, M. (2019). Security policies and human rights: A global comparison. Palgrave Macmillan.</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de Goede, M. (2008). The politics of preemption and the War on Terror in Europe. European Journal of International Relations, 14(1), 167-196. https://doi.org/10.1177/1354066107087781</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Foucault, M. (2007). Security, territory, population: Michel Foucault’s lecture at the Collège de France. Palgrave Macmillan.</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Goldsmith, A. (2019). Public perceptions of surveillance in public spaces: A comparison of attitudes in the UK and Singapore. Journal of Surveillance Studies, 12(1), 45-62.</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Haggerty, K. D., &amp; Ericson, R. V. (2000). The surveillant assemblage. British Journal of Sociology, 51(4), 605-622. https://doi.org/10.1111/j.1468-4446.2000.00607.x</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John, M. S., &amp; Wright, C. R. (2018). The impact of cultural contexts on policing practices. Springer.</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Lianos, M., &amp; McGuire, M. (2015). From policing to security: The transition of public policy in the digital age. International Journal of Comparative and Applied Criminal Justice, 39(2), 135-153. https://doi.org/10.1080/01924036.2014.936348</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Lyon, D. (2018). The culture of surveillance: Watching as a way of life. Polity Press.</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r w:rsidRPr="0004664F">
        <w:rPr>
          <w:rFonts w:ascii="Times New Roman" w:hAnsi="Times New Roman" w:cs="Times New Roman"/>
          <w:sz w:val="24"/>
          <w:szCs w:val="24"/>
        </w:rPr>
        <w:t>Walters, W. (2019). Migration, security, and the political economy of fear. Cambridge University Press.</w:t>
      </w:r>
    </w:p>
    <w:p w:rsidR="0004664F" w:rsidRPr="0004664F" w:rsidRDefault="0004664F" w:rsidP="0004664F">
      <w:pPr>
        <w:spacing w:after="0" w:line="480" w:lineRule="auto"/>
        <w:ind w:left="720" w:hanging="720"/>
        <w:rPr>
          <w:rFonts w:ascii="Times New Roman" w:hAnsi="Times New Roman" w:cs="Times New Roman"/>
          <w:sz w:val="24"/>
          <w:szCs w:val="24"/>
        </w:rPr>
      </w:pPr>
    </w:p>
    <w:p w:rsidR="0004664F" w:rsidRPr="0004664F" w:rsidRDefault="0004664F" w:rsidP="0004664F">
      <w:pPr>
        <w:spacing w:after="0" w:line="480" w:lineRule="auto"/>
        <w:ind w:left="720" w:hanging="720"/>
        <w:rPr>
          <w:rFonts w:ascii="Times New Roman" w:hAnsi="Times New Roman" w:cs="Times New Roman"/>
          <w:sz w:val="24"/>
          <w:szCs w:val="24"/>
        </w:rPr>
      </w:pPr>
      <w:proofErr w:type="spellStart"/>
      <w:r w:rsidRPr="0004664F">
        <w:rPr>
          <w:rFonts w:ascii="Times New Roman" w:hAnsi="Times New Roman" w:cs="Times New Roman"/>
          <w:sz w:val="24"/>
          <w:szCs w:val="24"/>
        </w:rPr>
        <w:t>Zedner</w:t>
      </w:r>
      <w:proofErr w:type="spellEnd"/>
      <w:r w:rsidRPr="0004664F">
        <w:rPr>
          <w:rFonts w:ascii="Times New Roman" w:hAnsi="Times New Roman" w:cs="Times New Roman"/>
          <w:sz w:val="24"/>
          <w:szCs w:val="24"/>
        </w:rPr>
        <w:t>, L. (2009). Security. Routledge.</w:t>
      </w:r>
    </w:p>
    <w:sectPr w:rsidR="0004664F" w:rsidRPr="000466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09B3" w:rsidRDefault="001509B3" w:rsidP="00C269C0">
      <w:pPr>
        <w:spacing w:after="0" w:line="240" w:lineRule="auto"/>
      </w:pPr>
      <w:r>
        <w:separator/>
      </w:r>
    </w:p>
  </w:endnote>
  <w:endnote w:type="continuationSeparator" w:id="0">
    <w:p w:rsidR="001509B3" w:rsidRDefault="001509B3" w:rsidP="00C2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09B3" w:rsidRDefault="001509B3" w:rsidP="00C269C0">
      <w:pPr>
        <w:spacing w:after="0" w:line="240" w:lineRule="auto"/>
      </w:pPr>
      <w:r>
        <w:separator/>
      </w:r>
    </w:p>
  </w:footnote>
  <w:footnote w:type="continuationSeparator" w:id="0">
    <w:p w:rsidR="001509B3" w:rsidRDefault="001509B3" w:rsidP="00C2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80570"/>
      <w:docPartObj>
        <w:docPartGallery w:val="Page Numbers (Top of Page)"/>
        <w:docPartUnique/>
      </w:docPartObj>
    </w:sdtPr>
    <w:sdtEndPr>
      <w:rPr>
        <w:noProof/>
      </w:rPr>
    </w:sdtEndPr>
    <w:sdtContent>
      <w:p w:rsidR="00C269C0" w:rsidRDefault="00C269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269C0" w:rsidRDefault="00C26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2"/>
    <w:rsid w:val="0004664F"/>
    <w:rsid w:val="001509B3"/>
    <w:rsid w:val="00183852"/>
    <w:rsid w:val="001F28C3"/>
    <w:rsid w:val="003842F4"/>
    <w:rsid w:val="003C486E"/>
    <w:rsid w:val="003D2289"/>
    <w:rsid w:val="004E586A"/>
    <w:rsid w:val="00600ED0"/>
    <w:rsid w:val="006062EF"/>
    <w:rsid w:val="007D3B5B"/>
    <w:rsid w:val="008272F2"/>
    <w:rsid w:val="00872221"/>
    <w:rsid w:val="00881D85"/>
    <w:rsid w:val="00932AAB"/>
    <w:rsid w:val="00AB71F2"/>
    <w:rsid w:val="00C269C0"/>
    <w:rsid w:val="00CB61D5"/>
    <w:rsid w:val="00DA080A"/>
    <w:rsid w:val="00FE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EE5B"/>
  <w15:chartTrackingRefBased/>
  <w15:docId w15:val="{B843591E-75ED-4D02-BA85-A58DE4B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2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72F2"/>
    <w:rPr>
      <w:b/>
      <w:bCs/>
    </w:rPr>
  </w:style>
  <w:style w:type="character" w:styleId="Emphasis">
    <w:name w:val="Emphasis"/>
    <w:basedOn w:val="DefaultParagraphFont"/>
    <w:uiPriority w:val="20"/>
    <w:qFormat/>
    <w:rsid w:val="008272F2"/>
    <w:rPr>
      <w:i/>
      <w:iCs/>
    </w:rPr>
  </w:style>
  <w:style w:type="paragraph" w:styleId="Header">
    <w:name w:val="header"/>
    <w:basedOn w:val="Normal"/>
    <w:link w:val="HeaderChar"/>
    <w:uiPriority w:val="99"/>
    <w:unhideWhenUsed/>
    <w:rsid w:val="00C2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C0"/>
  </w:style>
  <w:style w:type="paragraph" w:styleId="Footer">
    <w:name w:val="footer"/>
    <w:basedOn w:val="Normal"/>
    <w:link w:val="FooterChar"/>
    <w:uiPriority w:val="99"/>
    <w:unhideWhenUsed/>
    <w:rsid w:val="00C2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513730">
      <w:bodyDiv w:val="1"/>
      <w:marLeft w:val="0"/>
      <w:marRight w:val="0"/>
      <w:marTop w:val="0"/>
      <w:marBottom w:val="0"/>
      <w:divBdr>
        <w:top w:val="none" w:sz="0" w:space="0" w:color="auto"/>
        <w:left w:val="none" w:sz="0" w:space="0" w:color="auto"/>
        <w:bottom w:val="none" w:sz="0" w:space="0" w:color="auto"/>
        <w:right w:val="none" w:sz="0" w:space="0" w:color="auto"/>
      </w:divBdr>
    </w:div>
    <w:div w:id="896283940">
      <w:bodyDiv w:val="1"/>
      <w:marLeft w:val="0"/>
      <w:marRight w:val="0"/>
      <w:marTop w:val="0"/>
      <w:marBottom w:val="0"/>
      <w:divBdr>
        <w:top w:val="none" w:sz="0" w:space="0" w:color="auto"/>
        <w:left w:val="none" w:sz="0" w:space="0" w:color="auto"/>
        <w:bottom w:val="none" w:sz="0" w:space="0" w:color="auto"/>
        <w:right w:val="none" w:sz="0" w:space="0" w:color="auto"/>
      </w:divBdr>
    </w:div>
    <w:div w:id="20894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20</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dc:creator>
  <cp:keywords/>
  <dc:description/>
  <cp:lastModifiedBy>Fredrick</cp:lastModifiedBy>
  <cp:revision>3</cp:revision>
  <dcterms:created xsi:type="dcterms:W3CDTF">2024-11-06T00:53:00Z</dcterms:created>
  <dcterms:modified xsi:type="dcterms:W3CDTF">2024-11-06T02:51:00Z</dcterms:modified>
</cp:coreProperties>
</file>