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B6" w:rsidRPr="004A0FD8" w:rsidRDefault="000712B6" w:rsidP="000712B6">
      <w:pPr>
        <w:pStyle w:val="BodyText"/>
        <w:spacing w:before="10"/>
        <w:jc w:val="center"/>
        <w:rPr>
          <w:b/>
          <w:sz w:val="36"/>
        </w:rPr>
      </w:pPr>
      <w:r w:rsidRPr="004A0FD8">
        <w:rPr>
          <w:b/>
          <w:sz w:val="36"/>
        </w:rPr>
        <w:t>ROSEMARY CHIKA ILECHUKWU</w:t>
      </w:r>
    </w:p>
    <w:p w:rsidR="000712B6" w:rsidRPr="004A0FD8" w:rsidRDefault="000712B6" w:rsidP="000712B6">
      <w:pPr>
        <w:pStyle w:val="BodyText"/>
        <w:spacing w:before="10"/>
        <w:jc w:val="center"/>
        <w:rPr>
          <w:b/>
          <w:sz w:val="36"/>
        </w:rPr>
      </w:pPr>
      <w:r w:rsidRPr="004A0FD8">
        <w:rPr>
          <w:b/>
          <w:sz w:val="36"/>
        </w:rPr>
        <w:t>UD74955BEC84131</w:t>
      </w: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r w:rsidRPr="004A0FD8">
        <w:rPr>
          <w:b/>
          <w:sz w:val="36"/>
        </w:rPr>
        <w:t>COURSE NAME</w:t>
      </w:r>
    </w:p>
    <w:p w:rsidR="000712B6" w:rsidRPr="004A0FD8" w:rsidRDefault="000712B6" w:rsidP="000712B6">
      <w:pPr>
        <w:pStyle w:val="BodyText"/>
        <w:spacing w:before="10"/>
        <w:jc w:val="center"/>
        <w:rPr>
          <w:b/>
          <w:sz w:val="36"/>
        </w:rPr>
      </w:pPr>
      <w:r w:rsidRPr="004A0FD8">
        <w:rPr>
          <w:b/>
          <w:sz w:val="36"/>
        </w:rPr>
        <w:t>(DOCTORATE IN ECONOMICS)</w:t>
      </w: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r w:rsidRPr="004A0FD8">
        <w:rPr>
          <w:b/>
          <w:sz w:val="36"/>
        </w:rPr>
        <w:t>ASSIGNMENT TITLE</w:t>
      </w:r>
    </w:p>
    <w:p w:rsidR="000712B6" w:rsidRPr="004A0FD8" w:rsidRDefault="000712B6" w:rsidP="000712B6">
      <w:pPr>
        <w:pStyle w:val="BodyText"/>
        <w:spacing w:before="10"/>
        <w:jc w:val="center"/>
        <w:rPr>
          <w:b/>
          <w:sz w:val="36"/>
        </w:rPr>
      </w:pPr>
      <w:r>
        <w:rPr>
          <w:b/>
          <w:sz w:val="36"/>
        </w:rPr>
        <w:t>LABOR ECONOMICS ECONOMICS</w:t>
      </w: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r w:rsidRPr="004A0FD8">
        <w:rPr>
          <w:b/>
          <w:sz w:val="36"/>
        </w:rPr>
        <w:t>ATLANTIC INTERNATIONAL UNIVERSITY</w:t>
      </w: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p>
    <w:p w:rsidR="000712B6" w:rsidRPr="004A0FD8" w:rsidRDefault="000712B6" w:rsidP="000712B6">
      <w:pPr>
        <w:pStyle w:val="BodyText"/>
        <w:spacing w:before="10"/>
        <w:jc w:val="center"/>
        <w:rPr>
          <w:b/>
          <w:sz w:val="36"/>
        </w:rPr>
      </w:pPr>
      <w:r w:rsidRPr="004A0FD8">
        <w:rPr>
          <w:b/>
          <w:sz w:val="36"/>
        </w:rPr>
        <w:t>APRIL 2022</w:t>
      </w:r>
    </w:p>
    <w:p w:rsidR="000712B6" w:rsidRDefault="000712B6" w:rsidP="000712B6">
      <w:pPr>
        <w:pStyle w:val="BodyText"/>
        <w:spacing w:before="10" w:line="480" w:lineRule="auto"/>
        <w:jc w:val="center"/>
        <w:rPr>
          <w:b/>
          <w:sz w:val="32"/>
        </w:rPr>
      </w:pPr>
    </w:p>
    <w:p w:rsidR="000712B6" w:rsidRPr="000712B6" w:rsidRDefault="000712B6" w:rsidP="000712B6">
      <w:pPr>
        <w:pStyle w:val="BodyText"/>
        <w:spacing w:before="7" w:line="480" w:lineRule="auto"/>
        <w:jc w:val="both"/>
        <w:rPr>
          <w:rFonts w:asciiTheme="majorHAnsi" w:hAnsiTheme="majorHAnsi"/>
          <w:b/>
          <w:bCs/>
          <w:w w:val="120"/>
        </w:rPr>
      </w:pPr>
      <w:r w:rsidRPr="000712B6">
        <w:rPr>
          <w:rFonts w:asciiTheme="majorHAnsi" w:hAnsiTheme="majorHAnsi"/>
          <w:b/>
          <w:bCs/>
          <w:w w:val="120"/>
        </w:rPr>
        <w:t>Introduction</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For what reason do countries exchange what they do? Is exchange something to be thankful for? The hypothesis of worldwide exchange gives replies. The responses are both persuading and rich, subsequently by far most of market analysts concur about the allure of liberal exchange. Yet, the contention is likewise unobtrusive and frequently misconstrued or mutilated. Hence an enormous extent of everyone will in general go against liberal exchange from disarray. This exposition will endeavor to convey why the responses persuade most business analysts and why their liberal exchange position is so frequently misjudged. The article's center is hypothesis, yet hypothesis persuades when it prevails with regards to fitting the information. In this manner passing reference will be made to exact discoveries, a reasonableness substantially more completely evolved in the alumni reading material of Feenstra (2003).</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 xml:space="preserve">"Purchase low, offer high" rationale drives market analysts to similar benefit hypothesis. Near advantage implies the examination of relative cost contrasts between countries to make sense of the example of exchange. For instance, look at the overall cost of wheat regarding cheddar at home to a similar relative cost in the unfamiliar economy in a theoretical harmony with no exchange (autarky) or with limited </w:t>
      </w:r>
      <w:r w:rsidRPr="000712B6">
        <w:rPr>
          <w:rFonts w:asciiTheme="majorHAnsi" w:hAnsiTheme="majorHAnsi"/>
          <w:bCs/>
          <w:w w:val="120"/>
        </w:rPr>
        <w:lastRenderedPageBreak/>
        <w:t>exchange. The country with the lower relative cost of wheat is said to enjoy a similar benefit in wheat while the other nation has, evenly, a near advantage in cheddar. Purchase low, sell high rationale predicts that a nation will send out the positive qualities wherein it has a similar advantage.1</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Notice that the emphasis on relative costs will in general offset powers (ex-change rate controls, ecological or work principles) which cause public contrasts in degrees of nontraded component (or merchandise) costs. Note likewise that by this thinking a nation should enjoy a relative benefit in some benefit. Costs of nontraded elements of creation change overall balance so every nation winds up in the exchange harmony with a serious or outright expense advantage in the positive qualities in which it enjoys a relative benefit. Halfway balance thinking accepts factor costs as given and doesn't force the outer spending plan imperative that expects products to pay for imports. Standard tial harmony thinking prompts errors investigated underneath as the outright benefit paradox.</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 xml:space="preserve">Relative benefit contrasts between countries are made sense of by ex-ogenous contrasts in public attributes. Work contrasts in its productiv-ity globally and various merchandise have different work prerequisites, so relative work efficiency advantage was Ricardo's indicator of exchange designs. Ricardian exchange hypothesis is valuable in its </w:t>
      </w:r>
      <w:r w:rsidRPr="000712B6">
        <w:rPr>
          <w:rFonts w:asciiTheme="majorHAnsi" w:hAnsiTheme="majorHAnsi"/>
          <w:bCs/>
          <w:w w:val="120"/>
        </w:rPr>
        <w:lastRenderedPageBreak/>
        <w:t>straightforwardness and, surprisingly, rather approximately affirmed by exact proof. The variable extents hypothesis added relative element gift contrasts to the exogenous clarification of com-parative benefit (Jones, 1987). More capital bountiful nations have higher work efficiency, yet the benefit acquired comparative with the less abun-dant nations shifts with the relative capital power of the great's technol-ogy. Consolidating innovation and gift contrasts seems to account well for genuine exchange designs (Davis and Weinstein, 2002).</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Exchange hypothesis likewise incorporates endogenous contrasts between nations. One spotlight is on economies of scale. The more extensive market because of exchange incites an expense advantage in an industry in one of the nations. One more hypothesis depends on monopolistic rivalry, by which the more extensive business sectors because of exchange increment item assortment as purchasers look for the extraordinary attributes of unfamiliar brands. Separated items exchange streams the two different ways inside item classes.</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 xml:space="preserve">Exchange costs additionally shape the example of exchange. The financial hypothesis of grav-ity makes sense of the complex reciprocal exchange designs among nations. Genuine exchange is a lot of lower than gravity predicts in a frictionless world, giving ev-idence of exchange costs a lot bigger than those because of strategy or transportation. The expenses are very much made sense of by geology </w:t>
      </w:r>
      <w:r w:rsidRPr="000712B6">
        <w:rPr>
          <w:rFonts w:asciiTheme="majorHAnsi" w:hAnsiTheme="majorHAnsi"/>
          <w:bCs/>
          <w:w w:val="120"/>
        </w:rPr>
        <w:lastRenderedPageBreak/>
        <w:t>and a bunch of public contrasts. The solidness of the connections after some time proposes that these costs change gradually.</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There are gains from exchange this multitude of models. Be that as it may, the division of the additions will be lopsided and there will be failures. Conveyance matters in two ways, between and inside countries. Universally, with just gentle qualifi-cations, gains are divided among countries: some exchange is superior to none. Every country can act through exchange strategy to take a greater amount of the increase, how-ever, prompting disastrous exchange battles with shared misfortunes. Inside public economies, there are gains overall yet there are normally failures. Public foundations act to reallocate a portion of the increases (U.S. Exchange Adjustment As-sistance) or give transitory help from misfortunes because of exchange (proviso insurance), at the expense of bringing down the general addition from exchange.</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The subjects of this diagram are created underneath in more detail. Segment</w:t>
      </w:r>
    </w:p>
    <w:p w:rsidR="000712B6" w:rsidRPr="000712B6" w:rsidRDefault="000712B6" w:rsidP="000712B6">
      <w:pPr>
        <w:pStyle w:val="BodyText"/>
        <w:spacing w:before="7" w:line="480" w:lineRule="auto"/>
        <w:jc w:val="both"/>
        <w:rPr>
          <w:rFonts w:asciiTheme="majorHAnsi" w:hAnsiTheme="majorHAnsi"/>
          <w:bCs/>
          <w:w w:val="120"/>
        </w:rPr>
      </w:pPr>
      <w:r w:rsidRPr="000712B6">
        <w:rPr>
          <w:rFonts w:asciiTheme="majorHAnsi" w:hAnsiTheme="majorHAnsi"/>
          <w:bCs/>
          <w:w w:val="120"/>
        </w:rPr>
        <w:t>1 looks at the reasons for near advantage. Area 2 uncovered the outright benefit false notion. Area 3 audits endogenous benefit. Area 4 sets out the monetary hypothesis of gravity and its suggestions. The finishing up area looks at the additions from exchange.</w:t>
      </w:r>
    </w:p>
    <w:p w:rsidR="000712B6" w:rsidRPr="000712B6" w:rsidRDefault="000712B6" w:rsidP="000712B6">
      <w:pPr>
        <w:pStyle w:val="BodyText"/>
        <w:spacing w:before="7" w:line="480" w:lineRule="auto"/>
        <w:jc w:val="both"/>
        <w:rPr>
          <w:rFonts w:asciiTheme="majorHAnsi" w:hAnsiTheme="majorHAnsi"/>
          <w:bCs/>
          <w:w w:val="120"/>
        </w:rPr>
      </w:pPr>
    </w:p>
    <w:p w:rsidR="000712B6" w:rsidRDefault="000712B6" w:rsidP="000712B6">
      <w:pPr>
        <w:pStyle w:val="BodyText"/>
        <w:spacing w:before="7" w:line="480" w:lineRule="auto"/>
        <w:jc w:val="both"/>
        <w:rPr>
          <w:rFonts w:asciiTheme="majorHAnsi" w:hAnsiTheme="majorHAnsi"/>
          <w:b/>
          <w:bCs/>
          <w:w w:val="120"/>
        </w:rPr>
      </w:pPr>
    </w:p>
    <w:p w:rsidR="000712B6" w:rsidRDefault="000712B6" w:rsidP="000712B6">
      <w:pPr>
        <w:pStyle w:val="BodyText"/>
        <w:spacing w:before="7" w:line="480" w:lineRule="auto"/>
        <w:jc w:val="both"/>
        <w:rPr>
          <w:rFonts w:asciiTheme="majorHAnsi" w:hAnsiTheme="majorHAnsi"/>
          <w:b/>
          <w:bCs/>
          <w:w w:val="120"/>
        </w:rPr>
      </w:pPr>
    </w:p>
    <w:p w:rsidR="000712B6" w:rsidRPr="000712B6" w:rsidRDefault="000712B6" w:rsidP="000712B6">
      <w:pPr>
        <w:pStyle w:val="BodyText"/>
        <w:spacing w:before="7" w:line="480" w:lineRule="auto"/>
        <w:jc w:val="both"/>
        <w:rPr>
          <w:rFonts w:asciiTheme="majorHAnsi" w:hAnsiTheme="majorHAnsi"/>
          <w:b/>
          <w:bCs/>
          <w:w w:val="120"/>
        </w:rPr>
      </w:pPr>
      <w:r>
        <w:rPr>
          <w:rFonts w:asciiTheme="majorHAnsi" w:hAnsiTheme="majorHAnsi"/>
          <w:b/>
          <w:bCs/>
          <w:w w:val="120"/>
        </w:rPr>
        <w:t>Conclusion</w:t>
      </w:r>
    </w:p>
    <w:p w:rsidR="00DC2BB0" w:rsidRPr="000712B6" w:rsidRDefault="000712B6" w:rsidP="000712B6">
      <w:pPr>
        <w:pStyle w:val="BodyText"/>
        <w:spacing w:before="7" w:line="480" w:lineRule="auto"/>
        <w:jc w:val="both"/>
        <w:rPr>
          <w:rFonts w:asciiTheme="majorHAnsi" w:hAnsiTheme="majorHAnsi"/>
        </w:rPr>
      </w:pPr>
      <w:r w:rsidRPr="000712B6">
        <w:rPr>
          <w:rFonts w:asciiTheme="majorHAnsi" w:hAnsiTheme="majorHAnsi"/>
          <w:bCs/>
          <w:w w:val="120"/>
        </w:rPr>
        <w:t>The broad help of liberal exchange by proficient financial analysts is on the grounds that hypothesis and proof convince them that there are gains from exchange a normal sense in this large number of models of the determinants of exchange. Be that as it may, the division of the additions will be lopsided and there can be failures. Most arrangement intercession with exchange is made sense of by the strategy creators' craving to modify the circulation of gains.</w:t>
      </w:r>
    </w:p>
    <w:p w:rsidR="000712B6" w:rsidRDefault="000712B6" w:rsidP="000712B6">
      <w:pPr>
        <w:pStyle w:val="Heading1"/>
        <w:tabs>
          <w:tab w:val="left" w:pos="1078"/>
          <w:tab w:val="left" w:pos="1079"/>
        </w:tabs>
        <w:spacing w:line="480" w:lineRule="auto"/>
        <w:ind w:left="0" w:firstLine="0"/>
        <w:jc w:val="both"/>
        <w:rPr>
          <w:rFonts w:asciiTheme="majorHAnsi" w:hAnsiTheme="majorHAnsi"/>
          <w:w w:val="115"/>
          <w:sz w:val="24"/>
          <w:szCs w:val="24"/>
        </w:rPr>
      </w:pPr>
    </w:p>
    <w:p w:rsidR="000712B6" w:rsidRDefault="000712B6">
      <w:pPr>
        <w:rPr>
          <w:rFonts w:asciiTheme="majorHAnsi" w:hAnsiTheme="majorHAnsi"/>
          <w:b/>
          <w:bCs/>
          <w:w w:val="115"/>
          <w:sz w:val="24"/>
          <w:szCs w:val="24"/>
        </w:rPr>
      </w:pPr>
      <w:r>
        <w:rPr>
          <w:rFonts w:asciiTheme="majorHAnsi" w:hAnsiTheme="majorHAnsi"/>
          <w:w w:val="115"/>
          <w:sz w:val="24"/>
          <w:szCs w:val="24"/>
        </w:rPr>
        <w:br w:type="page"/>
      </w:r>
    </w:p>
    <w:p w:rsidR="00DC2BB0" w:rsidRPr="000712B6" w:rsidRDefault="002966B9" w:rsidP="000712B6">
      <w:pPr>
        <w:pStyle w:val="Heading1"/>
        <w:tabs>
          <w:tab w:val="left" w:pos="1078"/>
          <w:tab w:val="left" w:pos="1079"/>
        </w:tabs>
        <w:spacing w:line="480" w:lineRule="auto"/>
        <w:ind w:left="0" w:firstLine="0"/>
        <w:jc w:val="both"/>
        <w:rPr>
          <w:rFonts w:asciiTheme="majorHAnsi" w:hAnsiTheme="majorHAnsi"/>
          <w:sz w:val="24"/>
          <w:szCs w:val="24"/>
        </w:rPr>
      </w:pPr>
      <w:r w:rsidRPr="000712B6">
        <w:rPr>
          <w:rFonts w:asciiTheme="majorHAnsi" w:hAnsiTheme="majorHAnsi"/>
          <w:w w:val="115"/>
          <w:sz w:val="24"/>
          <w:szCs w:val="24"/>
        </w:rPr>
        <w:lastRenderedPageBreak/>
        <w:t>References</w:t>
      </w:r>
    </w:p>
    <w:p w:rsidR="000712B6" w:rsidRPr="000712B6" w:rsidRDefault="000712B6" w:rsidP="000712B6">
      <w:pPr>
        <w:spacing w:before="209" w:line="480" w:lineRule="auto"/>
        <w:ind w:left="497" w:right="530" w:hanging="497"/>
        <w:jc w:val="both"/>
        <w:rPr>
          <w:rFonts w:asciiTheme="majorHAnsi" w:hAnsiTheme="majorHAnsi"/>
          <w:w w:val="110"/>
          <w:sz w:val="24"/>
          <w:szCs w:val="24"/>
        </w:rPr>
      </w:pPr>
      <w:r w:rsidRPr="000712B6">
        <w:rPr>
          <w:rFonts w:asciiTheme="majorHAnsi" w:hAnsiTheme="majorHAnsi"/>
          <w:w w:val="110"/>
          <w:sz w:val="24"/>
          <w:szCs w:val="24"/>
        </w:rPr>
        <w:t>Anderson, James E. what's more, Eric van Wincoop (2004), "Exchange Costs", Journal of Economic Literature, 42, 691-751.</w:t>
      </w:r>
    </w:p>
    <w:p w:rsidR="000712B6" w:rsidRPr="000712B6" w:rsidRDefault="000712B6" w:rsidP="000712B6">
      <w:pPr>
        <w:spacing w:before="209" w:line="480" w:lineRule="auto"/>
        <w:ind w:left="497" w:right="530" w:hanging="497"/>
        <w:jc w:val="both"/>
        <w:rPr>
          <w:rFonts w:asciiTheme="majorHAnsi" w:hAnsiTheme="majorHAnsi"/>
          <w:w w:val="110"/>
          <w:sz w:val="24"/>
          <w:szCs w:val="24"/>
        </w:rPr>
      </w:pPr>
      <w:r w:rsidRPr="000712B6">
        <w:rPr>
          <w:rFonts w:asciiTheme="majorHAnsi" w:hAnsiTheme="majorHAnsi"/>
          <w:w w:val="110"/>
          <w:sz w:val="24"/>
          <w:szCs w:val="24"/>
        </w:rPr>
        <w:t>Kortum (2003), "Plants and Productivity in International Trade", American Economic Review, 93, 1268-90.</w:t>
      </w:r>
    </w:p>
    <w:p w:rsidR="000712B6" w:rsidRPr="000712B6" w:rsidRDefault="000712B6" w:rsidP="000712B6">
      <w:pPr>
        <w:spacing w:before="209" w:line="480" w:lineRule="auto"/>
        <w:ind w:left="497" w:right="530" w:hanging="497"/>
        <w:jc w:val="both"/>
        <w:rPr>
          <w:rFonts w:asciiTheme="majorHAnsi" w:hAnsiTheme="majorHAnsi"/>
          <w:w w:val="110"/>
          <w:sz w:val="24"/>
          <w:szCs w:val="24"/>
        </w:rPr>
      </w:pPr>
      <w:r w:rsidRPr="000712B6">
        <w:rPr>
          <w:rFonts w:asciiTheme="majorHAnsi" w:hAnsiTheme="majorHAnsi"/>
          <w:w w:val="110"/>
          <w:sz w:val="24"/>
          <w:szCs w:val="24"/>
        </w:rPr>
        <w:t>Bernhofen, Daniel M. what's more, John C. Brown (2004), "A Direct Test of the Theory of Comparative Advantage: the Case of Japan", Journal of Political Economy, 112, 48-67.</w:t>
      </w:r>
    </w:p>
    <w:p w:rsidR="000712B6" w:rsidRPr="000712B6" w:rsidRDefault="000712B6" w:rsidP="000712B6">
      <w:pPr>
        <w:spacing w:before="209" w:line="480" w:lineRule="auto"/>
        <w:ind w:left="497" w:right="530" w:hanging="497"/>
        <w:jc w:val="both"/>
        <w:rPr>
          <w:rFonts w:asciiTheme="majorHAnsi" w:hAnsiTheme="majorHAnsi"/>
          <w:w w:val="110"/>
          <w:sz w:val="24"/>
          <w:szCs w:val="24"/>
        </w:rPr>
      </w:pPr>
      <w:r w:rsidRPr="000712B6">
        <w:rPr>
          <w:rFonts w:asciiTheme="majorHAnsi" w:hAnsiTheme="majorHAnsi"/>
          <w:w w:val="110"/>
          <w:sz w:val="24"/>
          <w:szCs w:val="24"/>
        </w:rPr>
        <w:t>Davis, Donald R. what's more, David E. Weinstein (2002), "An Account of Global Factor Trade", American Economic Review, 91, 1423-53.</w:t>
      </w:r>
    </w:p>
    <w:p w:rsidR="000712B6" w:rsidRPr="000712B6" w:rsidRDefault="000712B6" w:rsidP="000712B6">
      <w:pPr>
        <w:spacing w:before="209" w:line="480" w:lineRule="auto"/>
        <w:ind w:left="497" w:right="530" w:hanging="497"/>
        <w:jc w:val="both"/>
        <w:rPr>
          <w:rFonts w:asciiTheme="majorHAnsi" w:hAnsiTheme="majorHAnsi"/>
          <w:w w:val="110"/>
          <w:sz w:val="24"/>
          <w:szCs w:val="24"/>
        </w:rPr>
      </w:pPr>
      <w:r w:rsidRPr="000712B6">
        <w:rPr>
          <w:rFonts w:asciiTheme="majorHAnsi" w:hAnsiTheme="majorHAnsi"/>
          <w:w w:val="110"/>
          <w:sz w:val="24"/>
          <w:szCs w:val="24"/>
        </w:rPr>
        <w:t>Deardorff, Alan V. (1984), "The General Validity of the Law of Compar-ative Advantage", Journal of Political Economy, 88, 941-57.</w:t>
      </w:r>
    </w:p>
    <w:p w:rsidR="00DC2BB0" w:rsidRPr="000712B6" w:rsidRDefault="000712B6" w:rsidP="000712B6">
      <w:pPr>
        <w:spacing w:before="209" w:line="480" w:lineRule="auto"/>
        <w:ind w:left="497" w:right="530" w:hanging="497"/>
        <w:jc w:val="both"/>
        <w:rPr>
          <w:rFonts w:asciiTheme="majorHAnsi" w:hAnsiTheme="majorHAnsi"/>
          <w:sz w:val="24"/>
          <w:szCs w:val="24"/>
        </w:rPr>
      </w:pPr>
      <w:r w:rsidRPr="000712B6">
        <w:rPr>
          <w:rFonts w:asciiTheme="majorHAnsi" w:hAnsiTheme="majorHAnsi"/>
          <w:w w:val="110"/>
          <w:sz w:val="24"/>
          <w:szCs w:val="24"/>
        </w:rPr>
        <w:t>Dixit, Avinash K. what's more, Victor D. Norman (1986): Gains from exchange with-out singular amount remuneration, Journal of International Economics, 21, 111-122.</w:t>
      </w:r>
    </w:p>
    <w:sectPr w:rsidR="00DC2BB0" w:rsidRPr="000712B6" w:rsidSect="00DC2BB0">
      <w:footerReference w:type="default" r:id="rId7"/>
      <w:pgSz w:w="12240" w:h="15840"/>
      <w:pgMar w:top="1500" w:right="1720" w:bottom="1960" w:left="1720" w:header="0" w:footer="17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6B9" w:rsidRDefault="002966B9" w:rsidP="00DC2BB0">
      <w:r>
        <w:separator/>
      </w:r>
    </w:p>
  </w:endnote>
  <w:endnote w:type="continuationSeparator" w:id="1">
    <w:p w:rsidR="002966B9" w:rsidRDefault="002966B9" w:rsidP="00DC2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B0" w:rsidRDefault="00DC2BB0">
    <w:pPr>
      <w:pStyle w:val="BodyText"/>
      <w:spacing w:line="14" w:lineRule="auto"/>
      <w:rPr>
        <w:sz w:val="20"/>
      </w:rPr>
    </w:pPr>
    <w:r w:rsidRPr="00DC2BB0">
      <w:pict>
        <v:shapetype id="_x0000_t202" coordsize="21600,21600" o:spt="202" path="m,l,21600r21600,l21600,xe">
          <v:stroke joinstyle="miter"/>
          <v:path gradientshapeok="t" o:connecttype="rect"/>
        </v:shapetype>
        <v:shape id="_x0000_s1025" type="#_x0000_t202" style="position:absolute;margin-left:296.25pt;margin-top:692.15pt;width:17.75pt;height:14pt;z-index:-251658752;mso-position-horizontal-relative:page;mso-position-vertical-relative:page" filled="f" stroked="f">
          <v:textbox inset="0,0,0,0">
            <w:txbxContent>
              <w:p w:rsidR="00DC2BB0" w:rsidRDefault="00DC2BB0">
                <w:pPr>
                  <w:pStyle w:val="BodyText"/>
                  <w:spacing w:line="264" w:lineRule="exact"/>
                  <w:ind w:left="60"/>
                </w:pPr>
                <w:r>
                  <w:fldChar w:fldCharType="begin"/>
                </w:r>
                <w:r w:rsidR="002966B9">
                  <w:instrText xml:space="preserve"> PAGE </w:instrText>
                </w:r>
                <w:r>
                  <w:fldChar w:fldCharType="separate"/>
                </w:r>
                <w:r w:rsidR="000712B6">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6B9" w:rsidRDefault="002966B9" w:rsidP="00DC2BB0">
      <w:r>
        <w:separator/>
      </w:r>
    </w:p>
  </w:footnote>
  <w:footnote w:type="continuationSeparator" w:id="1">
    <w:p w:rsidR="002966B9" w:rsidRDefault="002966B9" w:rsidP="00DC2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897"/>
    <w:multiLevelType w:val="hybridMultilevel"/>
    <w:tmpl w:val="CD8CF7EC"/>
    <w:lvl w:ilvl="0" w:tplc="A126C8EE">
      <w:start w:val="1"/>
      <w:numFmt w:val="decimal"/>
      <w:lvlText w:val="%1"/>
      <w:lvlJc w:val="left"/>
      <w:pPr>
        <w:ind w:left="1078" w:hanging="582"/>
        <w:jc w:val="left"/>
      </w:pPr>
      <w:rPr>
        <w:rFonts w:ascii="Calibri" w:eastAsia="Calibri" w:hAnsi="Calibri" w:cs="Calibri" w:hint="default"/>
        <w:b/>
        <w:bCs/>
        <w:w w:val="112"/>
        <w:sz w:val="34"/>
        <w:szCs w:val="34"/>
        <w:lang w:val="en-US" w:eastAsia="en-US" w:bidi="ar-SA"/>
      </w:rPr>
    </w:lvl>
    <w:lvl w:ilvl="1" w:tplc="E0DC1118">
      <w:numFmt w:val="bullet"/>
      <w:lvlText w:val="•"/>
      <w:lvlJc w:val="left"/>
      <w:pPr>
        <w:ind w:left="1852" w:hanging="582"/>
      </w:pPr>
      <w:rPr>
        <w:rFonts w:hint="default"/>
        <w:lang w:val="en-US" w:eastAsia="en-US" w:bidi="ar-SA"/>
      </w:rPr>
    </w:lvl>
    <w:lvl w:ilvl="2" w:tplc="02C0C3F2">
      <w:numFmt w:val="bullet"/>
      <w:lvlText w:val="•"/>
      <w:lvlJc w:val="left"/>
      <w:pPr>
        <w:ind w:left="2624" w:hanging="582"/>
      </w:pPr>
      <w:rPr>
        <w:rFonts w:hint="default"/>
        <w:lang w:val="en-US" w:eastAsia="en-US" w:bidi="ar-SA"/>
      </w:rPr>
    </w:lvl>
    <w:lvl w:ilvl="3" w:tplc="CAD4ADD2">
      <w:numFmt w:val="bullet"/>
      <w:lvlText w:val="•"/>
      <w:lvlJc w:val="left"/>
      <w:pPr>
        <w:ind w:left="3396" w:hanging="582"/>
      </w:pPr>
      <w:rPr>
        <w:rFonts w:hint="default"/>
        <w:lang w:val="en-US" w:eastAsia="en-US" w:bidi="ar-SA"/>
      </w:rPr>
    </w:lvl>
    <w:lvl w:ilvl="4" w:tplc="DD8CF800">
      <w:numFmt w:val="bullet"/>
      <w:lvlText w:val="•"/>
      <w:lvlJc w:val="left"/>
      <w:pPr>
        <w:ind w:left="4168" w:hanging="582"/>
      </w:pPr>
      <w:rPr>
        <w:rFonts w:hint="default"/>
        <w:lang w:val="en-US" w:eastAsia="en-US" w:bidi="ar-SA"/>
      </w:rPr>
    </w:lvl>
    <w:lvl w:ilvl="5" w:tplc="CAD86F5C">
      <w:numFmt w:val="bullet"/>
      <w:lvlText w:val="•"/>
      <w:lvlJc w:val="left"/>
      <w:pPr>
        <w:ind w:left="4940" w:hanging="582"/>
      </w:pPr>
      <w:rPr>
        <w:rFonts w:hint="default"/>
        <w:lang w:val="en-US" w:eastAsia="en-US" w:bidi="ar-SA"/>
      </w:rPr>
    </w:lvl>
    <w:lvl w:ilvl="6" w:tplc="8696B14A">
      <w:numFmt w:val="bullet"/>
      <w:lvlText w:val="•"/>
      <w:lvlJc w:val="left"/>
      <w:pPr>
        <w:ind w:left="5712" w:hanging="582"/>
      </w:pPr>
      <w:rPr>
        <w:rFonts w:hint="default"/>
        <w:lang w:val="en-US" w:eastAsia="en-US" w:bidi="ar-SA"/>
      </w:rPr>
    </w:lvl>
    <w:lvl w:ilvl="7" w:tplc="14541FFA">
      <w:numFmt w:val="bullet"/>
      <w:lvlText w:val="•"/>
      <w:lvlJc w:val="left"/>
      <w:pPr>
        <w:ind w:left="6484" w:hanging="582"/>
      </w:pPr>
      <w:rPr>
        <w:rFonts w:hint="default"/>
        <w:lang w:val="en-US" w:eastAsia="en-US" w:bidi="ar-SA"/>
      </w:rPr>
    </w:lvl>
    <w:lvl w:ilvl="8" w:tplc="2DBAA1BC">
      <w:numFmt w:val="bullet"/>
      <w:lvlText w:val="•"/>
      <w:lvlJc w:val="left"/>
      <w:pPr>
        <w:ind w:left="7256" w:hanging="58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C2BB0"/>
    <w:rsid w:val="000712B6"/>
    <w:rsid w:val="002966B9"/>
    <w:rsid w:val="0042664B"/>
    <w:rsid w:val="00DC2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2BB0"/>
    <w:rPr>
      <w:rFonts w:ascii="Calibri" w:eastAsia="Calibri" w:hAnsi="Calibri" w:cs="Calibri"/>
    </w:rPr>
  </w:style>
  <w:style w:type="paragraph" w:styleId="Heading1">
    <w:name w:val="heading 1"/>
    <w:basedOn w:val="Normal"/>
    <w:uiPriority w:val="1"/>
    <w:qFormat/>
    <w:rsid w:val="00DC2BB0"/>
    <w:pPr>
      <w:ind w:left="1078" w:hanging="582"/>
      <w:outlineLvl w:val="0"/>
    </w:pPr>
    <w:rPr>
      <w:b/>
      <w:bCs/>
      <w:sz w:val="34"/>
      <w:szCs w:val="34"/>
    </w:rPr>
  </w:style>
  <w:style w:type="paragraph" w:styleId="Heading2">
    <w:name w:val="heading 2"/>
    <w:basedOn w:val="Normal"/>
    <w:uiPriority w:val="1"/>
    <w:qFormat/>
    <w:rsid w:val="00DC2BB0"/>
    <w:pPr>
      <w:spacing w:before="51"/>
      <w:ind w:left="2742" w:right="277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2BB0"/>
    <w:rPr>
      <w:sz w:val="24"/>
      <w:szCs w:val="24"/>
    </w:rPr>
  </w:style>
  <w:style w:type="paragraph" w:styleId="ListParagraph">
    <w:name w:val="List Paragraph"/>
    <w:basedOn w:val="Normal"/>
    <w:uiPriority w:val="1"/>
    <w:qFormat/>
    <w:rsid w:val="00DC2BB0"/>
    <w:pPr>
      <w:ind w:left="1078" w:hanging="582"/>
    </w:pPr>
  </w:style>
  <w:style w:type="paragraph" w:customStyle="1" w:styleId="TableParagraph">
    <w:name w:val="Table Paragraph"/>
    <w:basedOn w:val="Normal"/>
    <w:uiPriority w:val="1"/>
    <w:qFormat/>
    <w:rsid w:val="00DC2B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GRAMNETWORLD</dc:creator>
  <cp:lastModifiedBy>GRAMNETWORLD</cp:lastModifiedBy>
  <cp:revision>2</cp:revision>
  <dcterms:created xsi:type="dcterms:W3CDTF">2022-04-16T16:08:00Z</dcterms:created>
  <dcterms:modified xsi:type="dcterms:W3CDTF">2022-04-16T16:08:00Z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2006-05-24T00:00:00Z</vt:filetime>
  </property>
  <property fmtid="{D5CDD505-2E9C-101B-9397-08002B2CF9AE}" pid="3" name="Creator">
    <vt:lpwstr>TeX</vt:lpwstr>
  </property>
  <property fmtid="{D5CDD505-2E9C-101B-9397-08002B2CF9AE}" pid="4" name="LastSaved">
    <vt:filetime>2006-05-24T00:00:00Z</vt:filetime>
  </property>
</Properties>
</file>