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D8F" w:rsidRPr="004A0FD8" w:rsidRDefault="006E7D8F" w:rsidP="006E7D8F">
      <w:pPr>
        <w:pStyle w:val="BodyText"/>
        <w:spacing w:before="10"/>
        <w:jc w:val="center"/>
        <w:rPr>
          <w:b/>
          <w:sz w:val="36"/>
        </w:rPr>
      </w:pPr>
      <w:r w:rsidRPr="004A0FD8">
        <w:rPr>
          <w:b/>
          <w:sz w:val="36"/>
        </w:rPr>
        <w:t>ROSEMARY CHIKA ILECHUKWU</w:t>
      </w:r>
    </w:p>
    <w:p w:rsidR="006E7D8F" w:rsidRPr="004A0FD8" w:rsidRDefault="006E7D8F" w:rsidP="006E7D8F">
      <w:pPr>
        <w:pStyle w:val="BodyText"/>
        <w:spacing w:before="10"/>
        <w:jc w:val="center"/>
        <w:rPr>
          <w:b/>
          <w:sz w:val="36"/>
        </w:rPr>
      </w:pPr>
      <w:r w:rsidRPr="004A0FD8">
        <w:rPr>
          <w:b/>
          <w:sz w:val="36"/>
        </w:rPr>
        <w:t>UD74955BEC84131</w:t>
      </w:r>
    </w:p>
    <w:p w:rsidR="006E7D8F" w:rsidRPr="004A0FD8" w:rsidRDefault="006E7D8F" w:rsidP="006E7D8F">
      <w:pPr>
        <w:pStyle w:val="BodyText"/>
        <w:spacing w:before="10"/>
        <w:jc w:val="center"/>
        <w:rPr>
          <w:b/>
          <w:sz w:val="36"/>
        </w:rPr>
      </w:pPr>
    </w:p>
    <w:p w:rsidR="006E7D8F" w:rsidRPr="004A0FD8" w:rsidRDefault="006E7D8F" w:rsidP="006E7D8F">
      <w:pPr>
        <w:pStyle w:val="BodyText"/>
        <w:spacing w:before="10"/>
        <w:jc w:val="center"/>
        <w:rPr>
          <w:b/>
          <w:sz w:val="36"/>
        </w:rPr>
      </w:pPr>
    </w:p>
    <w:p w:rsidR="006E7D8F" w:rsidRPr="004A0FD8" w:rsidRDefault="006E7D8F" w:rsidP="006E7D8F">
      <w:pPr>
        <w:pStyle w:val="BodyText"/>
        <w:spacing w:before="10"/>
        <w:jc w:val="center"/>
        <w:rPr>
          <w:b/>
          <w:sz w:val="36"/>
        </w:rPr>
      </w:pPr>
    </w:p>
    <w:p w:rsidR="006E7D8F" w:rsidRPr="004A0FD8" w:rsidRDefault="006E7D8F" w:rsidP="006E7D8F">
      <w:pPr>
        <w:pStyle w:val="BodyText"/>
        <w:spacing w:before="10"/>
        <w:jc w:val="center"/>
        <w:rPr>
          <w:b/>
          <w:sz w:val="36"/>
        </w:rPr>
      </w:pPr>
    </w:p>
    <w:p w:rsidR="006E7D8F" w:rsidRPr="004A0FD8" w:rsidRDefault="006E7D8F" w:rsidP="006E7D8F">
      <w:pPr>
        <w:pStyle w:val="BodyText"/>
        <w:spacing w:before="10"/>
        <w:jc w:val="center"/>
        <w:rPr>
          <w:b/>
          <w:sz w:val="36"/>
        </w:rPr>
      </w:pPr>
    </w:p>
    <w:p w:rsidR="006E7D8F" w:rsidRPr="004A0FD8" w:rsidRDefault="006E7D8F" w:rsidP="006E7D8F">
      <w:pPr>
        <w:pStyle w:val="BodyText"/>
        <w:spacing w:before="10"/>
        <w:jc w:val="center"/>
        <w:rPr>
          <w:b/>
          <w:sz w:val="36"/>
        </w:rPr>
      </w:pPr>
      <w:r w:rsidRPr="004A0FD8">
        <w:rPr>
          <w:b/>
          <w:sz w:val="36"/>
        </w:rPr>
        <w:t>COURSE NAME</w:t>
      </w:r>
    </w:p>
    <w:p w:rsidR="006E7D8F" w:rsidRPr="004A0FD8" w:rsidRDefault="006E7D8F" w:rsidP="006E7D8F">
      <w:pPr>
        <w:pStyle w:val="BodyText"/>
        <w:spacing w:before="10"/>
        <w:jc w:val="center"/>
        <w:rPr>
          <w:b/>
          <w:sz w:val="36"/>
        </w:rPr>
      </w:pPr>
      <w:r w:rsidRPr="004A0FD8">
        <w:rPr>
          <w:b/>
          <w:sz w:val="36"/>
        </w:rPr>
        <w:t>(DOCTORATE IN ECONOMICS)</w:t>
      </w:r>
    </w:p>
    <w:p w:rsidR="006E7D8F" w:rsidRPr="004A0FD8" w:rsidRDefault="006E7D8F" w:rsidP="006E7D8F">
      <w:pPr>
        <w:pStyle w:val="BodyText"/>
        <w:spacing w:before="10"/>
        <w:jc w:val="center"/>
        <w:rPr>
          <w:b/>
          <w:sz w:val="36"/>
        </w:rPr>
      </w:pPr>
    </w:p>
    <w:p w:rsidR="006E7D8F" w:rsidRPr="004A0FD8" w:rsidRDefault="006E7D8F" w:rsidP="006E7D8F">
      <w:pPr>
        <w:pStyle w:val="BodyText"/>
        <w:spacing w:before="10"/>
        <w:jc w:val="center"/>
        <w:rPr>
          <w:b/>
          <w:sz w:val="36"/>
        </w:rPr>
      </w:pPr>
    </w:p>
    <w:p w:rsidR="006E7D8F" w:rsidRPr="004A0FD8" w:rsidRDefault="006E7D8F" w:rsidP="006E7D8F">
      <w:pPr>
        <w:pStyle w:val="BodyText"/>
        <w:spacing w:before="10"/>
        <w:jc w:val="center"/>
        <w:rPr>
          <w:b/>
          <w:sz w:val="36"/>
        </w:rPr>
      </w:pPr>
    </w:p>
    <w:p w:rsidR="006E7D8F" w:rsidRPr="004A0FD8" w:rsidRDefault="006E7D8F" w:rsidP="006E7D8F">
      <w:pPr>
        <w:pStyle w:val="BodyText"/>
        <w:spacing w:before="10"/>
        <w:jc w:val="center"/>
        <w:rPr>
          <w:b/>
          <w:sz w:val="36"/>
        </w:rPr>
      </w:pPr>
    </w:p>
    <w:p w:rsidR="006E7D8F" w:rsidRPr="004A0FD8" w:rsidRDefault="006E7D8F" w:rsidP="006E7D8F">
      <w:pPr>
        <w:pStyle w:val="BodyText"/>
        <w:spacing w:before="10"/>
        <w:jc w:val="center"/>
        <w:rPr>
          <w:b/>
          <w:sz w:val="36"/>
        </w:rPr>
      </w:pPr>
    </w:p>
    <w:p w:rsidR="006E7D8F" w:rsidRPr="004A0FD8" w:rsidRDefault="006E7D8F" w:rsidP="006E7D8F">
      <w:pPr>
        <w:pStyle w:val="BodyText"/>
        <w:spacing w:before="10"/>
        <w:jc w:val="center"/>
        <w:rPr>
          <w:b/>
          <w:sz w:val="36"/>
        </w:rPr>
      </w:pPr>
      <w:r w:rsidRPr="004A0FD8">
        <w:rPr>
          <w:b/>
          <w:sz w:val="36"/>
        </w:rPr>
        <w:t>ASSIGNMENT TITLE</w:t>
      </w:r>
    </w:p>
    <w:p w:rsidR="006E7D8F" w:rsidRPr="004A0FD8" w:rsidRDefault="006E7D8F" w:rsidP="006E7D8F">
      <w:pPr>
        <w:pStyle w:val="BodyText"/>
        <w:spacing w:before="10"/>
        <w:jc w:val="center"/>
        <w:rPr>
          <w:b/>
          <w:sz w:val="36"/>
        </w:rPr>
      </w:pPr>
      <w:r>
        <w:rPr>
          <w:b/>
          <w:sz w:val="36"/>
        </w:rPr>
        <w:t>INTERNATIONAL TRADE THEORY</w:t>
      </w:r>
    </w:p>
    <w:p w:rsidR="006E7D8F" w:rsidRPr="004A0FD8" w:rsidRDefault="006E7D8F" w:rsidP="006E7D8F">
      <w:pPr>
        <w:pStyle w:val="BodyText"/>
        <w:spacing w:before="10"/>
        <w:jc w:val="center"/>
        <w:rPr>
          <w:b/>
          <w:sz w:val="36"/>
        </w:rPr>
      </w:pPr>
    </w:p>
    <w:p w:rsidR="006E7D8F" w:rsidRPr="004A0FD8" w:rsidRDefault="006E7D8F" w:rsidP="006E7D8F">
      <w:pPr>
        <w:pStyle w:val="BodyText"/>
        <w:spacing w:before="10"/>
        <w:jc w:val="center"/>
        <w:rPr>
          <w:b/>
          <w:sz w:val="36"/>
        </w:rPr>
      </w:pPr>
    </w:p>
    <w:p w:rsidR="006E7D8F" w:rsidRPr="004A0FD8" w:rsidRDefault="006E7D8F" w:rsidP="006E7D8F">
      <w:pPr>
        <w:pStyle w:val="BodyText"/>
        <w:spacing w:before="10"/>
        <w:jc w:val="center"/>
        <w:rPr>
          <w:b/>
          <w:sz w:val="36"/>
        </w:rPr>
      </w:pPr>
    </w:p>
    <w:p w:rsidR="006E7D8F" w:rsidRPr="004A0FD8" w:rsidRDefault="006E7D8F" w:rsidP="006E7D8F">
      <w:pPr>
        <w:pStyle w:val="BodyText"/>
        <w:spacing w:before="10"/>
        <w:jc w:val="center"/>
        <w:rPr>
          <w:b/>
          <w:sz w:val="36"/>
        </w:rPr>
      </w:pPr>
    </w:p>
    <w:p w:rsidR="006E7D8F" w:rsidRPr="004A0FD8" w:rsidRDefault="006E7D8F" w:rsidP="006E7D8F">
      <w:pPr>
        <w:pStyle w:val="BodyText"/>
        <w:spacing w:before="10"/>
        <w:jc w:val="center"/>
        <w:rPr>
          <w:b/>
          <w:sz w:val="36"/>
        </w:rPr>
      </w:pPr>
    </w:p>
    <w:p w:rsidR="006E7D8F" w:rsidRPr="004A0FD8" w:rsidRDefault="006E7D8F" w:rsidP="006E7D8F">
      <w:pPr>
        <w:pStyle w:val="BodyText"/>
        <w:spacing w:before="10"/>
        <w:jc w:val="center"/>
        <w:rPr>
          <w:b/>
          <w:sz w:val="36"/>
        </w:rPr>
      </w:pPr>
    </w:p>
    <w:p w:rsidR="006E7D8F" w:rsidRPr="004A0FD8" w:rsidRDefault="006E7D8F" w:rsidP="006E7D8F">
      <w:pPr>
        <w:pStyle w:val="BodyText"/>
        <w:spacing w:before="10"/>
        <w:jc w:val="center"/>
        <w:rPr>
          <w:b/>
          <w:sz w:val="36"/>
        </w:rPr>
      </w:pPr>
      <w:r w:rsidRPr="004A0FD8">
        <w:rPr>
          <w:b/>
          <w:sz w:val="36"/>
        </w:rPr>
        <w:t>ATLANTIC INTERNATIONAL UNIVERSITY</w:t>
      </w:r>
    </w:p>
    <w:p w:rsidR="006E7D8F" w:rsidRPr="004A0FD8" w:rsidRDefault="006E7D8F" w:rsidP="006E7D8F">
      <w:pPr>
        <w:pStyle w:val="BodyText"/>
        <w:spacing w:before="10"/>
        <w:jc w:val="center"/>
        <w:rPr>
          <w:b/>
          <w:sz w:val="36"/>
        </w:rPr>
      </w:pPr>
    </w:p>
    <w:p w:rsidR="006E7D8F" w:rsidRPr="004A0FD8" w:rsidRDefault="006E7D8F" w:rsidP="006E7D8F">
      <w:pPr>
        <w:pStyle w:val="BodyText"/>
        <w:spacing w:before="10"/>
        <w:jc w:val="center"/>
        <w:rPr>
          <w:b/>
          <w:sz w:val="36"/>
        </w:rPr>
      </w:pPr>
    </w:p>
    <w:p w:rsidR="006E7D8F" w:rsidRPr="004A0FD8" w:rsidRDefault="006E7D8F" w:rsidP="006E7D8F">
      <w:pPr>
        <w:pStyle w:val="BodyText"/>
        <w:spacing w:before="10"/>
        <w:jc w:val="center"/>
        <w:rPr>
          <w:b/>
          <w:sz w:val="36"/>
        </w:rPr>
      </w:pPr>
    </w:p>
    <w:p w:rsidR="006E7D8F" w:rsidRPr="004A0FD8" w:rsidRDefault="006E7D8F" w:rsidP="006E7D8F">
      <w:pPr>
        <w:pStyle w:val="BodyText"/>
        <w:spacing w:before="10"/>
        <w:jc w:val="center"/>
        <w:rPr>
          <w:b/>
          <w:sz w:val="36"/>
        </w:rPr>
      </w:pPr>
    </w:p>
    <w:p w:rsidR="006E7D8F" w:rsidRPr="004A0FD8" w:rsidRDefault="006E7D8F" w:rsidP="006E7D8F">
      <w:pPr>
        <w:pStyle w:val="BodyText"/>
        <w:spacing w:before="10"/>
        <w:jc w:val="center"/>
        <w:rPr>
          <w:b/>
          <w:sz w:val="36"/>
        </w:rPr>
      </w:pPr>
      <w:r w:rsidRPr="004A0FD8">
        <w:rPr>
          <w:b/>
          <w:sz w:val="36"/>
        </w:rPr>
        <w:t>APRIL 2022</w:t>
      </w:r>
    </w:p>
    <w:p w:rsidR="006E7D8F" w:rsidRDefault="006E7D8F" w:rsidP="006E7D8F">
      <w:pPr>
        <w:pStyle w:val="BodyText"/>
        <w:spacing w:before="10" w:line="480" w:lineRule="auto"/>
        <w:jc w:val="center"/>
        <w:rPr>
          <w:b/>
          <w:sz w:val="32"/>
        </w:rPr>
      </w:pPr>
    </w:p>
    <w:p w:rsidR="006E7D8F" w:rsidRDefault="006E7D8F" w:rsidP="006E7D8F">
      <w:pPr>
        <w:spacing w:line="480" w:lineRule="auto"/>
        <w:jc w:val="both"/>
        <w:rPr>
          <w:rFonts w:asciiTheme="majorHAnsi" w:hAnsiTheme="majorHAnsi"/>
          <w:b/>
          <w:sz w:val="24"/>
          <w:szCs w:val="24"/>
        </w:rPr>
      </w:pPr>
    </w:p>
    <w:p w:rsidR="006E7D8F" w:rsidRPr="006E7D8F" w:rsidRDefault="006E7D8F" w:rsidP="006E7D8F">
      <w:pPr>
        <w:spacing w:line="480" w:lineRule="auto"/>
        <w:jc w:val="both"/>
        <w:rPr>
          <w:rFonts w:asciiTheme="majorHAnsi" w:hAnsiTheme="majorHAnsi"/>
          <w:b/>
          <w:sz w:val="24"/>
          <w:szCs w:val="24"/>
        </w:rPr>
      </w:pPr>
      <w:r w:rsidRPr="006E7D8F">
        <w:rPr>
          <w:rFonts w:asciiTheme="majorHAnsi" w:hAnsiTheme="majorHAnsi"/>
          <w:b/>
          <w:sz w:val="24"/>
          <w:szCs w:val="24"/>
        </w:rPr>
        <w:lastRenderedPageBreak/>
        <w:t>Introduction</w:t>
      </w:r>
    </w:p>
    <w:p w:rsidR="006E7D8F" w:rsidRPr="006E7D8F" w:rsidRDefault="006E7D8F" w:rsidP="006E7D8F">
      <w:pPr>
        <w:spacing w:line="480" w:lineRule="auto"/>
        <w:jc w:val="both"/>
        <w:rPr>
          <w:rFonts w:asciiTheme="majorHAnsi" w:hAnsiTheme="majorHAnsi"/>
          <w:sz w:val="24"/>
          <w:szCs w:val="24"/>
        </w:rPr>
      </w:pPr>
      <w:r w:rsidRPr="006E7D8F">
        <w:rPr>
          <w:rFonts w:asciiTheme="majorHAnsi" w:hAnsiTheme="majorHAnsi"/>
          <w:sz w:val="24"/>
          <w:szCs w:val="24"/>
        </w:rPr>
        <w:t>Following back the advancement of what today is perceived as the standard hypothesis of global exchange, one returns to the years somewhere in the range of 1776 and 1826, which individually mark the distributions of Adam Smith's (1986 [1776]) Wealth of Nations and David Ricardo's Principles of Economics (1951). The two volumes envoy the definition of a hypothesis of deregulation, in light of the exceptional progress of England in the individual fields of industry and exchange. For Smith, the division of work, in the early enormous scope enterprises of his country England, gave the base to bringing down work costs, which guaranteed viable contest across nations. Potential issues as far as the requirement for money related changes for nations having a consistent exchange excess (with outright benefit in totally exchanged merchandise) could be racked aside by depending on the programmed change, as far as the cost specie stream system, the hypothesis presented by Smith's contemporary, David Hume (1971 [1776]), around a similar time.</w:t>
      </w:r>
    </w:p>
    <w:p w:rsidR="006E7D8F" w:rsidRPr="006E7D8F" w:rsidRDefault="006E7D8F" w:rsidP="006E7D8F">
      <w:pPr>
        <w:spacing w:line="480" w:lineRule="auto"/>
        <w:jc w:val="both"/>
        <w:rPr>
          <w:rFonts w:asciiTheme="majorHAnsi" w:hAnsiTheme="majorHAnsi"/>
          <w:sz w:val="24"/>
          <w:szCs w:val="24"/>
        </w:rPr>
      </w:pPr>
      <w:r w:rsidRPr="006E7D8F">
        <w:rPr>
          <w:rFonts w:asciiTheme="majorHAnsi" w:hAnsiTheme="majorHAnsi"/>
          <w:sz w:val="24"/>
          <w:szCs w:val="24"/>
        </w:rPr>
        <w:t>Job OF DEMAND IN TRADE THEORY</w:t>
      </w:r>
    </w:p>
    <w:p w:rsidR="006E7D8F" w:rsidRPr="006E7D8F" w:rsidRDefault="006E7D8F" w:rsidP="006E7D8F">
      <w:pPr>
        <w:spacing w:line="480" w:lineRule="auto"/>
        <w:jc w:val="both"/>
        <w:rPr>
          <w:rFonts w:asciiTheme="majorHAnsi" w:hAnsiTheme="majorHAnsi"/>
          <w:sz w:val="24"/>
          <w:szCs w:val="24"/>
        </w:rPr>
      </w:pPr>
      <w:r w:rsidRPr="006E7D8F">
        <w:rPr>
          <w:rFonts w:asciiTheme="majorHAnsi" w:hAnsiTheme="majorHAnsi"/>
          <w:sz w:val="24"/>
          <w:szCs w:val="24"/>
        </w:rPr>
        <w:t xml:space="preserve">For the Benthamite utilitarians, who became noticeable by the initial twenty years of the 20th century, the Ricardian tenet passed up a major opportunity the job of interest as a clarification of the terms of exchange trade. It was for J.S. Factory to do the difficult exercise by presenting the idea of "Corresponding Demand." A couple of years after the fact Alfred Marshall further progressed the job of interest as far as the "offer bend" build, which, as per him, finished the Ricardian exchange hypothesis by deciding the "terms of exchange." However, the stock side inserted in these speculations had meanwhile changed definitely from the Ricardian thought of fixed work time contributions to "genuine expenses." These </w:t>
      </w:r>
      <w:r w:rsidRPr="006E7D8F">
        <w:rPr>
          <w:rFonts w:asciiTheme="majorHAnsi" w:hAnsiTheme="majorHAnsi"/>
          <w:sz w:val="24"/>
          <w:szCs w:val="24"/>
        </w:rPr>
        <w:lastRenderedPageBreak/>
        <w:t>expenses, for Marshall, were estimated by the emotional disutility or penances of work at the specific employment. What's more, yield was likely to unavoidable losses, with changing variable extents instead of with consistent element (work) coefficients as in Ricardo.</w:t>
      </w:r>
    </w:p>
    <w:p w:rsidR="006E7D8F" w:rsidRPr="006E7D8F" w:rsidRDefault="006E7D8F" w:rsidP="006E7D8F">
      <w:pPr>
        <w:spacing w:line="480" w:lineRule="auto"/>
        <w:jc w:val="both"/>
        <w:rPr>
          <w:rFonts w:asciiTheme="majorHAnsi" w:hAnsiTheme="majorHAnsi"/>
          <w:sz w:val="24"/>
          <w:szCs w:val="24"/>
        </w:rPr>
      </w:pPr>
      <w:r w:rsidRPr="006E7D8F">
        <w:rPr>
          <w:rFonts w:asciiTheme="majorHAnsi" w:hAnsiTheme="majorHAnsi"/>
          <w:sz w:val="24"/>
          <w:szCs w:val="24"/>
        </w:rPr>
        <w:t>Units of a "agent bundle" of merchandise presented by the separate countries in the two-country model drag the characteristic of interest as well as supply. Factors as above settled the terms of exchange at a steady balance, as long as merchandise traded were of a "ordinary" class, with versatile interest and creation was not expose to expanding returns. Potential outcomes of various equilibria, as emerged when the above conditions were not satisfied, were painstakingly kept away from by Marshall by accepting that all expenses are irreversible, in any event, when liable to expanding returns (Bharadwaj 1989).</w:t>
      </w:r>
    </w:p>
    <w:p w:rsidR="006E7D8F" w:rsidRPr="006E7D8F" w:rsidRDefault="006E7D8F" w:rsidP="006E7D8F">
      <w:pPr>
        <w:spacing w:line="480" w:lineRule="auto"/>
        <w:jc w:val="both"/>
        <w:rPr>
          <w:rFonts w:asciiTheme="majorHAnsi" w:hAnsiTheme="majorHAnsi"/>
          <w:sz w:val="24"/>
          <w:szCs w:val="24"/>
        </w:rPr>
      </w:pPr>
    </w:p>
    <w:p w:rsidR="006E7D8F" w:rsidRPr="006E7D8F" w:rsidRDefault="006E7D8F" w:rsidP="006E7D8F">
      <w:pPr>
        <w:spacing w:line="480" w:lineRule="auto"/>
        <w:jc w:val="both"/>
        <w:rPr>
          <w:rFonts w:asciiTheme="majorHAnsi" w:hAnsiTheme="majorHAnsi"/>
          <w:sz w:val="24"/>
          <w:szCs w:val="24"/>
        </w:rPr>
      </w:pPr>
      <w:r w:rsidRPr="006E7D8F">
        <w:rPr>
          <w:rFonts w:asciiTheme="majorHAnsi" w:hAnsiTheme="majorHAnsi"/>
          <w:sz w:val="24"/>
          <w:szCs w:val="24"/>
        </w:rPr>
        <w:t>Asset ENDOWMENT AS A BASIS FOR FREE TRADE DOCTRINES</w:t>
      </w:r>
    </w:p>
    <w:p w:rsidR="006E7D8F" w:rsidRPr="006E7D8F" w:rsidRDefault="006E7D8F" w:rsidP="006E7D8F">
      <w:pPr>
        <w:spacing w:line="480" w:lineRule="auto"/>
        <w:jc w:val="both"/>
        <w:rPr>
          <w:rFonts w:asciiTheme="majorHAnsi" w:hAnsiTheme="majorHAnsi"/>
          <w:sz w:val="24"/>
          <w:szCs w:val="24"/>
        </w:rPr>
      </w:pPr>
      <w:r w:rsidRPr="006E7D8F">
        <w:rPr>
          <w:rFonts w:asciiTheme="majorHAnsi" w:hAnsiTheme="majorHAnsi"/>
          <w:sz w:val="24"/>
          <w:szCs w:val="24"/>
        </w:rPr>
        <w:t>The difficult exercise between powers of market interest was conveyed forward by the Austrian school with their thought of chance expense, characterized concerning the utility of inescapable utilization. This gave the base to the Heckscher-Ohlin rendition of deregulation regulation that followed. Utilization of the peripheral rates as in this hypothesis turned the Classical hypothesis on its head.</w:t>
      </w:r>
    </w:p>
    <w:p w:rsidR="006E7D8F" w:rsidRPr="006E7D8F" w:rsidRDefault="006E7D8F" w:rsidP="006E7D8F">
      <w:pPr>
        <w:spacing w:line="480" w:lineRule="auto"/>
        <w:jc w:val="both"/>
        <w:rPr>
          <w:rFonts w:asciiTheme="majorHAnsi" w:hAnsiTheme="majorHAnsi"/>
          <w:sz w:val="24"/>
          <w:szCs w:val="24"/>
        </w:rPr>
      </w:pPr>
      <w:r w:rsidRPr="006E7D8F">
        <w:rPr>
          <w:rFonts w:asciiTheme="majorHAnsi" w:hAnsiTheme="majorHAnsi"/>
          <w:sz w:val="24"/>
          <w:szCs w:val="24"/>
        </w:rPr>
        <w:t xml:space="preserve">All the while, a premise was laid for the protection of streamlined commerce as Pareto-ideal, as opposed to on grounds of similar stock expenses alone, subsequently guaranteeing enhancement of creation, utilization, and trade (exchange) for the two exchanging </w:t>
      </w:r>
      <w:r w:rsidRPr="006E7D8F">
        <w:rPr>
          <w:rFonts w:asciiTheme="majorHAnsi" w:hAnsiTheme="majorHAnsi"/>
          <w:sz w:val="24"/>
          <w:szCs w:val="24"/>
        </w:rPr>
        <w:lastRenderedPageBreak/>
        <w:t>countries at harmony. This rendition of neo-old style exchange hypothesis has kept on having an extraordinary allure for market analysts advocating the reason with the expectation of complimentary exchange on the grounds of streamlining at a worldwide level, of useful productivity, utilization (and as such government assistance), and the programmed usage of elements of creation at full limit. Gets back to the two elements of creation that included work and capital were at levels that were in relation to their particular material commitment esteemed at market costs. Not at all like in the Ricardian worldview where the stock expense estimated in labor hours was the deciding component of exchange benefits, shopper inclinations (ordinal rankings) for products was all around as significant as the stockpile factors in deciding value seriousness of merchandise for the exchanging countries.</w:t>
      </w:r>
    </w:p>
    <w:p w:rsidR="006E7D8F" w:rsidRPr="006E7D8F" w:rsidRDefault="006E7D8F" w:rsidP="006E7D8F">
      <w:pPr>
        <w:spacing w:line="480" w:lineRule="auto"/>
        <w:jc w:val="both"/>
        <w:rPr>
          <w:rFonts w:asciiTheme="majorHAnsi" w:hAnsiTheme="majorHAnsi"/>
          <w:sz w:val="24"/>
          <w:szCs w:val="24"/>
        </w:rPr>
      </w:pPr>
    </w:p>
    <w:p w:rsidR="006E7D8F" w:rsidRPr="006E7D8F" w:rsidRDefault="006E7D8F" w:rsidP="006E7D8F">
      <w:pPr>
        <w:spacing w:line="480" w:lineRule="auto"/>
        <w:jc w:val="both"/>
        <w:rPr>
          <w:rFonts w:asciiTheme="majorHAnsi" w:hAnsiTheme="majorHAnsi"/>
          <w:sz w:val="24"/>
          <w:szCs w:val="24"/>
        </w:rPr>
      </w:pPr>
      <w:r w:rsidRPr="006E7D8F">
        <w:rPr>
          <w:rFonts w:asciiTheme="majorHAnsi" w:hAnsiTheme="majorHAnsi"/>
          <w:sz w:val="24"/>
          <w:szCs w:val="24"/>
        </w:rPr>
        <w:t>In any case, the Heckscher-Ohlin (and later Samuelson), in short HOS, rendition of streamlined commerce convention made light of the generally overpowering job of interest on market costs to carry asset blessings of countries to the middle stage as the deciding element for commonly productive exchange. With this gadget, streamlined commerce hypothesis created some distance from the ability or innovation based understandings of the Ricardian relative expense precept to a gift based clarification for countries having comparable admittance to innovation.</w:t>
      </w:r>
    </w:p>
    <w:p w:rsidR="006E7D8F" w:rsidRPr="006E7D8F" w:rsidRDefault="006E7D8F" w:rsidP="006E7D8F">
      <w:pPr>
        <w:spacing w:line="480" w:lineRule="auto"/>
        <w:jc w:val="both"/>
        <w:rPr>
          <w:rFonts w:asciiTheme="majorHAnsi" w:hAnsiTheme="majorHAnsi"/>
          <w:sz w:val="24"/>
          <w:szCs w:val="24"/>
        </w:rPr>
      </w:pPr>
      <w:r w:rsidRPr="006E7D8F">
        <w:rPr>
          <w:rFonts w:asciiTheme="majorHAnsi" w:hAnsiTheme="majorHAnsi"/>
          <w:sz w:val="24"/>
          <w:szCs w:val="24"/>
        </w:rPr>
        <w:t xml:space="preserve">It was a Herculean occupation for the neo-old style financial analysts in setting the stage to show up at the component blessing based hypothesis of streamlined commerce. In this way customer inclinations (or interest) in either country played its part in deciding both </w:t>
      </w:r>
      <w:r w:rsidRPr="006E7D8F">
        <w:rPr>
          <w:rFonts w:asciiTheme="majorHAnsi" w:hAnsiTheme="majorHAnsi"/>
          <w:sz w:val="24"/>
          <w:szCs w:val="24"/>
        </w:rPr>
        <w:lastRenderedPageBreak/>
        <w:t>product and element costs (counting those of work) in the pretrade stage, mirroring the differences in factor enrichments. With indistinguishable purchaser inclinations between the exchanging accomplices, factor enrichments decide the value intensity of the exchanged merchandise. The normal world cost was settled at a level that was inside the limits set by the pretrade costs in the two nations. While variables of creation were thought to be stable (as in the Classical similar expense hypothesis), leveling of item costs should achieve the balance of element costs across nations. Issues in showing up at uniform costs in outright terms with various public monetary standards were painstakingly abstained from by disregarding, out and out, the chance of various monetary standards across countries.</w:t>
      </w:r>
    </w:p>
    <w:p w:rsidR="006E7D8F" w:rsidRPr="006E7D8F" w:rsidRDefault="006E7D8F" w:rsidP="006E7D8F">
      <w:pPr>
        <w:spacing w:line="480" w:lineRule="auto"/>
        <w:jc w:val="both"/>
        <w:rPr>
          <w:rFonts w:asciiTheme="majorHAnsi" w:hAnsiTheme="majorHAnsi"/>
          <w:sz w:val="24"/>
          <w:szCs w:val="24"/>
        </w:rPr>
      </w:pPr>
      <w:r w:rsidRPr="006E7D8F">
        <w:rPr>
          <w:rFonts w:asciiTheme="majorHAnsi" w:hAnsiTheme="majorHAnsi"/>
          <w:sz w:val="24"/>
          <w:szCs w:val="24"/>
        </w:rPr>
        <w:t>Supports as were certain in such presumptions presumably came from the marking of this sort of hypothesis as "unadulterated," as particular from a financial hypothesis of exchange.</w:t>
      </w:r>
    </w:p>
    <w:p w:rsidR="006E7D8F" w:rsidRPr="006E7D8F" w:rsidRDefault="006E7D8F" w:rsidP="006E7D8F">
      <w:pPr>
        <w:spacing w:line="480" w:lineRule="auto"/>
        <w:jc w:val="both"/>
        <w:rPr>
          <w:rFonts w:asciiTheme="majorHAnsi" w:hAnsiTheme="majorHAnsi"/>
          <w:sz w:val="24"/>
          <w:szCs w:val="24"/>
        </w:rPr>
      </w:pPr>
      <w:r w:rsidRPr="006E7D8F">
        <w:rPr>
          <w:rFonts w:asciiTheme="majorHAnsi" w:hAnsiTheme="majorHAnsi"/>
          <w:sz w:val="24"/>
          <w:szCs w:val="24"/>
        </w:rPr>
        <w:t>Hypotheses that follow from the HOS hypothesis of deregulation regulation incorporate (aside from factor-cost balance) a result, named after Stolper and Samuelson, which relates assurance and genuine wages. As far as over, the scant component in exchanging countries, are to lose under streamlined commerce under factor cost balance. In this manner work, considered as the scant figure of creation United States, was considered to profit from assurance and not from streamlined commerce (Stolper and Samuelson 1941).</w:t>
      </w:r>
    </w:p>
    <w:p w:rsidR="00A475D2" w:rsidRDefault="006E7D8F" w:rsidP="006E7D8F">
      <w:pPr>
        <w:spacing w:line="480" w:lineRule="auto"/>
        <w:jc w:val="both"/>
        <w:rPr>
          <w:rFonts w:asciiTheme="majorHAnsi" w:hAnsiTheme="majorHAnsi"/>
          <w:sz w:val="24"/>
          <w:szCs w:val="24"/>
        </w:rPr>
      </w:pPr>
      <w:r w:rsidRPr="006E7D8F">
        <w:rPr>
          <w:rFonts w:asciiTheme="majorHAnsi" w:hAnsiTheme="majorHAnsi"/>
          <w:sz w:val="24"/>
          <w:szCs w:val="24"/>
        </w:rPr>
        <w:t>Endeavors have been made by various scholars to attempt models of the old exchange hypotheses (both relative expense and the HOS models) for multi-product, multifaceted, and multi-country circumstances. The enhanced models, managing "Higher Dimensional Issues in Trade Theory" (Ethier 1984), didn't contribute much concerning their importance regarding the noticed realities.</w:t>
      </w:r>
    </w:p>
    <w:p w:rsidR="006E7D8F" w:rsidRPr="006E7D8F" w:rsidRDefault="006E7D8F" w:rsidP="006E7D8F">
      <w:pPr>
        <w:spacing w:line="480" w:lineRule="auto"/>
        <w:jc w:val="both"/>
        <w:rPr>
          <w:rFonts w:asciiTheme="majorHAnsi" w:hAnsiTheme="majorHAnsi"/>
          <w:b/>
          <w:sz w:val="24"/>
          <w:szCs w:val="24"/>
        </w:rPr>
      </w:pPr>
      <w:r w:rsidRPr="006E7D8F">
        <w:rPr>
          <w:rFonts w:asciiTheme="majorHAnsi" w:hAnsiTheme="majorHAnsi"/>
          <w:b/>
          <w:sz w:val="24"/>
          <w:szCs w:val="24"/>
        </w:rPr>
        <w:lastRenderedPageBreak/>
        <w:t>Conclusion</w:t>
      </w:r>
    </w:p>
    <w:p w:rsidR="006E7D8F" w:rsidRPr="006E7D8F" w:rsidRDefault="006E7D8F" w:rsidP="006E7D8F">
      <w:pPr>
        <w:spacing w:line="480" w:lineRule="auto"/>
        <w:jc w:val="both"/>
        <w:rPr>
          <w:rFonts w:asciiTheme="majorHAnsi" w:hAnsiTheme="majorHAnsi"/>
          <w:sz w:val="24"/>
          <w:szCs w:val="24"/>
        </w:rPr>
      </w:pPr>
      <w:r w:rsidRPr="006E7D8F">
        <w:rPr>
          <w:rFonts w:asciiTheme="majorHAnsi" w:hAnsiTheme="majorHAnsi"/>
          <w:sz w:val="24"/>
          <w:szCs w:val="24"/>
        </w:rPr>
        <w:t>Finishing up, apparently the advancement of exchange hypothesis, from old exchange principles to the NTT, has affected strategy at two levels. The first connects with the proceeding with help of the deregulation teaching to decide strategy for creating regions. Which would be considered normal, the push comes from the high level countries, both at the intergovernmental level and at multilateral foundations like the IMF and the WTO. The second effect of exchange hypothesis connects with arrangements sought after by the high level countries, which depends impressively on the NTT precepts of key exchange. The lopsided influence relations between the rich and unfortunate countries of the world allows a continuation of this deviated mix of strategies, to which exchange hypothesis sadly has contributed a lot. A large part of the distraction of the policymakers with the miniature hypothetical definitions of exchange hypothesis, both old and new, are connected with an absolute disregard of the macroeconomic issues connecting with the public as well as the world economy. One just expects that the new speculations, which are on the way up, will address a portion of these restrictions.</w:t>
      </w:r>
    </w:p>
    <w:p w:rsidR="006E7D8F" w:rsidRDefault="006E7D8F" w:rsidP="006E7D8F">
      <w:pPr>
        <w:spacing w:line="480" w:lineRule="auto"/>
        <w:jc w:val="both"/>
        <w:rPr>
          <w:rFonts w:asciiTheme="majorHAnsi" w:hAnsiTheme="majorHAnsi"/>
          <w:sz w:val="24"/>
          <w:szCs w:val="24"/>
        </w:rPr>
      </w:pPr>
    </w:p>
    <w:p w:rsidR="006E7D8F" w:rsidRDefault="006E7D8F" w:rsidP="006E7D8F">
      <w:pPr>
        <w:spacing w:line="480" w:lineRule="auto"/>
        <w:jc w:val="both"/>
        <w:rPr>
          <w:rFonts w:asciiTheme="majorHAnsi" w:hAnsiTheme="majorHAnsi"/>
          <w:sz w:val="24"/>
          <w:szCs w:val="24"/>
        </w:rPr>
      </w:pPr>
    </w:p>
    <w:p w:rsidR="006E7D8F" w:rsidRDefault="006E7D8F" w:rsidP="006E7D8F">
      <w:pPr>
        <w:spacing w:line="480" w:lineRule="auto"/>
        <w:jc w:val="both"/>
        <w:rPr>
          <w:rFonts w:asciiTheme="majorHAnsi" w:hAnsiTheme="majorHAnsi"/>
          <w:sz w:val="24"/>
          <w:szCs w:val="24"/>
        </w:rPr>
      </w:pPr>
    </w:p>
    <w:p w:rsidR="006E7D8F" w:rsidRDefault="006E7D8F" w:rsidP="006E7D8F">
      <w:pPr>
        <w:spacing w:line="480" w:lineRule="auto"/>
        <w:jc w:val="both"/>
        <w:rPr>
          <w:rFonts w:asciiTheme="majorHAnsi" w:hAnsiTheme="majorHAnsi"/>
          <w:sz w:val="24"/>
          <w:szCs w:val="24"/>
        </w:rPr>
      </w:pPr>
    </w:p>
    <w:p w:rsidR="006E7D8F" w:rsidRDefault="006E7D8F" w:rsidP="006E7D8F">
      <w:pPr>
        <w:spacing w:line="480" w:lineRule="auto"/>
        <w:jc w:val="both"/>
        <w:rPr>
          <w:rFonts w:asciiTheme="majorHAnsi" w:hAnsiTheme="majorHAnsi"/>
          <w:sz w:val="24"/>
          <w:szCs w:val="24"/>
        </w:rPr>
      </w:pPr>
    </w:p>
    <w:p w:rsidR="006E7D8F" w:rsidRDefault="006E7D8F" w:rsidP="006E7D8F">
      <w:pPr>
        <w:spacing w:line="480" w:lineRule="auto"/>
        <w:jc w:val="both"/>
        <w:rPr>
          <w:rFonts w:asciiTheme="majorHAnsi" w:hAnsiTheme="majorHAnsi"/>
          <w:sz w:val="24"/>
          <w:szCs w:val="24"/>
        </w:rPr>
      </w:pPr>
    </w:p>
    <w:p w:rsidR="006E7D8F" w:rsidRPr="006E7D8F" w:rsidRDefault="006E7D8F" w:rsidP="006E7D8F">
      <w:pPr>
        <w:spacing w:line="480" w:lineRule="auto"/>
        <w:jc w:val="both"/>
        <w:rPr>
          <w:rFonts w:asciiTheme="majorHAnsi" w:hAnsiTheme="majorHAnsi"/>
          <w:b/>
          <w:sz w:val="24"/>
          <w:szCs w:val="24"/>
        </w:rPr>
      </w:pPr>
      <w:r w:rsidRPr="006E7D8F">
        <w:rPr>
          <w:rFonts w:asciiTheme="majorHAnsi" w:hAnsiTheme="majorHAnsi"/>
          <w:b/>
          <w:sz w:val="24"/>
          <w:szCs w:val="24"/>
        </w:rPr>
        <w:lastRenderedPageBreak/>
        <w:t>REFERENCES</w:t>
      </w:r>
    </w:p>
    <w:p w:rsidR="006E7D8F" w:rsidRPr="006E7D8F" w:rsidRDefault="006E7D8F" w:rsidP="006E7D8F">
      <w:pPr>
        <w:spacing w:line="480" w:lineRule="auto"/>
        <w:jc w:val="both"/>
        <w:rPr>
          <w:rFonts w:asciiTheme="majorHAnsi" w:hAnsiTheme="majorHAnsi"/>
          <w:sz w:val="24"/>
          <w:szCs w:val="24"/>
        </w:rPr>
      </w:pPr>
      <w:r w:rsidRPr="006E7D8F">
        <w:rPr>
          <w:rFonts w:asciiTheme="majorHAnsi" w:hAnsiTheme="majorHAnsi"/>
          <w:sz w:val="24"/>
          <w:szCs w:val="24"/>
        </w:rPr>
        <w:t>Amin, S., G. Arrighi, A.G. Forthcoming, and I. Wallerstein. 1981. Elements of Global Crisis. New York: Monthly Review Press.</w:t>
      </w:r>
    </w:p>
    <w:p w:rsidR="006E7D8F" w:rsidRPr="006E7D8F" w:rsidRDefault="006E7D8F" w:rsidP="006E7D8F">
      <w:pPr>
        <w:spacing w:line="480" w:lineRule="auto"/>
        <w:jc w:val="both"/>
        <w:rPr>
          <w:rFonts w:asciiTheme="majorHAnsi" w:hAnsiTheme="majorHAnsi"/>
          <w:sz w:val="24"/>
          <w:szCs w:val="24"/>
        </w:rPr>
      </w:pPr>
      <w:r w:rsidRPr="006E7D8F">
        <w:rPr>
          <w:rFonts w:asciiTheme="majorHAnsi" w:hAnsiTheme="majorHAnsi"/>
          <w:sz w:val="24"/>
          <w:szCs w:val="24"/>
        </w:rPr>
        <w:t>Amin, S. 1977. Dominion and Unequal Development. New York: Monthly Review Press. Bagchi, A.K. 1982. The Political Economy of Underdevelopment. Cambridge, UK: Cambridge</w:t>
      </w:r>
    </w:p>
    <w:p w:rsidR="006E7D8F" w:rsidRPr="006E7D8F" w:rsidRDefault="006E7D8F" w:rsidP="006E7D8F">
      <w:pPr>
        <w:spacing w:line="480" w:lineRule="auto"/>
        <w:jc w:val="both"/>
        <w:rPr>
          <w:rFonts w:asciiTheme="majorHAnsi" w:hAnsiTheme="majorHAnsi"/>
          <w:sz w:val="24"/>
          <w:szCs w:val="24"/>
        </w:rPr>
      </w:pPr>
      <w:r w:rsidRPr="006E7D8F">
        <w:rPr>
          <w:rFonts w:asciiTheme="majorHAnsi" w:hAnsiTheme="majorHAnsi"/>
          <w:sz w:val="24"/>
          <w:szCs w:val="24"/>
        </w:rPr>
        <w:t>College Press.</w:t>
      </w:r>
    </w:p>
    <w:p w:rsidR="006E7D8F" w:rsidRPr="006E7D8F" w:rsidRDefault="006E7D8F" w:rsidP="006E7D8F">
      <w:pPr>
        <w:spacing w:line="480" w:lineRule="auto"/>
        <w:jc w:val="both"/>
        <w:rPr>
          <w:rFonts w:asciiTheme="majorHAnsi" w:hAnsiTheme="majorHAnsi"/>
          <w:sz w:val="24"/>
          <w:szCs w:val="24"/>
        </w:rPr>
      </w:pPr>
      <w:r w:rsidRPr="006E7D8F">
        <w:rPr>
          <w:rFonts w:asciiTheme="majorHAnsi" w:hAnsiTheme="majorHAnsi"/>
          <w:sz w:val="24"/>
          <w:szCs w:val="24"/>
        </w:rPr>
        <w:t>Bhagwati, J. 1958. "Immiserizing Growth: A Geometrical Note." Review of Economic Studies</w:t>
      </w:r>
    </w:p>
    <w:p w:rsidR="006E7D8F" w:rsidRPr="006E7D8F" w:rsidRDefault="006E7D8F" w:rsidP="006E7D8F">
      <w:pPr>
        <w:spacing w:line="480" w:lineRule="auto"/>
        <w:jc w:val="both"/>
        <w:rPr>
          <w:rFonts w:asciiTheme="majorHAnsi" w:hAnsiTheme="majorHAnsi"/>
          <w:sz w:val="24"/>
          <w:szCs w:val="24"/>
        </w:rPr>
      </w:pPr>
      <w:r w:rsidRPr="006E7D8F">
        <w:rPr>
          <w:rFonts w:asciiTheme="majorHAnsi" w:hAnsiTheme="majorHAnsi"/>
          <w:sz w:val="24"/>
          <w:szCs w:val="24"/>
        </w:rPr>
        <w:t>58: 201-05.</w:t>
      </w:r>
    </w:p>
    <w:sectPr w:rsidR="006E7D8F" w:rsidRPr="006E7D8F" w:rsidSect="00A475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6E7D8F"/>
    <w:rsid w:val="006E7D8F"/>
    <w:rsid w:val="00A475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5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E7D8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E7D8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1318</Words>
  <Characters>7518</Characters>
  <Application>Microsoft Office Word</Application>
  <DocSecurity>0</DocSecurity>
  <Lines>62</Lines>
  <Paragraphs>17</Paragraphs>
  <ScaleCrop>false</ScaleCrop>
  <Company/>
  <LinksUpToDate>false</LinksUpToDate>
  <CharactersWithSpaces>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GRAMNETWORLD</dc:creator>
  <cp:lastModifiedBy>GRAMNETWORLD</cp:lastModifiedBy>
  <cp:revision>1</cp:revision>
  <dcterms:created xsi:type="dcterms:W3CDTF">2022-04-16T15:55:00Z</dcterms:created>
  <dcterms:modified xsi:type="dcterms:W3CDTF">2022-04-16T15:57:00Z</dcterms:modified>
</cp:coreProperties>
</file>