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47" w:rsidRPr="004A0FD8" w:rsidRDefault="00953C47" w:rsidP="00953C47">
      <w:pPr>
        <w:pStyle w:val="BodyText"/>
        <w:jc w:val="center"/>
        <w:rPr>
          <w:b/>
          <w:sz w:val="36"/>
        </w:rPr>
      </w:pPr>
    </w:p>
    <w:p w:rsidR="00953C47" w:rsidRPr="004A0FD8" w:rsidRDefault="00953C47" w:rsidP="00953C47">
      <w:pPr>
        <w:pStyle w:val="BodyText"/>
        <w:spacing w:before="10"/>
        <w:jc w:val="center"/>
        <w:rPr>
          <w:b/>
          <w:sz w:val="36"/>
        </w:rPr>
      </w:pPr>
      <w:r w:rsidRPr="004A0FD8">
        <w:rPr>
          <w:b/>
          <w:sz w:val="36"/>
        </w:rPr>
        <w:t>ROSEMARY CHIKA ILECHUKWU</w:t>
      </w:r>
    </w:p>
    <w:p w:rsidR="00953C47" w:rsidRPr="004A0FD8" w:rsidRDefault="00953C47" w:rsidP="00953C47">
      <w:pPr>
        <w:pStyle w:val="BodyText"/>
        <w:spacing w:before="10"/>
        <w:jc w:val="center"/>
        <w:rPr>
          <w:b/>
          <w:sz w:val="36"/>
        </w:rPr>
      </w:pPr>
      <w:r w:rsidRPr="004A0FD8">
        <w:rPr>
          <w:b/>
          <w:sz w:val="36"/>
        </w:rPr>
        <w:t>UD74955BEC84131</w:t>
      </w: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r w:rsidRPr="004A0FD8">
        <w:rPr>
          <w:b/>
          <w:sz w:val="36"/>
        </w:rPr>
        <w:t>COURSE NAME</w:t>
      </w:r>
    </w:p>
    <w:p w:rsidR="00953C47" w:rsidRPr="004A0FD8" w:rsidRDefault="00953C47" w:rsidP="00953C47">
      <w:pPr>
        <w:pStyle w:val="BodyText"/>
        <w:spacing w:before="10"/>
        <w:jc w:val="center"/>
        <w:rPr>
          <w:b/>
          <w:sz w:val="36"/>
        </w:rPr>
      </w:pPr>
      <w:r w:rsidRPr="004A0FD8">
        <w:rPr>
          <w:b/>
          <w:sz w:val="36"/>
        </w:rPr>
        <w:t>(DOCTORATE IN ECONOMICS)</w:t>
      </w: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r w:rsidRPr="004A0FD8">
        <w:rPr>
          <w:b/>
          <w:sz w:val="36"/>
        </w:rPr>
        <w:t>ASSIGNMENT TITLE</w:t>
      </w:r>
    </w:p>
    <w:p w:rsidR="00953C47" w:rsidRPr="004A0FD8" w:rsidRDefault="00953C47" w:rsidP="00953C47">
      <w:pPr>
        <w:pStyle w:val="BodyText"/>
        <w:spacing w:before="10"/>
        <w:jc w:val="center"/>
        <w:rPr>
          <w:b/>
          <w:sz w:val="36"/>
        </w:rPr>
      </w:pPr>
      <w:r>
        <w:rPr>
          <w:b/>
          <w:sz w:val="36"/>
        </w:rPr>
        <w:t>MICROECONOMICS RESEARCH</w:t>
      </w: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r w:rsidRPr="004A0FD8">
        <w:rPr>
          <w:b/>
          <w:sz w:val="36"/>
        </w:rPr>
        <w:t>ATLANTIC INTERNATIONAL UNIVERSITY</w:t>
      </w: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p>
    <w:p w:rsidR="00953C47" w:rsidRPr="004A0FD8" w:rsidRDefault="00953C47" w:rsidP="00953C47">
      <w:pPr>
        <w:pStyle w:val="BodyText"/>
        <w:spacing w:before="10"/>
        <w:jc w:val="center"/>
        <w:rPr>
          <w:b/>
          <w:sz w:val="36"/>
        </w:rPr>
      </w:pPr>
      <w:r w:rsidRPr="004A0FD8">
        <w:rPr>
          <w:b/>
          <w:sz w:val="36"/>
        </w:rPr>
        <w:t>APRIL 2022</w:t>
      </w:r>
    </w:p>
    <w:p w:rsidR="005D4E61" w:rsidRPr="00A0681A" w:rsidRDefault="005D4E61" w:rsidP="00A0681A">
      <w:pPr>
        <w:pStyle w:val="BodyText"/>
        <w:spacing w:line="480" w:lineRule="auto"/>
        <w:rPr>
          <w:rFonts w:ascii="Tahoma"/>
          <w:b/>
          <w:sz w:val="24"/>
          <w:szCs w:val="24"/>
        </w:rPr>
      </w:pPr>
    </w:p>
    <w:p w:rsidR="005D4E61" w:rsidRPr="00A0681A" w:rsidRDefault="006570C1" w:rsidP="00A0681A">
      <w:pPr>
        <w:pStyle w:val="Heading3"/>
        <w:tabs>
          <w:tab w:val="left" w:pos="1059"/>
        </w:tabs>
        <w:spacing w:before="0" w:line="480" w:lineRule="auto"/>
        <w:rPr>
          <w:sz w:val="24"/>
          <w:szCs w:val="24"/>
        </w:rPr>
      </w:pPr>
      <w:r w:rsidRPr="00A0681A">
        <w:rPr>
          <w:color w:val="231F20"/>
          <w:sz w:val="24"/>
          <w:szCs w:val="24"/>
        </w:rPr>
        <w:t>Introduction</w:t>
      </w:r>
    </w:p>
    <w:p w:rsidR="00A0681A" w:rsidRPr="00A0681A" w:rsidRDefault="00A0681A" w:rsidP="00A0681A">
      <w:pPr>
        <w:pStyle w:val="Heading2"/>
        <w:spacing w:line="480" w:lineRule="auto"/>
        <w:ind w:left="0"/>
        <w:rPr>
          <w:rFonts w:ascii="Times New Roman" w:eastAsia="Times New Roman" w:hAnsi="Times New Roman" w:cs="Times New Roman"/>
          <w:color w:val="231F20"/>
        </w:rPr>
      </w:pPr>
      <w:r w:rsidRPr="00A0681A">
        <w:rPr>
          <w:rFonts w:ascii="Times New Roman" w:eastAsia="Times New Roman" w:hAnsi="Times New Roman" w:cs="Times New Roman"/>
          <w:color w:val="231F20"/>
        </w:rPr>
        <w:lastRenderedPageBreak/>
        <w:t>These Lectures are worried about the financial matters of the public area. We are largely continually impacted by the financial choices of the public authority. This is most no­ ticeable in the assessments we pay. Annual assessment, deals charges, nearby expenses, and government backed retirement commitments represent a significant extent of our pay. Proprietors of capital are impacted by charges on corporate benefits, legacy expenses, and capital additions charges. Practically we all are at some time beneficiaries of pay from the public authority: for instance, by means of government backed retirement programs. A huge extent of laborers are paid by the public authority or produce products offered to the public authority. Numerous youngsters go to schools upheld by the public authority. We appreciate metropolitan parks, pools, streets, and other openly given offices. Many individuals are worried about open approach towards the climate or about the protection of regular assets.</w:t>
      </w:r>
    </w:p>
    <w:p w:rsidR="00A0681A" w:rsidRPr="00A0681A" w:rsidRDefault="00A0681A" w:rsidP="00A0681A">
      <w:pPr>
        <w:pStyle w:val="Heading2"/>
        <w:spacing w:line="480" w:lineRule="auto"/>
        <w:ind w:left="0"/>
        <w:rPr>
          <w:rFonts w:ascii="Times New Roman" w:eastAsia="Times New Roman" w:hAnsi="Times New Roman" w:cs="Times New Roman"/>
          <w:color w:val="231F20"/>
        </w:rPr>
      </w:pPr>
      <w:r w:rsidRPr="00A0681A">
        <w:rPr>
          <w:rFonts w:ascii="Times New Roman" w:eastAsia="Times New Roman" w:hAnsi="Times New Roman" w:cs="Times New Roman"/>
          <w:color w:val="231F20"/>
        </w:rPr>
        <w:t xml:space="preserve">In these Lectures we endeavor to portray in a precise way the head con­ arrangements of such financial exercises by the public authority and their connection to social goals. In Part One we analyze the impacts of different assessment and consumption poli­ cies. This "positive" segment of the book is worried about such inquiries as "Does pay tax collection put work exertion down or risk­taking?" or "What is the frequency of the organization charge?" interestingly, in Part Two we present the "regularizing" hypothesis of public money, which is an endeavor to hypothesize a few basic rules for government decision­making and to totally finish their sensible ramifications. Consequently, it manages such issues as the level of movement for the annual expense, the decision among immediate and roundabout tax collection, the arrangement of </w:t>
      </w:r>
      <w:r w:rsidRPr="00A0681A">
        <w:rPr>
          <w:rFonts w:ascii="Times New Roman" w:eastAsia="Times New Roman" w:hAnsi="Times New Roman" w:cs="Times New Roman"/>
          <w:color w:val="231F20"/>
        </w:rPr>
        <w:lastRenderedPageBreak/>
        <w:t>public merchandise, and estimating rules for public endeavors.</w:t>
      </w:r>
    </w:p>
    <w:p w:rsidR="00A0681A" w:rsidRPr="00A0681A" w:rsidRDefault="00A0681A" w:rsidP="00A0681A">
      <w:pPr>
        <w:pStyle w:val="Heading2"/>
        <w:spacing w:line="480" w:lineRule="auto"/>
        <w:ind w:left="0"/>
        <w:rPr>
          <w:rFonts w:ascii="Times New Roman" w:eastAsia="Times New Roman" w:hAnsi="Times New Roman" w:cs="Times New Roman"/>
          <w:color w:val="231F20"/>
        </w:rPr>
      </w:pPr>
      <w:r w:rsidRPr="00A0681A">
        <w:rPr>
          <w:rFonts w:ascii="Times New Roman" w:eastAsia="Times New Roman" w:hAnsi="Times New Roman" w:cs="Times New Roman"/>
          <w:color w:val="231F20"/>
        </w:rPr>
        <w:t>In resolving these inquiries, we make no endeavor to give a thorough inclusion. The decision of the title Lectures on . . . is planned to disperse any feeling that the book is a comprehensive record of public financial aspects. The point of the Lectures is to outline the present status of the workmanship, to give a few kind of the qualities and shortcomings of ongoing turns of events, and to highlight regions where future exploration is fundamental.</w:t>
      </w:r>
    </w:p>
    <w:p w:rsidR="00A0681A" w:rsidRPr="00A0681A" w:rsidRDefault="00A0681A" w:rsidP="00A0681A">
      <w:pPr>
        <w:pStyle w:val="Heading2"/>
        <w:spacing w:line="480" w:lineRule="auto"/>
        <w:ind w:left="0"/>
        <w:rPr>
          <w:rFonts w:ascii="Times New Roman" w:eastAsia="Times New Roman" w:hAnsi="Times New Roman" w:cs="Times New Roman"/>
          <w:color w:val="231F20"/>
        </w:rPr>
      </w:pPr>
      <w:r w:rsidRPr="00A0681A">
        <w:rPr>
          <w:rFonts w:ascii="Times New Roman" w:eastAsia="Times New Roman" w:hAnsi="Times New Roman" w:cs="Times New Roman"/>
          <w:color w:val="231F20"/>
        </w:rPr>
        <w:t>The manners by which the book misses the mark concerning being far reaching ought to be obvious from the Table of Contents. Most truly, no endeavor is made to cover adjustment and macroeconomic approach. This is a fundamental component in any worldwide perspective on the job of the public authority, and many issues are overwhelmed by macroeconomic consid­ erations. Nonetheless, the financial aspects of distributing have</w:t>
      </w:r>
    </w:p>
    <w:p w:rsidR="00A0681A" w:rsidRPr="00A0681A" w:rsidRDefault="00A0681A" w:rsidP="00A0681A">
      <w:pPr>
        <w:pStyle w:val="Heading2"/>
        <w:spacing w:line="480" w:lineRule="auto"/>
        <w:rPr>
          <w:rFonts w:ascii="Times New Roman" w:eastAsia="Times New Roman" w:hAnsi="Times New Roman" w:cs="Times New Roman"/>
          <w:color w:val="231F20"/>
        </w:rPr>
      </w:pPr>
    </w:p>
    <w:p w:rsidR="00A0681A" w:rsidRPr="00A0681A" w:rsidRDefault="00A0681A" w:rsidP="00A0681A">
      <w:pPr>
        <w:pStyle w:val="Heading2"/>
        <w:spacing w:line="480" w:lineRule="auto"/>
        <w:ind w:left="0"/>
        <w:rPr>
          <w:rFonts w:ascii="Times New Roman" w:eastAsia="Times New Roman" w:hAnsi="Times New Roman" w:cs="Times New Roman"/>
          <w:color w:val="231F20"/>
        </w:rPr>
      </w:pPr>
      <w:r w:rsidRPr="00A0681A">
        <w:rPr>
          <w:rFonts w:ascii="Times New Roman" w:eastAsia="Times New Roman" w:hAnsi="Times New Roman" w:cs="Times New Roman"/>
          <w:color w:val="231F20"/>
        </w:rPr>
        <w:t>Musgrave could commit 210 pages of The Theory of Public Finance (1959) to stabiliza­ tion strategy, and there are numerous fantastic medicines in the writing. Our accentuation is hence on objectives other than those of adjustment.</w:t>
      </w:r>
    </w:p>
    <w:p w:rsidR="00A0681A" w:rsidRPr="00A0681A" w:rsidRDefault="00A0681A" w:rsidP="00A0681A">
      <w:pPr>
        <w:pStyle w:val="Heading2"/>
        <w:spacing w:line="480" w:lineRule="auto"/>
        <w:ind w:left="0"/>
        <w:rPr>
          <w:rFonts w:ascii="Times New Roman" w:eastAsia="Times New Roman" w:hAnsi="Times New Roman" w:cs="Times New Roman"/>
          <w:color w:val="231F20"/>
        </w:rPr>
      </w:pPr>
      <w:r w:rsidRPr="00A0681A">
        <w:rPr>
          <w:rFonts w:ascii="Times New Roman" w:eastAsia="Times New Roman" w:hAnsi="Times New Roman" w:cs="Times New Roman"/>
          <w:color w:val="231F20"/>
        </w:rPr>
        <w:t xml:space="preserve">Indeed, even with this limitation, the inclusion is specific. A few perusers will almost certainly be astonished or frustrated by the exclusions, which incorporate the worldwide parts of tax collection, the financial matters of property freedoms, externalities underway, the monetary issues of financial turn of events, and the organization of duties and advantages. We trust anyway they will feel that this particular treatment is advocated by the more noteworthy profundity in which we have had the option to talk about the subjects covered. These incorporate, on the </w:t>
      </w:r>
      <w:r w:rsidRPr="00A0681A">
        <w:rPr>
          <w:rFonts w:ascii="Times New Roman" w:eastAsia="Times New Roman" w:hAnsi="Times New Roman" w:cs="Times New Roman"/>
          <w:color w:val="231F20"/>
        </w:rPr>
        <w:lastRenderedPageBreak/>
        <w:t>tax collection side, pay and abundance charges, demands on the exchange of riches, corpora­ tion charge, and aberrant assessments. The use side covers the arrangement of labor and products by focal and nearby states, and less significantly move installments. Different subjects included are the public obligation and the approach of public endeavors/utilities.</w:t>
      </w:r>
    </w:p>
    <w:p w:rsidR="00A0681A" w:rsidRPr="00A0681A" w:rsidRDefault="00A0681A" w:rsidP="00A0681A">
      <w:pPr>
        <w:pStyle w:val="Heading2"/>
        <w:spacing w:line="480" w:lineRule="auto"/>
        <w:ind w:left="0"/>
        <w:rPr>
          <w:rFonts w:ascii="Times New Roman" w:eastAsia="Times New Roman" w:hAnsi="Times New Roman" w:cs="Times New Roman"/>
          <w:color w:val="231F20"/>
        </w:rPr>
      </w:pPr>
      <w:r w:rsidRPr="00A0681A">
        <w:rPr>
          <w:rFonts w:ascii="Times New Roman" w:eastAsia="Times New Roman" w:hAnsi="Times New Roman" w:cs="Times New Roman"/>
          <w:color w:val="231F20"/>
        </w:rPr>
        <w:t>As will be obvious from the Lecture titles, the book focuses regarding those matters wherein there has been extensive ongoing examination. This is especially valid for the occurrence and plan of tax assessment, which gets preferably more accentuation over the consumption side. The previous ten years has for sure seen a quick development of the writing, most prominently in econometric examination of the impacts of tax collection and in hypothetical investigation of the ideal plan of assessment strategy.</w:t>
      </w:r>
    </w:p>
    <w:p w:rsidR="00A0681A" w:rsidRPr="00A0681A" w:rsidRDefault="00A0681A" w:rsidP="00A0681A">
      <w:pPr>
        <w:pStyle w:val="Heading2"/>
        <w:spacing w:line="480" w:lineRule="auto"/>
        <w:rPr>
          <w:rFonts w:ascii="Times New Roman" w:eastAsia="Times New Roman" w:hAnsi="Times New Roman" w:cs="Times New Roman"/>
          <w:color w:val="231F20"/>
        </w:rPr>
      </w:pPr>
    </w:p>
    <w:p w:rsidR="00A0681A" w:rsidRPr="00A0681A" w:rsidRDefault="00A0681A" w:rsidP="00A0681A">
      <w:pPr>
        <w:pStyle w:val="Heading2"/>
        <w:spacing w:line="480" w:lineRule="auto"/>
        <w:ind w:left="0"/>
        <w:rPr>
          <w:rFonts w:ascii="Times New Roman" w:eastAsia="Times New Roman" w:hAnsi="Times New Roman" w:cs="Times New Roman"/>
          <w:b/>
          <w:color w:val="231F20"/>
        </w:rPr>
      </w:pPr>
      <w:r w:rsidRPr="00A0681A">
        <w:rPr>
          <w:rFonts w:ascii="Times New Roman" w:eastAsia="Times New Roman" w:hAnsi="Times New Roman" w:cs="Times New Roman"/>
          <w:b/>
          <w:color w:val="231F20"/>
        </w:rPr>
        <w:t>Job of the Government</w:t>
      </w:r>
    </w:p>
    <w:p w:rsidR="005D4E61" w:rsidRPr="00A0681A" w:rsidRDefault="00A0681A" w:rsidP="00A0681A">
      <w:pPr>
        <w:pStyle w:val="Heading2"/>
        <w:spacing w:line="480" w:lineRule="auto"/>
        <w:ind w:left="0"/>
        <w:rPr>
          <w:b/>
        </w:rPr>
      </w:pPr>
      <w:r w:rsidRPr="00A0681A">
        <w:rPr>
          <w:rFonts w:ascii="Times New Roman" w:eastAsia="Times New Roman" w:hAnsi="Times New Roman" w:cs="Times New Roman"/>
          <w:color w:val="231F20"/>
        </w:rPr>
        <w:t xml:space="preserve">Toward the start of this Lecture we portrayed a portion of the manners by which the gov­ ernment influences the common person. The state, in any case, has a considerably more essential job to carry out in that its first capacity is to lay out and implement the "rules of the financial game". We are worried about current blended industrialist economies, like the United States, Canada, Western Europe, and Japan, where these guidelines regularly incorporate the legitimate enforceability of agreements, arrangements for insolvency, regulations characterizing property privileges, and liabilities. This essential structure has a lot to do with how the economy performs, and different elements of government are a lot of impacted by the sort of standard procedures under which the private </w:t>
      </w:r>
      <w:r w:rsidRPr="00A0681A">
        <w:rPr>
          <w:rFonts w:ascii="Times New Roman" w:eastAsia="Times New Roman" w:hAnsi="Times New Roman" w:cs="Times New Roman"/>
          <w:color w:val="231F20"/>
        </w:rPr>
        <w:lastRenderedPageBreak/>
        <w:t>economy works. It might for sure be contended that the expense and consumption exercises of the public authority are of minor importance corresponding to its essential capacity "of saving and settling the property relations of the industrialist economy" (Gordon, 1972, p. 322). This isn't a view we see as absolutely persuading, and we consider that it is as yet significant to examine, as in these Lectures, the effect of financial instruments inside a given monetary framework. Simultaneously, we perceive that it gives just a halfway image of the state's part in current culture, and we return to this beneath.</w:t>
      </w:r>
      <w:r w:rsidR="006570C1" w:rsidRPr="00A0681A">
        <w:rPr>
          <w:b/>
          <w:color w:val="231F20"/>
          <w:spacing w:val="-1"/>
          <w:w w:val="95"/>
        </w:rPr>
        <w:t>Welfare</w:t>
      </w:r>
      <w:r w:rsidR="006570C1" w:rsidRPr="00A0681A">
        <w:rPr>
          <w:b/>
          <w:color w:val="231F20"/>
          <w:spacing w:val="-17"/>
          <w:w w:val="95"/>
        </w:rPr>
        <w:t xml:space="preserve"> </w:t>
      </w:r>
      <w:r w:rsidR="006570C1" w:rsidRPr="00A0681A">
        <w:rPr>
          <w:b/>
          <w:color w:val="231F20"/>
          <w:spacing w:val="-1"/>
          <w:w w:val="95"/>
        </w:rPr>
        <w:t>Economics</w:t>
      </w:r>
      <w:r w:rsidR="006570C1" w:rsidRPr="00A0681A">
        <w:rPr>
          <w:b/>
          <w:color w:val="231F20"/>
          <w:spacing w:val="-16"/>
          <w:w w:val="95"/>
        </w:rPr>
        <w:t xml:space="preserve"> </w:t>
      </w:r>
      <w:r w:rsidR="006570C1" w:rsidRPr="00A0681A">
        <w:rPr>
          <w:b/>
          <w:color w:val="231F20"/>
          <w:spacing w:val="-1"/>
          <w:w w:val="95"/>
        </w:rPr>
        <w:t>and</w:t>
      </w:r>
      <w:r w:rsidR="006570C1" w:rsidRPr="00A0681A">
        <w:rPr>
          <w:b/>
          <w:color w:val="231F20"/>
          <w:spacing w:val="-16"/>
          <w:w w:val="95"/>
        </w:rPr>
        <w:t xml:space="preserve"> </w:t>
      </w:r>
      <w:r w:rsidR="006570C1" w:rsidRPr="00A0681A">
        <w:rPr>
          <w:b/>
          <w:color w:val="231F20"/>
          <w:spacing w:val="-1"/>
          <w:w w:val="95"/>
        </w:rPr>
        <w:t>Government</w:t>
      </w:r>
      <w:r w:rsidR="006570C1" w:rsidRPr="00A0681A">
        <w:rPr>
          <w:b/>
          <w:color w:val="231F20"/>
          <w:spacing w:val="-17"/>
          <w:w w:val="95"/>
        </w:rPr>
        <w:t xml:space="preserve"> </w:t>
      </w:r>
      <w:r w:rsidR="006570C1" w:rsidRPr="00A0681A">
        <w:rPr>
          <w:b/>
          <w:color w:val="231F20"/>
          <w:spacing w:val="-1"/>
          <w:w w:val="95"/>
        </w:rPr>
        <w:t>Intervention</w:t>
      </w:r>
    </w:p>
    <w:p w:rsidR="00A0681A" w:rsidRPr="00A0681A" w:rsidRDefault="00A0681A" w:rsidP="00A0681A">
      <w:pPr>
        <w:pStyle w:val="BodyText"/>
        <w:spacing w:before="6" w:line="480" w:lineRule="auto"/>
        <w:ind w:right="157"/>
        <w:jc w:val="both"/>
        <w:rPr>
          <w:color w:val="231F20"/>
          <w:sz w:val="24"/>
          <w:szCs w:val="24"/>
        </w:rPr>
      </w:pPr>
      <w:r w:rsidRPr="00A0681A">
        <w:rPr>
          <w:color w:val="231F20"/>
          <w:sz w:val="24"/>
          <w:szCs w:val="24"/>
        </w:rPr>
        <w:t>The standard defense of state mediation takes as its beginning stage the way of behaving of the economy without the public authority, that is to say, in the speculative sit­ uation of an unregulated economy. From the essential hypotheses of government assistance financial aspects, assuming this economy is entirely serious and there is a full arrangement of business sectors (conditions talked about more meticulously in Lecture 11), then, expecting that a balance exists, it is Pareto­efficient; i.e., nobody can be improved off without another person being more terrible off. Assuming that it is expected that social choices ought to be founded on individual government assistance, and that people are probably going to understand better compared to the public authority what satisfies them, this makes an assumption that state mediation isn't required on effectiveness grounds. As far as some might be concerned, this effectiveness contention for decentralization downplays the full worth of the unregulated economy, since they esteem the option to pick in itself; others accept that there is a connection between the type of monetary association and political control.</w:t>
      </w:r>
    </w:p>
    <w:p w:rsidR="00A0681A" w:rsidRPr="00A0681A" w:rsidRDefault="00A0681A" w:rsidP="00A0681A">
      <w:pPr>
        <w:pStyle w:val="BodyText"/>
        <w:spacing w:before="6" w:line="480" w:lineRule="auto"/>
        <w:ind w:right="157"/>
        <w:jc w:val="both"/>
        <w:rPr>
          <w:color w:val="231F20"/>
          <w:sz w:val="24"/>
          <w:szCs w:val="24"/>
        </w:rPr>
      </w:pPr>
    </w:p>
    <w:p w:rsidR="00A0681A" w:rsidRPr="00A0681A" w:rsidRDefault="00A0681A" w:rsidP="00A0681A">
      <w:pPr>
        <w:pStyle w:val="BodyText"/>
        <w:spacing w:before="6" w:line="480" w:lineRule="auto"/>
        <w:ind w:right="157"/>
        <w:jc w:val="both"/>
        <w:rPr>
          <w:color w:val="231F20"/>
          <w:sz w:val="24"/>
          <w:szCs w:val="24"/>
        </w:rPr>
      </w:pPr>
      <w:r w:rsidRPr="00A0681A">
        <w:rPr>
          <w:color w:val="231F20"/>
          <w:sz w:val="24"/>
          <w:szCs w:val="24"/>
        </w:rPr>
        <w:t>Manual for the Lectures</w:t>
      </w:r>
    </w:p>
    <w:p w:rsidR="00A0681A" w:rsidRDefault="00A0681A" w:rsidP="00A0681A">
      <w:pPr>
        <w:pStyle w:val="BodyText"/>
        <w:spacing w:before="6" w:line="480" w:lineRule="auto"/>
        <w:ind w:right="157"/>
        <w:jc w:val="both"/>
        <w:rPr>
          <w:color w:val="231F20"/>
          <w:sz w:val="24"/>
          <w:szCs w:val="24"/>
        </w:rPr>
      </w:pPr>
      <w:r w:rsidRPr="00A0681A">
        <w:rPr>
          <w:color w:val="231F20"/>
          <w:sz w:val="24"/>
          <w:szCs w:val="24"/>
        </w:rPr>
        <w:t>The point of the graphic investigation in Part One is to analyze two harmony sit­ uations: when a predetermined mix of strategy changes. From this com­ parison, we can then reach determinations about the impacts of the arrangement. Does, for instance, the effect of a specific measure compare to its administered goal? Is strategy X comparable in its impact to strategy Y? What is the impact of strategy Z on equi­ librium amounts and costs? Accordingly, we get some information about the impact of pay tax assessment on work supply in Lecture 2, on reserve funds in Lecture 3, and on risk­taking in Lecture 4. Additionally, in Lecture 5 we inspect the effect of company charge on venture by firms. The consequences for item and element costs are especially applicable to inquiries of frequency who bears the weight of tax collection and who benefits from government</w:t>
      </w:r>
      <w:r>
        <w:rPr>
          <w:color w:val="231F20"/>
          <w:sz w:val="24"/>
          <w:szCs w:val="24"/>
        </w:rPr>
        <w:t xml:space="preserve"> </w:t>
      </w:r>
      <w:r w:rsidRPr="00A0681A">
        <w:rPr>
          <w:color w:val="231F20"/>
          <w:sz w:val="24"/>
          <w:szCs w:val="24"/>
        </w:rPr>
        <w:t>expenditure? Consequently, in Lecture 6 we inspect the frequency of the company benefits charge, regarding the impact on the pace of return (grew further in Lectures 7 and 8). In Lecture 9 we give an express distributional model which can be utilized to evaluate the effect of tax collection and use on the disparity of livelihoods.</w:t>
      </w:r>
    </w:p>
    <w:p w:rsidR="00A0681A" w:rsidRDefault="00A0681A">
      <w:pPr>
        <w:rPr>
          <w:color w:val="231F20"/>
          <w:sz w:val="24"/>
          <w:szCs w:val="24"/>
        </w:rPr>
      </w:pPr>
      <w:r>
        <w:rPr>
          <w:color w:val="231F20"/>
          <w:sz w:val="24"/>
          <w:szCs w:val="24"/>
        </w:rPr>
        <w:br w:type="page"/>
      </w:r>
    </w:p>
    <w:p w:rsidR="00A0681A" w:rsidRPr="00A0681A" w:rsidRDefault="00A0681A" w:rsidP="00A0681A">
      <w:pPr>
        <w:pStyle w:val="BodyText"/>
        <w:spacing w:before="6" w:line="480" w:lineRule="auto"/>
        <w:ind w:right="157"/>
        <w:jc w:val="both"/>
        <w:rPr>
          <w:color w:val="231F20"/>
          <w:sz w:val="24"/>
          <w:szCs w:val="24"/>
        </w:rPr>
      </w:pPr>
    </w:p>
    <w:p w:rsidR="00A0681A" w:rsidRPr="00A0681A" w:rsidRDefault="00A0681A" w:rsidP="00A0681A">
      <w:pPr>
        <w:pStyle w:val="BodyText"/>
        <w:spacing w:before="6" w:line="480" w:lineRule="auto"/>
        <w:ind w:right="157"/>
        <w:jc w:val="both"/>
        <w:rPr>
          <w:b/>
          <w:color w:val="231F20"/>
          <w:sz w:val="24"/>
          <w:szCs w:val="24"/>
        </w:rPr>
      </w:pPr>
      <w:r w:rsidRPr="00A0681A">
        <w:rPr>
          <w:b/>
          <w:color w:val="231F20"/>
          <w:sz w:val="24"/>
          <w:szCs w:val="24"/>
        </w:rPr>
        <w:t>Conclusion</w:t>
      </w:r>
    </w:p>
    <w:p w:rsidR="00A0681A" w:rsidRDefault="00FD3261" w:rsidP="00A0681A">
      <w:pPr>
        <w:pStyle w:val="BodyText"/>
        <w:spacing w:before="6" w:line="480" w:lineRule="auto"/>
        <w:ind w:right="157"/>
        <w:jc w:val="both"/>
        <w:rPr>
          <w:color w:val="231F20"/>
          <w:sz w:val="24"/>
          <w:szCs w:val="24"/>
        </w:rPr>
      </w:pPr>
      <w:r>
        <w:rPr>
          <w:color w:val="231F20"/>
          <w:sz w:val="24"/>
          <w:szCs w:val="24"/>
        </w:rPr>
        <w:t>Public</w:t>
      </w:r>
      <w:r w:rsidR="00A0681A" w:rsidRPr="00A0681A">
        <w:rPr>
          <w:color w:val="231F20"/>
          <w:sz w:val="24"/>
          <w:szCs w:val="24"/>
        </w:rPr>
        <w:t xml:space="preserve"> Economics gives a prologue to Part Two. It depicts a portion of the manners by which the goals of the public authority have been formed and the subsequent models for decision­making. The resulting Lectures apply these standards to a scope of issues in the plan of duty and use strategy. Address 12 is worried about the construction of roundabout tax collection. Considering that a specific measure of income must be raised by roundabout duties, should the rates be uniform on generally products or separated?</w:t>
      </w:r>
    </w:p>
    <w:p w:rsidR="00A0681A" w:rsidRDefault="00A0681A">
      <w:pPr>
        <w:rPr>
          <w:color w:val="231F20"/>
          <w:sz w:val="24"/>
          <w:szCs w:val="24"/>
        </w:rPr>
      </w:pPr>
      <w:r>
        <w:rPr>
          <w:color w:val="231F20"/>
          <w:sz w:val="24"/>
          <w:szCs w:val="24"/>
        </w:rPr>
        <w:br w:type="page"/>
      </w:r>
    </w:p>
    <w:p w:rsidR="00A0681A" w:rsidRDefault="00A0681A" w:rsidP="00A0681A">
      <w:pPr>
        <w:pStyle w:val="BodyText"/>
        <w:spacing w:before="6" w:line="480" w:lineRule="auto"/>
        <w:ind w:right="157"/>
        <w:jc w:val="both"/>
        <w:rPr>
          <w:color w:val="231F20"/>
          <w:sz w:val="24"/>
          <w:szCs w:val="24"/>
        </w:rPr>
      </w:pPr>
    </w:p>
    <w:p w:rsidR="00A0681A" w:rsidRPr="00A0681A" w:rsidRDefault="00A0681A" w:rsidP="00A0681A">
      <w:pPr>
        <w:pStyle w:val="BodyText"/>
        <w:spacing w:before="6" w:line="480" w:lineRule="auto"/>
        <w:ind w:right="157"/>
        <w:jc w:val="both"/>
        <w:rPr>
          <w:b/>
          <w:color w:val="231F20"/>
          <w:sz w:val="24"/>
          <w:szCs w:val="24"/>
        </w:rPr>
      </w:pPr>
      <w:r w:rsidRPr="00A0681A">
        <w:rPr>
          <w:b/>
          <w:color w:val="231F20"/>
          <w:sz w:val="24"/>
          <w:szCs w:val="24"/>
        </w:rPr>
        <w:t>References</w:t>
      </w:r>
    </w:p>
    <w:p w:rsidR="00A0681A" w:rsidRDefault="00A0681A" w:rsidP="00A0681A">
      <w:pPr>
        <w:pStyle w:val="BodyText"/>
        <w:spacing w:before="4" w:line="480" w:lineRule="auto"/>
        <w:ind w:left="540" w:hanging="540"/>
        <w:jc w:val="both"/>
      </w:pPr>
      <w:r>
        <w:t>Council member, Harold. 1996. "Reserve funds and Economic Shocks in Rural Pakistan." Forthcoming. Diary of Development Economics.</w:t>
      </w:r>
    </w:p>
    <w:p w:rsidR="00A0681A" w:rsidRDefault="00A0681A" w:rsidP="00A0681A">
      <w:pPr>
        <w:pStyle w:val="BodyText"/>
        <w:spacing w:before="4" w:line="480" w:lineRule="auto"/>
        <w:ind w:left="540" w:hanging="540"/>
        <w:jc w:val="both"/>
      </w:pPr>
    </w:p>
    <w:p w:rsidR="00A0681A" w:rsidRDefault="00A0681A" w:rsidP="00A0681A">
      <w:pPr>
        <w:pStyle w:val="BodyText"/>
        <w:spacing w:before="4" w:line="480" w:lineRule="auto"/>
        <w:ind w:left="540" w:hanging="540"/>
        <w:jc w:val="both"/>
      </w:pPr>
      <w:r>
        <w:t>Council member, Harold, Jere Behrman, Shahrukh Kahn, David Ross and Richard Sabot. 1995. "Public Schooling Expenditure in Rural Pakistan: Efficiently Targeting Girls and a Lagging Region," in Dominique van de Walle and Kimberly Nead, eds., Public Spending and the Poor: Theory and Evidence, Baltimore and London: The Johns Hopkins Press for the World Bank.</w:t>
      </w:r>
    </w:p>
    <w:p w:rsidR="00A0681A" w:rsidRDefault="00A0681A" w:rsidP="00A0681A">
      <w:pPr>
        <w:pStyle w:val="BodyText"/>
        <w:spacing w:before="4" w:line="480" w:lineRule="auto"/>
        <w:ind w:left="540" w:hanging="540"/>
        <w:jc w:val="both"/>
      </w:pPr>
    </w:p>
    <w:p w:rsidR="00A0681A" w:rsidRPr="00926A0A" w:rsidRDefault="00A0681A" w:rsidP="00A0681A">
      <w:pPr>
        <w:pStyle w:val="BodyText"/>
        <w:spacing w:before="4" w:line="480" w:lineRule="auto"/>
        <w:ind w:left="540" w:hanging="540"/>
        <w:jc w:val="both"/>
      </w:pPr>
      <w:r>
        <w:t>Ahmad, Asif and Jonathan Morduch. 1993. "Recognizing Sex Bias in the Allocation of Household Resources: Evidence from Linked Household Surveys from Bangladesh." Manuscript: Harvard.</w:t>
      </w:r>
    </w:p>
    <w:p w:rsidR="00A0681A" w:rsidRPr="00A0681A" w:rsidRDefault="00A0681A" w:rsidP="00A0681A">
      <w:pPr>
        <w:pStyle w:val="BodyText"/>
        <w:spacing w:before="6" w:line="480" w:lineRule="auto"/>
        <w:ind w:right="157"/>
        <w:jc w:val="both"/>
        <w:rPr>
          <w:sz w:val="24"/>
          <w:szCs w:val="24"/>
        </w:rPr>
      </w:pPr>
    </w:p>
    <w:sectPr w:rsidR="00A0681A" w:rsidRPr="00A0681A" w:rsidSect="00A0681A">
      <w:pgSz w:w="10080" w:h="14400"/>
      <w:pgMar w:top="520" w:right="1040" w:bottom="720" w:left="1100" w:header="66" w:footer="5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AE" w:rsidRDefault="00116DAE" w:rsidP="005D4E61">
      <w:r>
        <w:separator/>
      </w:r>
    </w:p>
  </w:endnote>
  <w:endnote w:type="continuationSeparator" w:id="1">
    <w:p w:rsidR="00116DAE" w:rsidRDefault="00116DAE" w:rsidP="005D4E61">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AE" w:rsidRDefault="00116DAE" w:rsidP="005D4E61">
      <w:r>
        <w:separator/>
      </w:r>
    </w:p>
  </w:footnote>
  <w:footnote w:type="continuationSeparator" w:id="1">
    <w:p w:rsidR="00116DAE" w:rsidRDefault="00116DAE" w:rsidP="005D4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47F2"/>
    <w:multiLevelType w:val="hybridMultilevel"/>
    <w:tmpl w:val="C7C6A056"/>
    <w:lvl w:ilvl="0" w:tplc="6FD824B6">
      <w:start w:val="1"/>
      <w:numFmt w:val="lowerLetter"/>
      <w:lvlText w:val="(%1)"/>
      <w:lvlJc w:val="left"/>
      <w:pPr>
        <w:ind w:left="728" w:hanging="286"/>
        <w:jc w:val="right"/>
      </w:pPr>
      <w:rPr>
        <w:rFonts w:ascii="SimSun" w:eastAsia="SimSun" w:hAnsi="SimSun" w:cs="SimSun" w:hint="default"/>
        <w:color w:val="231F20"/>
        <w:w w:val="75"/>
        <w:sz w:val="20"/>
        <w:szCs w:val="20"/>
        <w:lang w:val="en-US" w:eastAsia="en-US" w:bidi="ar-SA"/>
      </w:rPr>
    </w:lvl>
    <w:lvl w:ilvl="1" w:tplc="9F1C65D8">
      <w:numFmt w:val="bullet"/>
      <w:lvlText w:val="•"/>
      <w:lvlJc w:val="left"/>
      <w:pPr>
        <w:ind w:left="1374" w:hanging="286"/>
      </w:pPr>
      <w:rPr>
        <w:rFonts w:hint="default"/>
        <w:lang w:val="en-US" w:eastAsia="en-US" w:bidi="ar-SA"/>
      </w:rPr>
    </w:lvl>
    <w:lvl w:ilvl="2" w:tplc="82CC67C0">
      <w:numFmt w:val="bullet"/>
      <w:lvlText w:val="•"/>
      <w:lvlJc w:val="left"/>
      <w:pPr>
        <w:ind w:left="2028" w:hanging="286"/>
      </w:pPr>
      <w:rPr>
        <w:rFonts w:hint="default"/>
        <w:lang w:val="en-US" w:eastAsia="en-US" w:bidi="ar-SA"/>
      </w:rPr>
    </w:lvl>
    <w:lvl w:ilvl="3" w:tplc="9CCE21D4">
      <w:numFmt w:val="bullet"/>
      <w:lvlText w:val="•"/>
      <w:lvlJc w:val="left"/>
      <w:pPr>
        <w:ind w:left="2683" w:hanging="286"/>
      </w:pPr>
      <w:rPr>
        <w:rFonts w:hint="default"/>
        <w:lang w:val="en-US" w:eastAsia="en-US" w:bidi="ar-SA"/>
      </w:rPr>
    </w:lvl>
    <w:lvl w:ilvl="4" w:tplc="1B6086B8">
      <w:numFmt w:val="bullet"/>
      <w:lvlText w:val="•"/>
      <w:lvlJc w:val="left"/>
      <w:pPr>
        <w:ind w:left="3337" w:hanging="286"/>
      </w:pPr>
      <w:rPr>
        <w:rFonts w:hint="default"/>
        <w:lang w:val="en-US" w:eastAsia="en-US" w:bidi="ar-SA"/>
      </w:rPr>
    </w:lvl>
    <w:lvl w:ilvl="5" w:tplc="C3FE7A6E">
      <w:numFmt w:val="bullet"/>
      <w:lvlText w:val="•"/>
      <w:lvlJc w:val="left"/>
      <w:pPr>
        <w:ind w:left="3992" w:hanging="286"/>
      </w:pPr>
      <w:rPr>
        <w:rFonts w:hint="default"/>
        <w:lang w:val="en-US" w:eastAsia="en-US" w:bidi="ar-SA"/>
      </w:rPr>
    </w:lvl>
    <w:lvl w:ilvl="6" w:tplc="5110298E">
      <w:numFmt w:val="bullet"/>
      <w:lvlText w:val="•"/>
      <w:lvlJc w:val="left"/>
      <w:pPr>
        <w:ind w:left="4646" w:hanging="286"/>
      </w:pPr>
      <w:rPr>
        <w:rFonts w:hint="default"/>
        <w:lang w:val="en-US" w:eastAsia="en-US" w:bidi="ar-SA"/>
      </w:rPr>
    </w:lvl>
    <w:lvl w:ilvl="7" w:tplc="86A4D550">
      <w:numFmt w:val="bullet"/>
      <w:lvlText w:val="•"/>
      <w:lvlJc w:val="left"/>
      <w:pPr>
        <w:ind w:left="5301" w:hanging="286"/>
      </w:pPr>
      <w:rPr>
        <w:rFonts w:hint="default"/>
        <w:lang w:val="en-US" w:eastAsia="en-US" w:bidi="ar-SA"/>
      </w:rPr>
    </w:lvl>
    <w:lvl w:ilvl="8" w:tplc="F236C334">
      <w:numFmt w:val="bullet"/>
      <w:lvlText w:val="•"/>
      <w:lvlJc w:val="left"/>
      <w:pPr>
        <w:ind w:left="5955" w:hanging="28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5D4E61"/>
    <w:rsid w:val="00116DAE"/>
    <w:rsid w:val="005330C1"/>
    <w:rsid w:val="0057735B"/>
    <w:rsid w:val="005D4E61"/>
    <w:rsid w:val="006570C1"/>
    <w:rsid w:val="00953C47"/>
    <w:rsid w:val="00A0681A"/>
    <w:rsid w:val="00C83D2C"/>
    <w:rsid w:val="00FD3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4E61"/>
    <w:rPr>
      <w:rFonts w:ascii="Times New Roman" w:eastAsia="Times New Roman" w:hAnsi="Times New Roman" w:cs="Times New Roman"/>
    </w:rPr>
  </w:style>
  <w:style w:type="paragraph" w:styleId="Heading1">
    <w:name w:val="heading 1"/>
    <w:basedOn w:val="Normal"/>
    <w:uiPriority w:val="1"/>
    <w:qFormat/>
    <w:rsid w:val="005D4E61"/>
    <w:pPr>
      <w:spacing w:line="342" w:lineRule="exact"/>
      <w:jc w:val="right"/>
      <w:outlineLvl w:val="0"/>
    </w:pPr>
    <w:rPr>
      <w:rFonts w:ascii="Symbol" w:eastAsia="Symbol" w:hAnsi="Symbol" w:cs="Symbol"/>
      <w:sz w:val="40"/>
      <w:szCs w:val="40"/>
    </w:rPr>
  </w:style>
  <w:style w:type="paragraph" w:styleId="Heading2">
    <w:name w:val="heading 2"/>
    <w:basedOn w:val="Normal"/>
    <w:uiPriority w:val="1"/>
    <w:qFormat/>
    <w:rsid w:val="005D4E61"/>
    <w:pPr>
      <w:ind w:left="1060"/>
      <w:jc w:val="both"/>
      <w:outlineLvl w:val="1"/>
    </w:pPr>
    <w:rPr>
      <w:rFonts w:ascii="Trebuchet MS" w:eastAsia="Trebuchet MS" w:hAnsi="Trebuchet MS" w:cs="Trebuchet MS"/>
      <w:sz w:val="24"/>
      <w:szCs w:val="24"/>
    </w:rPr>
  </w:style>
  <w:style w:type="paragraph" w:styleId="Heading3">
    <w:name w:val="heading 3"/>
    <w:basedOn w:val="Normal"/>
    <w:uiPriority w:val="1"/>
    <w:qFormat/>
    <w:rsid w:val="005D4E61"/>
    <w:pPr>
      <w:spacing w:before="104"/>
      <w:ind w:left="100"/>
      <w:outlineLvl w:val="2"/>
    </w:pPr>
    <w:rPr>
      <w:rFonts w:ascii="Tahoma" w:eastAsia="Tahoma" w:hAnsi="Tahoma" w:cs="Tahoma"/>
      <w:b/>
      <w:bCs/>
      <w:sz w:val="23"/>
      <w:szCs w:val="23"/>
    </w:rPr>
  </w:style>
  <w:style w:type="paragraph" w:styleId="Heading4">
    <w:name w:val="heading 4"/>
    <w:basedOn w:val="Normal"/>
    <w:uiPriority w:val="1"/>
    <w:qFormat/>
    <w:rsid w:val="005D4E61"/>
    <w:pPr>
      <w:ind w:left="20"/>
      <w:outlineLvl w:val="3"/>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4E61"/>
    <w:rPr>
      <w:sz w:val="20"/>
      <w:szCs w:val="20"/>
    </w:rPr>
  </w:style>
  <w:style w:type="paragraph" w:styleId="Title">
    <w:name w:val="Title"/>
    <w:basedOn w:val="Normal"/>
    <w:uiPriority w:val="1"/>
    <w:qFormat/>
    <w:rsid w:val="005D4E61"/>
    <w:pPr>
      <w:ind w:left="4092" w:firstLine="857"/>
    </w:pPr>
    <w:rPr>
      <w:rFonts w:ascii="Tahoma" w:eastAsia="Tahoma" w:hAnsi="Tahoma" w:cs="Tahoma"/>
      <w:b/>
      <w:bCs/>
      <w:sz w:val="48"/>
      <w:szCs w:val="48"/>
    </w:rPr>
  </w:style>
  <w:style w:type="paragraph" w:styleId="ListParagraph">
    <w:name w:val="List Paragraph"/>
    <w:basedOn w:val="Normal"/>
    <w:uiPriority w:val="1"/>
    <w:qFormat/>
    <w:rsid w:val="005D4E61"/>
    <w:pPr>
      <w:ind w:left="728" w:hanging="1397"/>
    </w:pPr>
    <w:rPr>
      <w:rFonts w:ascii="SimSun" w:eastAsia="SimSun" w:hAnsi="SimSun" w:cs="SimSun"/>
    </w:rPr>
  </w:style>
  <w:style w:type="paragraph" w:customStyle="1" w:styleId="TableParagraph">
    <w:name w:val="Table Paragraph"/>
    <w:basedOn w:val="Normal"/>
    <w:uiPriority w:val="1"/>
    <w:qFormat/>
    <w:rsid w:val="005D4E61"/>
    <w:pPr>
      <w:spacing w:before="41"/>
    </w:pPr>
    <w:rPr>
      <w:rFonts w:ascii="Trebuchet MS" w:eastAsia="Trebuchet MS" w:hAnsi="Trebuchet MS" w:cs="Trebuchet MS"/>
    </w:rPr>
  </w:style>
  <w:style w:type="paragraph" w:styleId="Header">
    <w:name w:val="header"/>
    <w:basedOn w:val="Normal"/>
    <w:link w:val="HeaderChar"/>
    <w:uiPriority w:val="99"/>
    <w:semiHidden/>
    <w:unhideWhenUsed/>
    <w:rsid w:val="00A0681A"/>
    <w:pPr>
      <w:tabs>
        <w:tab w:val="center" w:pos="4680"/>
        <w:tab w:val="right" w:pos="9360"/>
      </w:tabs>
    </w:pPr>
  </w:style>
  <w:style w:type="character" w:customStyle="1" w:styleId="HeaderChar">
    <w:name w:val="Header Char"/>
    <w:basedOn w:val="DefaultParagraphFont"/>
    <w:link w:val="Header"/>
    <w:uiPriority w:val="99"/>
    <w:semiHidden/>
    <w:rsid w:val="00A0681A"/>
    <w:rPr>
      <w:rFonts w:ascii="Times New Roman" w:eastAsia="Times New Roman" w:hAnsi="Times New Roman" w:cs="Times New Roman"/>
    </w:rPr>
  </w:style>
  <w:style w:type="paragraph" w:styleId="Footer">
    <w:name w:val="footer"/>
    <w:basedOn w:val="Normal"/>
    <w:link w:val="FooterChar"/>
    <w:uiPriority w:val="99"/>
    <w:semiHidden/>
    <w:unhideWhenUsed/>
    <w:rsid w:val="00A0681A"/>
    <w:pPr>
      <w:tabs>
        <w:tab w:val="center" w:pos="4680"/>
        <w:tab w:val="right" w:pos="9360"/>
      </w:tabs>
    </w:pPr>
  </w:style>
  <w:style w:type="character" w:customStyle="1" w:styleId="FooterChar">
    <w:name w:val="Footer Char"/>
    <w:basedOn w:val="DefaultParagraphFont"/>
    <w:link w:val="Footer"/>
    <w:uiPriority w:val="99"/>
    <w:semiHidden/>
    <w:rsid w:val="00A0681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Lectures on Public Economics, Updated edition - Lecture 1</dc:title>
  <dc:subject>Economics, Political Science and International Relations</dc:subject>
  <dc:creator>Anthony B. Atkinson &amp; Joseph E. Stiglitz</dc:creator>
  <cp:keywords>Atkinson, A. and Stiglitz, J.E., Lectures, Public, Economics, Economics, Political Science and International Relations, Princeton University Press</cp:keywords>
  <cp:lastModifiedBy>GRAMNETWORLD</cp:lastModifiedBy>
  <cp:revision>2</cp:revision>
  <dcterms:created xsi:type="dcterms:W3CDTF">2022-04-16T16:28:00Z</dcterms:created>
  <dcterms:modified xsi:type="dcterms:W3CDTF">2022-04-16T16:28:00Z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2015-03-17T00:00:00Z</vt:filetime>
  </property>
  <property fmtid="{D5CDD505-2E9C-101B-9397-08002B2CF9AE}" pid="3" name="Creator">
    <vt:lpwstr>Adobe InDesign CS5.5 (7.5)</vt:lpwstr>
  </property>
  <property fmtid="{D5CDD505-2E9C-101B-9397-08002B2CF9AE}" pid="4" name="LastSaved">
    <vt:filetime>2022-04-16T00:00:00Z</vt:filetime>
  </property>
</Properties>
</file>